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International Institute of Professional Studies, DAVV Indore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</w:rPr>
        <w:drawing>
          <wp:inline distB="0" distT="0" distL="0" distR="0">
            <wp:extent cx="3001101" cy="1714500"/>
            <wp:effectExtent b="0" l="0" r="0" t="0"/>
            <wp:docPr descr="logo.jpg" id="1" name="image1.jpg"/>
            <a:graphic>
              <a:graphicData uri="http://schemas.openxmlformats.org/drawingml/2006/picture">
                <pic:pic>
                  <pic:nvPicPr>
                    <pic:cNvPr descr="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101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Software design description on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An OpenSource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“MELODY MUZIK”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https://www.melodymuzik.com/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 music player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Version 1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By Avadhi Tomar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IT-2k19-06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Under the guidance of Dr Shaligram Prajapat sir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August 2021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IIPS DAVV Indore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viggdeq7ql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puqdibejyoz" w:id="1"/>
      <w:bookmarkEnd w:id="1"/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App Starting module of the player in the project is introduced, as well as the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Android engineering program structure, etc.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Any AppStarting needs AndroidManifest. XML file to start. And any new project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content will automatically generate an AndroidManifest. XML file. Configuration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files are the core of the whole program, which contains the Android SDK version,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 default Activity in the program running. The systems will automatically look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a logo in AndroidManifest to react to the corresponding operation when any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 of the program triggers events.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define the system, the first thing is launching the Activity: Android Activity.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are properties such as action and category in &lt; intent - filter &gt;. Most of these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 the default values of the system. Setting the action and category realize the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switch between different Activities. When any components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are about to use, a declaration must be in the Android Manifest. XML files.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be clear that authorities must be illustrated as the statement of provider. Each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component has a lot of attributes; the program will define different attributes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according to different needs.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basic structure content of the Android project includes: the SRC (source code), gen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(constant that Android system automatically generates), res (resource file), and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layout of files and pictures in the main storage program interface.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o8kzjm37kz0" w:id="2"/>
      <w:bookmarkEnd w:id="2"/>
      <w:r w:rsidDel="00000000" w:rsidR="00000000" w:rsidRPr="00000000">
        <w:rPr>
          <w:rtl w:val="0"/>
        </w:rPr>
        <w:t xml:space="preserve">Part of the function design: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main play interface design.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Convenience and practicality should be fully considered in the design of the main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interface. Every Android interface is a visual interface, which has its unique layout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configuration files. We can configure various layout and resources files according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the requirements, such as images, text and colour reference, which can form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different visual interfaces and glaring effects.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interface design of adding songs.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There are no corresponding songs for the first time login entering the program;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users need to add songs to play. Therefore, you need to enter the adding songs’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interface. The empty playlist needs to add songs that can choose from the SD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card to add.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design of play and Next/Move Previous music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i. When need to use the player to play appropriate music, click the play button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realize the function.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ii. When need to use the player to switch to the previous song, click on “Move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Previous music” button to realize the function.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iii. When need to use the player to play the next song, click on “the next music”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button to realize the function.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3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