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left="-907" w:right="-907"/>
        <w:jc w:val="center"/>
      </w:pPr>
      <w:r>
        <w:drawing>
          <wp:inline xmlns:a="http://schemas.openxmlformats.org/drawingml/2006/main" xmlns:pic="http://schemas.openxmlformats.org/drawingml/2006/picture">
            <wp:extent cx="6565392" cy="9286853"/>
            <wp:docPr id="4" name="Picture 4"/>
            <wp:cNvGraphicFramePr>
              <a:graphicFrameLocks noChangeAspect="1"/>
            </wp:cNvGraphicFramePr>
            <a:graphic>
              <a:graphicData uri="http://schemas.openxmlformats.org/drawingml/2006/picture">
                <pic:pic>
                  <pic:nvPicPr>
                    <pic:cNvPr id="0" name="portada_corporativa_tmp.png"/>
                    <pic:cNvPicPr/>
                  </pic:nvPicPr>
                  <pic:blipFill>
                    <a:blip r:embed="rId13"/>
                    <a:stretch>
                      <a:fillRect/>
                    </a:stretch>
                  </pic:blipFill>
                  <pic:spPr>
                    <a:xfrm>
                      <a:off x="0" y="0"/>
                      <a:ext cx="6565392" cy="9286853"/>
                    </a:xfrm>
                    <a:prstGeom prst="rect"/>
                  </pic:spPr>
                </pic:pic>
              </a:graphicData>
            </a:graphic>
          </wp:inline>
        </w:drawing>
      </w:r>
    </w:p>
    <w:p>
      <w:pPr>
        <w:pStyle w:val="Heading1"/>
        <w:keepNext/>
      </w:pPr>
      <w:r>
        <w:t>Conclusión ejecutiva</w:t>
      </w:r>
    </w:p>
    <w:p>
      <w:r>
        <w:t>KiwiKERP ya dispone de una base funcional amplia para gestionar el ciclo de venta, de un Portal corporativo y de un diseño técnico coherente para operar como producto Cloud o en instalaciones del cliente. La dirección arquitectónica es consistente: un Core Standard configurable, stacks aislados por cliente, contenedores reemplazables, datos persistentes y una plataforma común para entrada, automatización y operación.</w:t>
      </w:r>
    </w:p>
    <w:p>
      <w:r>
        <w:t>El proyecto todavía no debe presentarse como una plataforma Cloud plenamente operativa. La prioridad es demostrar de extremo a extremo una instalación limpia, el circuito comercial completo, la persistencia documental, la restauración de backups y el despliegue reproducible. El registro de solicitudes de demo está implementado y probado contra una base temporal, pero registrar una solicitud no equivale aún a entregar automáticamente un ERP funcional durante 48 horas.</w:t>
      </w:r>
    </w:p>
    <w:p>
      <w:r>
        <w:t>La recomendación es congelar temporalmente la expansión funcional y cerrar una cadena de aceptación verificable: base inexistente, instalación, datos maestros, venta completa, reinicio, backup, restauración, construcción de imágenes, despliegue de laboratorio y sólo después aprovisionamiento y producción.</w:t>
      </w:r>
    </w:p>
    <w:p>
      <w:pPr>
        <w:pStyle w:val="Heading2"/>
        <w:keepNext/>
      </w:pPr>
      <w:r>
        <w:t>Lectura rápida del estado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Área</w:t>
            </w:r>
          </w:p>
        </w:tc>
        <w:tc>
          <w:tcPr>
            <w:tcW w:type="dxa" w:w="3249"/>
            <w:shd w:fill="20262C"/>
            <w:vAlign w:val="center"/>
            <w:tcMar>
              <w:top w:w="100" w:type="dxa"/>
              <w:start w:w="120" w:type="dxa"/>
              <w:bottom w:w="100" w:type="dxa"/>
              <w:end w:w="120" w:type="dxa"/>
            </w:tcMar>
          </w:tcPr>
          <w:p>
            <w:r>
              <w:rPr>
                <w:b/>
                <w:color w:val="FFFFFF"/>
                <w:sz w:val="18"/>
              </w:rPr>
              <w:t>Situación</w:t>
            </w:r>
          </w:p>
        </w:tc>
        <w:tc>
          <w:tcPr>
            <w:tcW w:type="dxa" w:w="3249"/>
            <w:shd w:fill="20262C"/>
            <w:vAlign w:val="center"/>
            <w:tcMar>
              <w:top w:w="100" w:type="dxa"/>
              <w:start w:w="120" w:type="dxa"/>
              <w:bottom w:w="100" w:type="dxa"/>
              <w:end w:w="120" w:type="dxa"/>
            </w:tcMar>
          </w:tcPr>
          <w:p>
            <w:r>
              <w:rPr>
                <w:b/>
                <w:color w:val="FFFFFF"/>
                <w:sz w:val="18"/>
              </w:rPr>
              <w:t>Lectura correcta</w:t>
            </w:r>
          </w:p>
        </w:tc>
      </w:tr>
      <w:tr>
        <w:trPr>
          <w:cantSplit/>
        </w:trPr>
        <w:tc>
          <w:tcPr>
            <w:tcW w:type="dxa" w:w="1701"/>
            <w:vAlign w:val="center"/>
            <w:tcMar>
              <w:top w:w="100" w:type="dxa"/>
              <w:start w:w="120" w:type="dxa"/>
              <w:bottom w:w="100" w:type="dxa"/>
              <w:end w:w="120" w:type="dxa"/>
            </w:tcMar>
          </w:tcPr>
          <w:p>
            <w:pPr>
              <w:spacing w:after="0"/>
            </w:pPr>
            <w:r>
              <w:rPr>
                <w:sz w:val="17"/>
              </w:rPr>
              <w:t>Core ERP</w:t>
            </w:r>
          </w:p>
        </w:tc>
        <w:tc>
          <w:tcPr>
            <w:tcW w:type="dxa" w:w="2381"/>
            <w:vAlign w:val="center"/>
            <w:tcMar>
              <w:top w:w="100" w:type="dxa"/>
              <w:start w:w="120" w:type="dxa"/>
              <w:bottom w:w="100" w:type="dxa"/>
              <w:end w:w="120" w:type="dxa"/>
            </w:tcMar>
          </w:tcPr>
          <w:p>
            <w:pPr>
              <w:spacing w:after="0"/>
            </w:pPr>
            <w:r>
              <w:rPr>
                <w:sz w:val="17"/>
              </w:rPr>
              <w:t>Amplio circuito de Ventas implementado</w:t>
            </w:r>
          </w:p>
        </w:tc>
        <w:tc>
          <w:tcPr>
            <w:tcW w:type="dxa" w:w="4649"/>
            <w:vAlign w:val="center"/>
            <w:tcMar>
              <w:top w:w="100" w:type="dxa"/>
              <w:start w:w="120" w:type="dxa"/>
              <w:bottom w:w="100" w:type="dxa"/>
              <w:end w:w="120" w:type="dxa"/>
            </w:tcMar>
          </w:tcPr>
          <w:p>
            <w:pPr>
              <w:spacing w:after="0"/>
            </w:pPr>
            <w:r>
              <w:rPr>
                <w:sz w:val="17"/>
              </w:rPr>
              <w:t>Requiere validación integral sobre instalación limpia y base real</w:t>
            </w:r>
          </w:p>
        </w:tc>
      </w:tr>
      <w:tr>
        <w:trPr>
          <w:cantSplit/>
        </w:trPr>
        <w:tc>
          <w:tcPr>
            <w:tcW w:type="dxa" w:w="1701"/>
            <w:vAlign w:val="center"/>
            <w:tcMar>
              <w:top w:w="100" w:type="dxa"/>
              <w:start w:w="120" w:type="dxa"/>
              <w:bottom w:w="100" w:type="dxa"/>
              <w:end w:w="120" w:type="dxa"/>
            </w:tcMar>
            <w:shd w:fill="F3F6F7"/>
          </w:tcPr>
          <w:p>
            <w:pPr>
              <w:spacing w:after="0"/>
            </w:pPr>
            <w:r>
              <w:rPr>
                <w:sz w:val="17"/>
              </w:rPr>
              <w:t>Instalador</w:t>
            </w:r>
          </w:p>
        </w:tc>
        <w:tc>
          <w:tcPr>
            <w:tcW w:type="dxa" w:w="2381"/>
            <w:vAlign w:val="center"/>
            <w:tcMar>
              <w:top w:w="100" w:type="dxa"/>
              <w:start w:w="120" w:type="dxa"/>
              <w:bottom w:w="100" w:type="dxa"/>
              <w:end w:w="120" w:type="dxa"/>
            </w:tcMar>
            <w:shd w:fill="F3F6F7"/>
          </w:tcPr>
          <w:p>
            <w:pPr>
              <w:spacing w:after="0"/>
            </w:pPr>
            <w:r>
              <w:rPr>
                <w:sz w:val="17"/>
              </w:rPr>
              <w:t>Interfaz y contrato disponibles</w:t>
            </w:r>
          </w:p>
        </w:tc>
        <w:tc>
          <w:tcPr>
            <w:tcW w:type="dxa" w:w="4649"/>
            <w:vAlign w:val="center"/>
            <w:tcMar>
              <w:top w:w="100" w:type="dxa"/>
              <w:start w:w="120" w:type="dxa"/>
              <w:bottom w:w="100" w:type="dxa"/>
              <w:end w:w="120" w:type="dxa"/>
            </w:tcMar>
            <w:shd w:fill="F3F6F7"/>
          </w:tcPr>
          <w:p>
            <w:pPr>
              <w:spacing w:after="0"/>
            </w:pPr>
            <w:r>
              <w:rPr>
                <w:sz w:val="17"/>
              </w:rPr>
              <w:t>El bootstrap completo y la reinstalación segura deben acreditarse</w:t>
            </w:r>
          </w:p>
        </w:tc>
      </w:tr>
      <w:tr>
        <w:trPr>
          <w:cantSplit/>
        </w:trPr>
        <w:tc>
          <w:tcPr>
            <w:tcW w:type="dxa" w:w="1701"/>
            <w:vAlign w:val="center"/>
            <w:tcMar>
              <w:top w:w="100" w:type="dxa"/>
              <w:start w:w="120" w:type="dxa"/>
              <w:bottom w:w="100" w:type="dxa"/>
              <w:end w:w="120" w:type="dxa"/>
            </w:tcMar>
          </w:tcPr>
          <w:p>
            <w:pPr>
              <w:spacing w:after="0"/>
            </w:pPr>
            <w:r>
              <w:rPr>
                <w:sz w:val="17"/>
              </w:rPr>
              <w:t>Portal</w:t>
            </w:r>
          </w:p>
        </w:tc>
        <w:tc>
          <w:tcPr>
            <w:tcW w:type="dxa" w:w="2381"/>
            <w:vAlign w:val="center"/>
            <w:tcMar>
              <w:top w:w="100" w:type="dxa"/>
              <w:start w:w="120" w:type="dxa"/>
              <w:bottom w:w="100" w:type="dxa"/>
              <w:end w:w="120" w:type="dxa"/>
            </w:tcMar>
          </w:tcPr>
          <w:p>
            <w:pPr>
              <w:spacing w:after="0"/>
            </w:pPr>
            <w:r>
              <w:rPr>
                <w:sz w:val="17"/>
              </w:rPr>
              <w:t>Web corporativa y formulario de demo</w:t>
            </w:r>
          </w:p>
        </w:tc>
        <w:tc>
          <w:tcPr>
            <w:tcW w:type="dxa" w:w="4649"/>
            <w:vAlign w:val="center"/>
            <w:tcMar>
              <w:top w:w="100" w:type="dxa"/>
              <w:start w:w="120" w:type="dxa"/>
              <w:bottom w:w="100" w:type="dxa"/>
              <w:end w:w="120" w:type="dxa"/>
            </w:tcMar>
          </w:tcPr>
          <w:p>
            <w:pPr>
              <w:spacing w:after="0"/>
            </w:pPr>
            <w:r>
              <w:rPr>
                <w:sz w:val="17"/>
              </w:rPr>
              <w:t>El Portal no crea por sí mismo entornos de cliente</w:t>
            </w:r>
          </w:p>
        </w:tc>
      </w:tr>
      <w:tr>
        <w:trPr>
          <w:cantSplit/>
        </w:trPr>
        <w:tc>
          <w:tcPr>
            <w:tcW w:type="dxa" w:w="1701"/>
            <w:vAlign w:val="center"/>
            <w:tcMar>
              <w:top w:w="100" w:type="dxa"/>
              <w:start w:w="120" w:type="dxa"/>
              <w:bottom w:w="100" w:type="dxa"/>
              <w:end w:w="120" w:type="dxa"/>
            </w:tcMar>
            <w:shd w:fill="F3F6F7"/>
          </w:tcPr>
          <w:p>
            <w:pPr>
              <w:spacing w:after="0"/>
            </w:pPr>
            <w:r>
              <w:rPr>
                <w:sz w:val="17"/>
              </w:rPr>
              <w:t>Provisioning</w:t>
            </w:r>
          </w:p>
        </w:tc>
        <w:tc>
          <w:tcPr>
            <w:tcW w:type="dxa" w:w="2381"/>
            <w:vAlign w:val="center"/>
            <w:tcMar>
              <w:top w:w="100" w:type="dxa"/>
              <w:start w:w="120" w:type="dxa"/>
              <w:bottom w:w="100" w:type="dxa"/>
              <w:end w:w="120" w:type="dxa"/>
            </w:tcMar>
            <w:shd w:fill="F3F6F7"/>
          </w:tcPr>
          <w:p>
            <w:pPr>
              <w:spacing w:after="0"/>
            </w:pPr>
            <w:r>
              <w:rPr>
                <w:sz w:val="17"/>
              </w:rPr>
              <w:t>Registro MySQL, concurrencia y privacidad</w:t>
            </w:r>
          </w:p>
        </w:tc>
        <w:tc>
          <w:tcPr>
            <w:tcW w:type="dxa" w:w="4649"/>
            <w:vAlign w:val="center"/>
            <w:tcMar>
              <w:top w:w="100" w:type="dxa"/>
              <w:start w:w="120" w:type="dxa"/>
              <w:bottom w:w="100" w:type="dxa"/>
              <w:end w:w="120" w:type="dxa"/>
            </w:tcMar>
            <w:shd w:fill="F3F6F7"/>
          </w:tcPr>
          <w:p>
            <w:pPr>
              <w:spacing w:after="0"/>
            </w:pPr>
            <w:r>
              <w:rPr>
                <w:sz w:val="17"/>
              </w:rPr>
              <w:t>La activación, entrega y caducidad automáticas no están cerradas</w:t>
            </w:r>
          </w:p>
        </w:tc>
      </w:tr>
      <w:tr>
        <w:trPr>
          <w:cantSplit/>
        </w:trPr>
        <w:tc>
          <w:tcPr>
            <w:tcW w:type="dxa" w:w="1701"/>
            <w:vAlign w:val="center"/>
            <w:tcMar>
              <w:top w:w="100" w:type="dxa"/>
              <w:start w:w="120" w:type="dxa"/>
              <w:bottom w:w="100" w:type="dxa"/>
              <w:end w:w="120" w:type="dxa"/>
            </w:tcMar>
          </w:tcPr>
          <w:p>
            <w:pPr>
              <w:spacing w:after="0"/>
            </w:pPr>
            <w:r>
              <w:rPr>
                <w:sz w:val="17"/>
              </w:rPr>
              <w:t>Infraestructura</w:t>
            </w:r>
          </w:p>
        </w:tc>
        <w:tc>
          <w:tcPr>
            <w:tcW w:type="dxa" w:w="2381"/>
            <w:vAlign w:val="center"/>
            <w:tcMar>
              <w:top w:w="100" w:type="dxa"/>
              <w:start w:w="120" w:type="dxa"/>
              <w:bottom w:w="100" w:type="dxa"/>
              <w:end w:w="120" w:type="dxa"/>
            </w:tcMar>
          </w:tcPr>
          <w:p>
            <w:pPr>
              <w:spacing w:after="0"/>
            </w:pPr>
            <w:r>
              <w:rPr>
                <w:sz w:val="17"/>
              </w:rPr>
              <w:t>Arquitectura, fases y decisiones documentadas</w:t>
            </w:r>
          </w:p>
        </w:tc>
        <w:tc>
          <w:tcPr>
            <w:tcW w:type="dxa" w:w="4649"/>
            <w:vAlign w:val="center"/>
            <w:tcMar>
              <w:top w:w="100" w:type="dxa"/>
              <w:start w:w="120" w:type="dxa"/>
              <w:bottom w:w="100" w:type="dxa"/>
              <w:end w:w="120" w:type="dxa"/>
            </w:tcMar>
          </w:tcPr>
          <w:p>
            <w:pPr>
              <w:spacing w:after="0"/>
            </w:pPr>
            <w:r>
              <w:rPr>
                <w:sz w:val="17"/>
              </w:rPr>
              <w:t>Diseño inicial, no despliegue productivo autorizado</w:t>
            </w:r>
          </w:p>
        </w:tc>
      </w:tr>
      <w:tr>
        <w:trPr>
          <w:cantSplit/>
        </w:trPr>
        <w:tc>
          <w:tcPr>
            <w:tcW w:type="dxa" w:w="1701"/>
            <w:vAlign w:val="center"/>
            <w:tcMar>
              <w:top w:w="100" w:type="dxa"/>
              <w:start w:w="120" w:type="dxa"/>
              <w:bottom w:w="100" w:type="dxa"/>
              <w:end w:w="120" w:type="dxa"/>
            </w:tcMar>
            <w:shd w:fill="F3F6F7"/>
          </w:tcPr>
          <w:p>
            <w:pPr>
              <w:spacing w:after="0"/>
            </w:pPr>
            <w:r>
              <w:rPr>
                <w:sz w:val="17"/>
              </w:rPr>
              <w:t>CI CD</w:t>
            </w:r>
          </w:p>
        </w:tc>
        <w:tc>
          <w:tcPr>
            <w:tcW w:type="dxa" w:w="2381"/>
            <w:vAlign w:val="center"/>
            <w:tcMar>
              <w:top w:w="100" w:type="dxa"/>
              <w:start w:w="120" w:type="dxa"/>
              <w:bottom w:w="100" w:type="dxa"/>
              <w:end w:w="120" w:type="dxa"/>
            </w:tcMar>
            <w:shd w:fill="F3F6F7"/>
          </w:tcPr>
          <w:p>
            <w:pPr>
              <w:spacing w:after="0"/>
            </w:pPr>
            <w:r>
              <w:rPr>
                <w:sz w:val="17"/>
              </w:rPr>
              <w:t>Jenkins y Docker en evolución</w:t>
            </w:r>
          </w:p>
        </w:tc>
        <w:tc>
          <w:tcPr>
            <w:tcW w:type="dxa" w:w="4649"/>
            <w:vAlign w:val="center"/>
            <w:tcMar>
              <w:top w:w="100" w:type="dxa"/>
              <w:start w:w="120" w:type="dxa"/>
              <w:bottom w:w="100" w:type="dxa"/>
              <w:end w:w="120" w:type="dxa"/>
            </w:tcMar>
            <w:shd w:fill="F3F6F7"/>
          </w:tcPr>
          <w:p>
            <w:pPr>
              <w:spacing w:after="0"/>
            </w:pPr>
            <w:r>
              <w:rPr>
                <w:sz w:val="17"/>
              </w:rPr>
              <w:t>Faltan pruebas del pipeline completo y rollback por cliente</w:t>
            </w:r>
          </w:p>
        </w:tc>
      </w:tr>
    </w:tbl>
    <w:p>
      <w:pPr>
        <w:spacing w:after="0"/>
      </w:pPr>
    </w:p>
    <w:p>
      <w:pPr>
        <w:pStyle w:val="Heading1"/>
        <w:keepNext/>
      </w:pPr>
      <w:r>
        <w:t>Contenido</w:t>
      </w:r>
    </w:p>
    <w:p>
      <w:pPr>
        <w:ind w:left="425" w:hanging="312"/>
      </w:pPr>
      <w:r>
        <w:rPr>
          <w:b/>
        </w:rPr>
        <w:t xml:space="preserve">1. </w:t>
      </w:r>
      <w:r>
        <w:t>Visión del producto y alcance</w:t>
      </w:r>
    </w:p>
    <w:p>
      <w:pPr>
        <w:ind w:left="425" w:hanging="312"/>
      </w:pPr>
      <w:r>
        <w:rPr>
          <w:b/>
        </w:rPr>
        <w:t xml:space="preserve">2. </w:t>
      </w:r>
      <w:r>
        <w:t>Mapa de componentes y responsabilidades</w:t>
      </w:r>
    </w:p>
    <w:p>
      <w:pPr>
        <w:ind w:left="425" w:hanging="312"/>
      </w:pPr>
      <w:r>
        <w:rPr>
          <w:b/>
        </w:rPr>
        <w:t xml:space="preserve">3. </w:t>
      </w:r>
      <w:r>
        <w:t>Arquitectura Cloud y modos de despliegue</w:t>
      </w:r>
    </w:p>
    <w:p>
      <w:pPr>
        <w:ind w:left="425" w:hanging="312"/>
      </w:pPr>
      <w:r>
        <w:rPr>
          <w:b/>
        </w:rPr>
        <w:t xml:space="preserve">4. </w:t>
      </w:r>
      <w:r>
        <w:t>Portal y solicitud de una demo</w:t>
      </w:r>
    </w:p>
    <w:p>
      <w:pPr>
        <w:ind w:left="425" w:hanging="312"/>
      </w:pPr>
      <w:r>
        <w:rPr>
          <w:b/>
        </w:rPr>
        <w:t xml:space="preserve">5. </w:t>
      </w:r>
      <w:r>
        <w:t>Servicio de aprovisionamiento</w:t>
      </w:r>
    </w:p>
    <w:p>
      <w:pPr>
        <w:ind w:left="425" w:hanging="312"/>
      </w:pPr>
      <w:r>
        <w:rPr>
          <w:b/>
        </w:rPr>
        <w:t xml:space="preserve">6. </w:t>
      </w:r>
      <w:r>
        <w:t>Instalación y puesta en marcha del ERP</w:t>
      </w:r>
    </w:p>
    <w:p>
      <w:pPr>
        <w:ind w:left="425" w:hanging="312"/>
      </w:pPr>
      <w:r>
        <w:rPr>
          <w:b/>
        </w:rPr>
        <w:t xml:space="preserve">7. </w:t>
      </w:r>
      <w:r>
        <w:t>Manual funcional del circuito comercial</w:t>
      </w:r>
    </w:p>
    <w:p>
      <w:pPr>
        <w:ind w:left="425" w:hanging="312"/>
      </w:pPr>
      <w:r>
        <w:rPr>
          <w:b/>
        </w:rPr>
        <w:t xml:space="preserve">8. </w:t>
      </w:r>
      <w:r>
        <w:t>Seguridad, privacidad y continuidad</w:t>
      </w:r>
    </w:p>
    <w:p>
      <w:pPr>
        <w:ind w:left="425" w:hanging="312"/>
      </w:pPr>
      <w:r>
        <w:rPr>
          <w:b/>
        </w:rPr>
        <w:t xml:space="preserve">9. </w:t>
      </w:r>
      <w:r>
        <w:t>Automatización, observabilidad y operación</w:t>
      </w:r>
    </w:p>
    <w:p>
      <w:pPr>
        <w:ind w:left="425" w:hanging="312"/>
      </w:pPr>
      <w:r>
        <w:rPr>
          <w:b/>
        </w:rPr>
        <w:t xml:space="preserve">10. </w:t>
      </w:r>
      <w:r>
        <w:t>Estado actual, riesgos y hoja de ruta</w:t>
      </w:r>
    </w:p>
    <w:p>
      <w:pPr>
        <w:ind w:left="425" w:hanging="312"/>
      </w:pPr>
      <w:r>
        <w:rPr>
          <w:b/>
        </w:rPr>
        <w:t xml:space="preserve">11. </w:t>
      </w:r>
      <w:r>
        <w:t>Criterios de aceptación y glosario</w:t>
      </w:r>
    </w:p>
    <w:p>
      <w:pPr>
        <w:pStyle w:val="Heading1"/>
        <w:keepNext/>
      </w:pPr>
      <w:r>
        <w:t>1 Visión del producto y alcance</w:t>
      </w:r>
    </w:p>
    <w:p>
      <w:r>
        <w:t>KiwiKERP es una plataforma de gestión empresarial de FreeLandSite. Su objetivo es ofrecer un núcleo estable que cubra procesos comunes y permita extensiones controladas cuando una empresa necesita comportamiento específico. El producto separa tres planos: experiencia pública y comercial, gestión funcional del ERP y plataforma técnica de despliegue.</w:t>
      </w:r>
    </w:p>
    <w:p>
      <w:pPr>
        <w:pStyle w:val="Heading2"/>
        <w:keepNext/>
      </w:pPr>
      <w:r>
        <w:t>1.1 Principios de producto</w:t>
      </w:r>
    </w:p>
    <w:p>
      <w:pPr>
        <w:pStyle w:val="ListBullet"/>
      </w:pPr>
      <w:r>
        <w:t>Un único Core Standard para Cloud y servidor propio, parametrizado en ejecución.</w:t>
      </w:r>
    </w:p>
    <w:p>
      <w:pPr>
        <w:pStyle w:val="ListBullet"/>
      </w:pPr>
      <w:r>
        <w:t>Personalizaciones en una línea propia sólo cuando existe una diferencia funcional real.</w:t>
      </w:r>
    </w:p>
    <w:p>
      <w:pPr>
        <w:pStyle w:val="ListBullet"/>
      </w:pPr>
      <w:r>
        <w:t>Separación de datos, documentos, configuración y red por cliente Cloud.</w:t>
      </w:r>
    </w:p>
    <w:p>
      <w:pPr>
        <w:pStyle w:val="ListBullet"/>
      </w:pPr>
      <w:r>
        <w:t>El ERP calcula y valida las operaciones; los asistentes de IA sólo traducen preguntas a filtros permitidos.</w:t>
      </w:r>
    </w:p>
    <w:p>
      <w:pPr>
        <w:pStyle w:val="ListBullet"/>
      </w:pPr>
      <w:r>
        <w:t>Las operaciones fiscales, de cobro y de correo requieren trazabilidad y confirmaciones explícitas.</w:t>
      </w:r>
    </w:p>
    <w:p>
      <w:pPr>
        <w:pStyle w:val="ListBullet"/>
      </w:pPr>
      <w:r>
        <w:t>Git, las imágenes versionadas y los archivos Compose son la fuente de verdad de despliegue.</w:t>
      </w:r>
    </w:p>
    <w:p>
      <w:pPr>
        <w:pStyle w:val="Heading2"/>
        <w:keepNext/>
      </w:pPr>
      <w:r>
        <w:t>1.2 Alcance funcional visible</w:t>
      </w:r>
    </w:p>
    <w:p>
      <w:r>
        <w:t>El área más desarrollada es Ventas: entidades y condiciones comerciales, artículos, tarifas, presupuestos, pedidos, albaranes, facturas, vencimientos, cobros, documentos, avisos, automatizaciones y trazabilidad. El Portal presenta la propuesta comercial y canaliza solicitudes de prueba. Compras, informes avanzados, rectificativas, remesas, conciliación e impagados deben tratarse como ampliaciones o áreas pendientes mientras no superen su propio circuito de aceptación.</w:t>
      </w:r>
    </w:p>
    <w:p>
      <w:pPr>
        <w:pStyle w:val="Heading1"/>
        <w:keepNext/>
      </w:pPr>
      <w:r>
        <w:t>2 Mapa de componentes y responsabilidades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0262C"/>
            <w:vAlign w:val="center"/>
            <w:tcMar>
              <w:top w:w="100" w:type="dxa"/>
              <w:start w:w="120" w:type="dxa"/>
              <w:bottom w:w="100" w:type="dxa"/>
              <w:end w:w="120" w:type="dxa"/>
            </w:tcMar>
          </w:tcPr>
          <w:p>
            <w:r>
              <w:rPr>
                <w:b/>
                <w:color w:val="FFFFFF"/>
                <w:sz w:val="18"/>
              </w:rPr>
              <w:t>Componente</w:t>
            </w:r>
          </w:p>
        </w:tc>
        <w:tc>
          <w:tcPr>
            <w:tcW w:type="dxa" w:w="2436"/>
            <w:shd w:fill="20262C"/>
            <w:vAlign w:val="center"/>
            <w:tcMar>
              <w:top w:w="100" w:type="dxa"/>
              <w:start w:w="120" w:type="dxa"/>
              <w:bottom w:w="100" w:type="dxa"/>
              <w:end w:w="120" w:type="dxa"/>
            </w:tcMar>
          </w:tcPr>
          <w:p>
            <w:r>
              <w:rPr>
                <w:b/>
                <w:color w:val="FFFFFF"/>
                <w:sz w:val="18"/>
              </w:rPr>
              <w:t>Tecnología</w:t>
            </w:r>
          </w:p>
        </w:tc>
        <w:tc>
          <w:tcPr>
            <w:tcW w:type="dxa" w:w="2436"/>
            <w:shd w:fill="20262C"/>
            <w:vAlign w:val="center"/>
            <w:tcMar>
              <w:top w:w="100" w:type="dxa"/>
              <w:start w:w="120" w:type="dxa"/>
              <w:bottom w:w="100" w:type="dxa"/>
              <w:end w:w="120" w:type="dxa"/>
            </w:tcMar>
          </w:tcPr>
          <w:p>
            <w:r>
              <w:rPr>
                <w:b/>
                <w:color w:val="FFFFFF"/>
                <w:sz w:val="18"/>
              </w:rPr>
              <w:t>Responsabilidad principal</w:t>
            </w:r>
          </w:p>
        </w:tc>
        <w:tc>
          <w:tcPr>
            <w:tcW w:type="dxa" w:w="2436"/>
            <w:shd w:fill="20262C"/>
            <w:vAlign w:val="center"/>
            <w:tcMar>
              <w:top w:w="100" w:type="dxa"/>
              <w:start w:w="120" w:type="dxa"/>
              <w:bottom w:w="100" w:type="dxa"/>
              <w:end w:w="120" w:type="dxa"/>
            </w:tcMar>
          </w:tcPr>
          <w:p>
            <w:r>
              <w:rPr>
                <w:b/>
                <w:color w:val="FFFFFF"/>
                <w:sz w:val="18"/>
              </w:rPr>
              <w:t>No debe hacer</w:t>
            </w:r>
          </w:p>
        </w:tc>
      </w:tr>
      <w:tr>
        <w:trPr>
          <w:cantSplit/>
        </w:trPr>
        <w:tc>
          <w:tcPr>
            <w:tcW w:type="dxa" w:w="1587"/>
            <w:vAlign w:val="center"/>
            <w:tcMar>
              <w:top w:w="100" w:type="dxa"/>
              <w:start w:w="120" w:type="dxa"/>
              <w:bottom w:w="100" w:type="dxa"/>
              <w:end w:w="120" w:type="dxa"/>
            </w:tcMar>
          </w:tcPr>
          <w:p>
            <w:pPr>
              <w:spacing w:after="0"/>
            </w:pPr>
            <w:r>
              <w:rPr>
                <w:sz w:val="17"/>
              </w:rPr>
              <w:t>K PORTAL</w:t>
            </w:r>
          </w:p>
        </w:tc>
        <w:tc>
          <w:tcPr>
            <w:tcW w:type="dxa" w:w="1531"/>
            <w:vAlign w:val="center"/>
            <w:tcMar>
              <w:top w:w="100" w:type="dxa"/>
              <w:start w:w="120" w:type="dxa"/>
              <w:bottom w:w="100" w:type="dxa"/>
              <w:end w:w="120" w:type="dxa"/>
            </w:tcMar>
          </w:tcPr>
          <w:p>
            <w:pPr>
              <w:spacing w:after="0"/>
            </w:pPr>
            <w:r>
              <w:rPr>
                <w:sz w:val="17"/>
              </w:rPr>
              <w:t>Nginx, HTML, CSS y JavaScript</w:t>
            </w:r>
          </w:p>
        </w:tc>
        <w:tc>
          <w:tcPr>
            <w:tcW w:type="dxa" w:w="3061"/>
            <w:vAlign w:val="center"/>
            <w:tcMar>
              <w:top w:w="100" w:type="dxa"/>
              <w:start w:w="120" w:type="dxa"/>
              <w:bottom w:w="100" w:type="dxa"/>
              <w:end w:w="120" w:type="dxa"/>
            </w:tcMar>
          </w:tcPr>
          <w:p>
            <w:pPr>
              <w:spacing w:after="0"/>
            </w:pPr>
            <w:r>
              <w:rPr>
                <w:sz w:val="17"/>
              </w:rPr>
              <w:t>Web pública, propuesta de valor y formulario de demo</w:t>
            </w:r>
          </w:p>
        </w:tc>
        <w:tc>
          <w:tcPr>
            <w:tcW w:type="dxa" w:w="2835"/>
            <w:vAlign w:val="center"/>
            <w:tcMar>
              <w:top w:w="100" w:type="dxa"/>
              <w:start w:w="120" w:type="dxa"/>
              <w:bottom w:w="100" w:type="dxa"/>
              <w:end w:w="120" w:type="dxa"/>
            </w:tcMar>
          </w:tcPr>
          <w:p>
            <w:pPr>
              <w:spacing w:after="0"/>
            </w:pPr>
            <w:r>
              <w:rPr>
                <w:sz w:val="17"/>
              </w:rPr>
              <w:t>Acceder a Docker o a bases de cliente</w:t>
            </w:r>
          </w:p>
        </w:tc>
      </w:tr>
      <w:tr>
        <w:trPr>
          <w:cantSplit/>
        </w:trPr>
        <w:tc>
          <w:tcPr>
            <w:tcW w:type="dxa" w:w="1587"/>
            <w:vAlign w:val="center"/>
            <w:tcMar>
              <w:top w:w="100" w:type="dxa"/>
              <w:start w:w="120" w:type="dxa"/>
              <w:bottom w:w="100" w:type="dxa"/>
              <w:end w:w="120" w:type="dxa"/>
            </w:tcMar>
            <w:shd w:fill="F3F6F7"/>
          </w:tcPr>
          <w:p>
            <w:pPr>
              <w:spacing w:after="0"/>
            </w:pPr>
            <w:r>
              <w:rPr>
                <w:sz w:val="17"/>
              </w:rPr>
              <w:t>K PROVISIONING</w:t>
            </w:r>
          </w:p>
        </w:tc>
        <w:tc>
          <w:tcPr>
            <w:tcW w:type="dxa" w:w="1531"/>
            <w:vAlign w:val="center"/>
            <w:tcMar>
              <w:top w:w="100" w:type="dxa"/>
              <w:start w:w="120" w:type="dxa"/>
              <w:bottom w:w="100" w:type="dxa"/>
              <w:end w:w="120" w:type="dxa"/>
            </w:tcMar>
            <w:shd w:fill="F3F6F7"/>
          </w:tcPr>
          <w:p>
            <w:pPr>
              <w:spacing w:after="0"/>
            </w:pPr>
            <w:r>
              <w:rPr>
                <w:sz w:val="17"/>
              </w:rPr>
              <w:t>Spring Boot y MySQL</w:t>
            </w:r>
          </w:p>
        </w:tc>
        <w:tc>
          <w:tcPr>
            <w:tcW w:type="dxa" w:w="3061"/>
            <w:vAlign w:val="center"/>
            <w:tcMar>
              <w:top w:w="100" w:type="dxa"/>
              <w:start w:w="120" w:type="dxa"/>
              <w:bottom w:w="100" w:type="dxa"/>
              <w:end w:w="120" w:type="dxa"/>
            </w:tcMar>
            <w:shd w:fill="F3F6F7"/>
          </w:tcPr>
          <w:p>
            <w:pPr>
              <w:spacing w:after="0"/>
            </w:pPr>
            <w:r>
              <w:rPr>
                <w:sz w:val="17"/>
              </w:rPr>
              <w:t>Registrar, ordenar y controlar solicitudes e instalaciones</w:t>
            </w:r>
          </w:p>
        </w:tc>
        <w:tc>
          <w:tcPr>
            <w:tcW w:type="dxa" w:w="2835"/>
            <w:vAlign w:val="center"/>
            <w:tcMar>
              <w:top w:w="100" w:type="dxa"/>
              <w:start w:w="120" w:type="dxa"/>
              <w:bottom w:w="100" w:type="dxa"/>
              <w:end w:w="120" w:type="dxa"/>
            </w:tcMar>
            <w:shd w:fill="F3F6F7"/>
          </w:tcPr>
          <w:p>
            <w:pPr>
              <w:spacing w:after="0"/>
            </w:pPr>
            <w:r>
              <w:rPr>
                <w:sz w:val="17"/>
              </w:rPr>
              <w:t>Exponer datos personales o asumir que REQUESTED ya es READY</w:t>
            </w:r>
          </w:p>
        </w:tc>
      </w:tr>
      <w:tr>
        <w:trPr>
          <w:cantSplit/>
        </w:trPr>
        <w:tc>
          <w:tcPr>
            <w:tcW w:type="dxa" w:w="1587"/>
            <w:vAlign w:val="center"/>
            <w:tcMar>
              <w:top w:w="100" w:type="dxa"/>
              <w:start w:w="120" w:type="dxa"/>
              <w:bottom w:w="100" w:type="dxa"/>
              <w:end w:w="120" w:type="dxa"/>
            </w:tcMar>
          </w:tcPr>
          <w:p>
            <w:pPr>
              <w:spacing w:after="0"/>
            </w:pPr>
            <w:r>
              <w:rPr>
                <w:sz w:val="17"/>
              </w:rPr>
              <w:t>KiwiKErpVue</w:t>
            </w:r>
          </w:p>
        </w:tc>
        <w:tc>
          <w:tcPr>
            <w:tcW w:type="dxa" w:w="1531"/>
            <w:vAlign w:val="center"/>
            <w:tcMar>
              <w:top w:w="100" w:type="dxa"/>
              <w:start w:w="120" w:type="dxa"/>
              <w:bottom w:w="100" w:type="dxa"/>
              <w:end w:w="120" w:type="dxa"/>
            </w:tcMar>
          </w:tcPr>
          <w:p>
            <w:pPr>
              <w:spacing w:after="0"/>
            </w:pPr>
            <w:r>
              <w:rPr>
                <w:sz w:val="17"/>
              </w:rPr>
              <w:t>Vue, PrimeVue y Vite</w:t>
            </w:r>
          </w:p>
        </w:tc>
        <w:tc>
          <w:tcPr>
            <w:tcW w:type="dxa" w:w="3061"/>
            <w:vAlign w:val="center"/>
            <w:tcMar>
              <w:top w:w="100" w:type="dxa"/>
              <w:start w:w="120" w:type="dxa"/>
              <w:bottom w:w="100" w:type="dxa"/>
              <w:end w:w="120" w:type="dxa"/>
            </w:tcMar>
          </w:tcPr>
          <w:p>
            <w:pPr>
              <w:spacing w:after="0"/>
            </w:pPr>
            <w:r>
              <w:rPr>
                <w:sz w:val="17"/>
              </w:rPr>
              <w:t>Interfaz del ERP, navegación, validación inmediata y manual integrado</w:t>
            </w:r>
          </w:p>
        </w:tc>
        <w:tc>
          <w:tcPr>
            <w:tcW w:type="dxa" w:w="2835"/>
            <w:vAlign w:val="center"/>
            <w:tcMar>
              <w:top w:w="100" w:type="dxa"/>
              <w:start w:w="120" w:type="dxa"/>
              <w:bottom w:w="100" w:type="dxa"/>
              <w:end w:w="120" w:type="dxa"/>
            </w:tcMar>
          </w:tcPr>
          <w:p>
            <w:pPr>
              <w:spacing w:after="0"/>
            </w:pPr>
            <w:r>
              <w:rPr>
                <w:sz w:val="17"/>
              </w:rPr>
              <w:t>Sustituir las validaciones del backend</w:t>
            </w:r>
          </w:p>
        </w:tc>
      </w:tr>
      <w:tr>
        <w:trPr>
          <w:cantSplit/>
        </w:trPr>
        <w:tc>
          <w:tcPr>
            <w:tcW w:type="dxa" w:w="1587"/>
            <w:vAlign w:val="center"/>
            <w:tcMar>
              <w:top w:w="100" w:type="dxa"/>
              <w:start w:w="120" w:type="dxa"/>
              <w:bottom w:w="100" w:type="dxa"/>
              <w:end w:w="120" w:type="dxa"/>
            </w:tcMar>
            <w:shd w:fill="F3F6F7"/>
          </w:tcPr>
          <w:p>
            <w:pPr>
              <w:spacing w:after="0"/>
            </w:pPr>
            <w:r>
              <w:rPr>
                <w:sz w:val="17"/>
              </w:rPr>
              <w:t>K ERP FREELANDSITE</w:t>
            </w:r>
          </w:p>
        </w:tc>
        <w:tc>
          <w:tcPr>
            <w:tcW w:type="dxa" w:w="1531"/>
            <w:vAlign w:val="center"/>
            <w:tcMar>
              <w:top w:w="100" w:type="dxa"/>
              <w:start w:w="120" w:type="dxa"/>
              <w:bottom w:w="100" w:type="dxa"/>
              <w:end w:w="120" w:type="dxa"/>
            </w:tcMar>
            <w:shd w:fill="F3F6F7"/>
          </w:tcPr>
          <w:p>
            <w:pPr>
              <w:spacing w:after="0"/>
            </w:pPr>
            <w:r>
              <w:rPr>
                <w:sz w:val="17"/>
              </w:rPr>
              <w:t>Java, Spring y MySQL</w:t>
            </w:r>
          </w:p>
        </w:tc>
        <w:tc>
          <w:tcPr>
            <w:tcW w:type="dxa" w:w="3061"/>
            <w:vAlign w:val="center"/>
            <w:tcMar>
              <w:top w:w="100" w:type="dxa"/>
              <w:start w:w="120" w:type="dxa"/>
              <w:bottom w:w="100" w:type="dxa"/>
              <w:end w:w="120" w:type="dxa"/>
            </w:tcMar>
            <w:shd w:fill="F3F6F7"/>
          </w:tcPr>
          <w:p>
            <w:pPr>
              <w:spacing w:after="0"/>
            </w:pPr>
            <w:r>
              <w:rPr>
                <w:sz w:val="17"/>
              </w:rPr>
              <w:t>Reglas de negocio, persistencia, documentos, correo y APIs</w:t>
            </w:r>
          </w:p>
        </w:tc>
        <w:tc>
          <w:tcPr>
            <w:tcW w:type="dxa" w:w="2835"/>
            <w:vAlign w:val="center"/>
            <w:tcMar>
              <w:top w:w="100" w:type="dxa"/>
              <w:start w:w="120" w:type="dxa"/>
              <w:bottom w:w="100" w:type="dxa"/>
              <w:end w:w="120" w:type="dxa"/>
            </w:tcMar>
            <w:shd w:fill="F3F6F7"/>
          </w:tcPr>
          <w:p>
            <w:pPr>
              <w:spacing w:after="0"/>
            </w:pPr>
            <w:r>
              <w:rPr>
                <w:sz w:val="17"/>
              </w:rPr>
              <w:t>Confiar en datos calculados por el navegador</w:t>
            </w:r>
          </w:p>
        </w:tc>
      </w:tr>
      <w:tr>
        <w:trPr>
          <w:cantSplit/>
        </w:trPr>
        <w:tc>
          <w:tcPr>
            <w:tcW w:type="dxa" w:w="1587"/>
            <w:vAlign w:val="center"/>
            <w:tcMar>
              <w:top w:w="100" w:type="dxa"/>
              <w:start w:w="120" w:type="dxa"/>
              <w:bottom w:w="100" w:type="dxa"/>
              <w:end w:w="120" w:type="dxa"/>
            </w:tcMar>
          </w:tcPr>
          <w:p>
            <w:pPr>
              <w:spacing w:after="0"/>
            </w:pPr>
            <w:r>
              <w:rPr>
                <w:sz w:val="17"/>
              </w:rPr>
              <w:t>K INFRASTRUCTURE</w:t>
            </w:r>
          </w:p>
        </w:tc>
        <w:tc>
          <w:tcPr>
            <w:tcW w:type="dxa" w:w="1531"/>
            <w:vAlign w:val="center"/>
            <w:tcMar>
              <w:top w:w="100" w:type="dxa"/>
              <w:start w:w="120" w:type="dxa"/>
              <w:bottom w:w="100" w:type="dxa"/>
              <w:end w:w="120" w:type="dxa"/>
            </w:tcMar>
          </w:tcPr>
          <w:p>
            <w:pPr>
              <w:spacing w:after="0"/>
            </w:pPr>
            <w:r>
              <w:rPr>
                <w:sz w:val="17"/>
              </w:rPr>
              <w:t>Docker, Compose y documentación</w:t>
            </w:r>
          </w:p>
        </w:tc>
        <w:tc>
          <w:tcPr>
            <w:tcW w:type="dxa" w:w="3061"/>
            <w:vAlign w:val="center"/>
            <w:tcMar>
              <w:top w:w="100" w:type="dxa"/>
              <w:start w:w="120" w:type="dxa"/>
              <w:bottom w:w="100" w:type="dxa"/>
              <w:end w:w="120" w:type="dxa"/>
            </w:tcMar>
          </w:tcPr>
          <w:p>
            <w:pPr>
              <w:spacing w:after="0"/>
            </w:pPr>
            <w:r>
              <w:rPr>
                <w:sz w:val="17"/>
              </w:rPr>
              <w:t>Topología, entornos, persistencia, backups y operación</w:t>
            </w:r>
          </w:p>
        </w:tc>
        <w:tc>
          <w:tcPr>
            <w:tcW w:type="dxa" w:w="2835"/>
            <w:vAlign w:val="center"/>
            <w:tcMar>
              <w:top w:w="100" w:type="dxa"/>
              <w:start w:w="120" w:type="dxa"/>
              <w:bottom w:w="100" w:type="dxa"/>
              <w:end w:w="120" w:type="dxa"/>
            </w:tcMar>
          </w:tcPr>
          <w:p>
            <w:pPr>
              <w:spacing w:after="0"/>
            </w:pPr>
            <w:r>
              <w:rPr>
                <w:sz w:val="17"/>
              </w:rPr>
              <w:t>Guardar secretos o depender sólo de Portainer</w:t>
            </w:r>
          </w:p>
        </w:tc>
      </w:tr>
      <w:tr>
        <w:trPr>
          <w:cantSplit/>
        </w:trPr>
        <w:tc>
          <w:tcPr>
            <w:tcW w:type="dxa" w:w="1587"/>
            <w:vAlign w:val="center"/>
            <w:tcMar>
              <w:top w:w="100" w:type="dxa"/>
              <w:start w:w="120" w:type="dxa"/>
              <w:bottom w:w="100" w:type="dxa"/>
              <w:end w:w="120" w:type="dxa"/>
            </w:tcMar>
            <w:shd w:fill="F3F6F7"/>
          </w:tcPr>
          <w:p>
            <w:pPr>
              <w:spacing w:after="0"/>
            </w:pPr>
            <w:r>
              <w:rPr>
                <w:sz w:val="17"/>
              </w:rPr>
              <w:t>Jenkins y Registry</w:t>
            </w:r>
          </w:p>
        </w:tc>
        <w:tc>
          <w:tcPr>
            <w:tcW w:type="dxa" w:w="1531"/>
            <w:vAlign w:val="center"/>
            <w:tcMar>
              <w:top w:w="100" w:type="dxa"/>
              <w:start w:w="120" w:type="dxa"/>
              <w:bottom w:w="100" w:type="dxa"/>
              <w:end w:w="120" w:type="dxa"/>
            </w:tcMar>
            <w:shd w:fill="F3F6F7"/>
          </w:tcPr>
          <w:p>
            <w:pPr>
              <w:spacing w:after="0"/>
            </w:pPr>
            <w:r>
              <w:rPr>
                <w:sz w:val="17"/>
              </w:rPr>
              <w:t>CI CD e imágenes</w:t>
            </w:r>
          </w:p>
        </w:tc>
        <w:tc>
          <w:tcPr>
            <w:tcW w:type="dxa" w:w="3061"/>
            <w:vAlign w:val="center"/>
            <w:tcMar>
              <w:top w:w="100" w:type="dxa"/>
              <w:start w:w="120" w:type="dxa"/>
              <w:bottom w:w="100" w:type="dxa"/>
              <w:end w:w="120" w:type="dxa"/>
            </w:tcMar>
            <w:shd w:fill="F3F6F7"/>
          </w:tcPr>
          <w:p>
            <w:pPr>
              <w:spacing w:after="0"/>
            </w:pPr>
            <w:r>
              <w:rPr>
                <w:sz w:val="17"/>
              </w:rPr>
              <w:t>Construir, etiquetar, verificar y desplegar versiones compatibles</w:t>
            </w:r>
          </w:p>
        </w:tc>
        <w:tc>
          <w:tcPr>
            <w:tcW w:type="dxa" w:w="2835"/>
            <w:vAlign w:val="center"/>
            <w:tcMar>
              <w:top w:w="100" w:type="dxa"/>
              <w:start w:w="120" w:type="dxa"/>
              <w:bottom w:w="100" w:type="dxa"/>
              <w:end w:w="120" w:type="dxa"/>
            </w:tcMar>
            <w:shd w:fill="F3F6F7"/>
          </w:tcPr>
          <w:p>
            <w:pPr>
              <w:spacing w:after="0"/>
            </w:pPr>
            <w:r>
              <w:rPr>
                <w:sz w:val="17"/>
              </w:rPr>
              <w:t>Desplegar sin backup, migración y health check</w:t>
            </w:r>
          </w:p>
        </w:tc>
      </w:tr>
    </w:tbl>
    <w:p>
      <w:pPr>
        <w:spacing w:after="0"/>
      </w:pPr>
    </w:p>
    <w:p>
      <w:r>
        <w:t>La separación es deliberada. Cada servicio puede tener su propia imagen y Dockerfile, mientras Compose integra el conjunto. Que varios servicios estén en un mismo stack no significa que deban mezclarse en una sola imagen.</w:t>
      </w:r>
    </w:p>
    <w:p>
      <w:pPr>
        <w:pStyle w:val="Heading1"/>
        <w:keepNext/>
      </w:pPr>
      <w:r>
        <w:t>3 Arquitectura Cloud y modos de despliegue</w:t>
      </w:r>
    </w:p>
    <w:p>
      <w:pPr>
        <w:keepNext/>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Infraestructura.png"/>
                    <pic:cNvPicPr/>
                  </pic:nvPicPr>
                  <pic:blipFill>
                    <a:blip r:embed="rId10"/>
                    <a:stretch>
                      <a:fillRect/>
                    </a:stretch>
                  </pic:blipFill>
                  <pic:spPr>
                    <a:xfrm>
                      <a:off x="0" y="0"/>
                      <a:ext cx="5806440" cy="3870960"/>
                    </a:xfrm>
                    <a:prstGeom prst="rect"/>
                  </pic:spPr>
                </pic:pic>
              </a:graphicData>
            </a:graphic>
          </wp:inline>
        </w:drawing>
      </w:r>
    </w:p>
    <w:p>
      <w:pPr>
        <w:pStyle w:val="Caption"/>
        <w:jc w:val="center"/>
      </w:pPr>
      <w:r>
        <w:t>Figura 1. Arquitectura objetivo de KiwiKERP Cloud y ciclo de vida de una demo.</w:t>
      </w:r>
    </w:p>
    <w:p>
      <w:pPr>
        <w:pStyle w:val="Heading2"/>
        <w:keepNext/>
      </w:pPr>
      <w:r>
        <w:t>3.1 Camino de una petición</w:t>
      </w:r>
    </w:p>
    <w:p>
      <w:pPr>
        <w:ind w:left="425" w:hanging="312"/>
      </w:pPr>
      <w:r>
        <w:rPr>
          <w:b/>
        </w:rPr>
        <w:t xml:space="preserve">1. </w:t>
      </w:r>
      <w:r>
        <w:t>El usuario accede por Internet al dominio público.</w:t>
      </w:r>
    </w:p>
    <w:p>
      <w:pPr>
        <w:ind w:left="425" w:hanging="312"/>
      </w:pPr>
      <w:r>
        <w:rPr>
          <w:b/>
        </w:rPr>
        <w:t xml:space="preserve">2. </w:t>
      </w:r>
      <w:r>
        <w:t>Cloudflare aporta DNS, TLS, protección y túnel hacia la infraestructura.</w:t>
      </w:r>
    </w:p>
    <w:p>
      <w:pPr>
        <w:ind w:left="425" w:hanging="312"/>
      </w:pPr>
      <w:r>
        <w:rPr>
          <w:b/>
        </w:rPr>
        <w:t xml:space="preserve">3. </w:t>
      </w:r>
      <w:r>
        <w:t>Traefik aplica reglas por dominio y ruta y dirige el tráfico al servicio correcto.</w:t>
      </w:r>
    </w:p>
    <w:p>
      <w:pPr>
        <w:ind w:left="425" w:hanging="312"/>
      </w:pPr>
      <w:r>
        <w:rPr>
          <w:b/>
        </w:rPr>
        <w:t xml:space="preserve">4. </w:t>
      </w:r>
      <w:r>
        <w:t>El Portal atiende la web; la ruta de solicitud se entrega a Provisioning.</w:t>
      </w:r>
    </w:p>
    <w:p>
      <w:pPr>
        <w:ind w:left="425" w:hanging="312"/>
      </w:pPr>
      <w:r>
        <w:rPr>
          <w:b/>
        </w:rPr>
        <w:t xml:space="preserve">5. </w:t>
      </w:r>
      <w:r>
        <w:t>Provisioning persiste la solicitud y, en la arquitectura objetivo, coordina Jenkins.</w:t>
      </w:r>
    </w:p>
    <w:p>
      <w:pPr>
        <w:ind w:left="425" w:hanging="312"/>
      </w:pPr>
      <w:r>
        <w:rPr>
          <w:b/>
        </w:rPr>
        <w:t xml:space="preserve">6. </w:t>
      </w:r>
      <w:r>
        <w:t>Jenkins construye o selecciona imágenes y despliega un stack aislado por cliente.</w:t>
      </w:r>
    </w:p>
    <w:p>
      <w:pPr>
        <w:ind w:left="425" w:hanging="312"/>
      </w:pPr>
      <w:r>
        <w:rPr>
          <w:b/>
        </w:rPr>
        <w:t xml:space="preserve">7. </w:t>
      </w:r>
      <w:r>
        <w:t>El stack del cliente contiene frontend, backend, MySQL, red privada y volúmenes persistentes.</w:t>
      </w:r>
    </w:p>
    <w:p>
      <w:pPr>
        <w:pStyle w:val="Heading2"/>
        <w:keepNext/>
      </w:pPr>
      <w:r>
        <w:t>3.2 Modos de despliegue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0262C"/>
            <w:vAlign w:val="center"/>
            <w:tcMar>
              <w:top w:w="100" w:type="dxa"/>
              <w:start w:w="120" w:type="dxa"/>
              <w:bottom w:w="100" w:type="dxa"/>
              <w:end w:w="120" w:type="dxa"/>
            </w:tcMar>
          </w:tcPr>
          <w:p>
            <w:r>
              <w:rPr>
                <w:b/>
                <w:color w:val="FFFFFF"/>
                <w:sz w:val="18"/>
              </w:rPr>
              <w:t>Modo</w:t>
            </w:r>
          </w:p>
        </w:tc>
        <w:tc>
          <w:tcPr>
            <w:tcW w:type="dxa" w:w="2436"/>
            <w:shd w:fill="20262C"/>
            <w:vAlign w:val="center"/>
            <w:tcMar>
              <w:top w:w="100" w:type="dxa"/>
              <w:start w:w="120" w:type="dxa"/>
              <w:bottom w:w="100" w:type="dxa"/>
              <w:end w:w="120" w:type="dxa"/>
            </w:tcMar>
          </w:tcPr>
          <w:p>
            <w:r>
              <w:rPr>
                <w:b/>
                <w:color w:val="FFFFFF"/>
                <w:sz w:val="18"/>
              </w:rPr>
              <w:t>Código</w:t>
            </w:r>
          </w:p>
        </w:tc>
        <w:tc>
          <w:tcPr>
            <w:tcW w:type="dxa" w:w="2436"/>
            <w:shd w:fill="20262C"/>
            <w:vAlign w:val="center"/>
            <w:tcMar>
              <w:top w:w="100" w:type="dxa"/>
              <w:start w:w="120" w:type="dxa"/>
              <w:bottom w:w="100" w:type="dxa"/>
              <w:end w:w="120" w:type="dxa"/>
            </w:tcMar>
          </w:tcPr>
          <w:p>
            <w:r>
              <w:rPr>
                <w:b/>
                <w:color w:val="FFFFFF"/>
                <w:sz w:val="18"/>
              </w:rPr>
              <w:t>Uso</w:t>
            </w:r>
          </w:p>
        </w:tc>
        <w:tc>
          <w:tcPr>
            <w:tcW w:type="dxa" w:w="2436"/>
            <w:shd w:fill="20262C"/>
            <w:vAlign w:val="center"/>
            <w:tcMar>
              <w:top w:w="100" w:type="dxa"/>
              <w:start w:w="120" w:type="dxa"/>
              <w:bottom w:w="100" w:type="dxa"/>
              <w:end w:w="120" w:type="dxa"/>
            </w:tcMar>
          </w:tcPr>
          <w:p>
            <w:r>
              <w:rPr>
                <w:b/>
                <w:color w:val="FFFFFF"/>
                <w:sz w:val="18"/>
              </w:rPr>
              <w:t>Gestión documental</w:t>
            </w:r>
          </w:p>
        </w:tc>
      </w:tr>
      <w:tr>
        <w:trPr>
          <w:cantSplit/>
        </w:trPr>
        <w:tc>
          <w:tcPr>
            <w:tcW w:type="dxa" w:w="1814"/>
            <w:vAlign w:val="center"/>
            <w:tcMar>
              <w:top w:w="100" w:type="dxa"/>
              <w:start w:w="120" w:type="dxa"/>
              <w:bottom w:w="100" w:type="dxa"/>
              <w:end w:w="120" w:type="dxa"/>
            </w:tcMar>
          </w:tcPr>
          <w:p>
            <w:pPr>
              <w:spacing w:after="0"/>
            </w:pPr>
            <w:r>
              <w:rPr>
                <w:sz w:val="17"/>
              </w:rPr>
              <w:t>Cloud Standard</w:t>
            </w:r>
          </w:p>
        </w:tc>
        <w:tc>
          <w:tcPr>
            <w:tcW w:type="dxa" w:w="1928"/>
            <w:vAlign w:val="center"/>
            <w:tcMar>
              <w:top w:w="100" w:type="dxa"/>
              <w:start w:w="120" w:type="dxa"/>
              <w:bottom w:w="100" w:type="dxa"/>
              <w:end w:w="120" w:type="dxa"/>
            </w:tcMar>
          </w:tcPr>
          <w:p>
            <w:pPr>
              <w:spacing w:after="0"/>
            </w:pPr>
            <w:r>
              <w:rPr>
                <w:sz w:val="17"/>
              </w:rPr>
              <w:t>STANDARD CLOUD</w:t>
            </w:r>
          </w:p>
        </w:tc>
        <w:tc>
          <w:tcPr>
            <w:tcW w:type="dxa" w:w="3005"/>
            <w:vAlign w:val="center"/>
            <w:tcMar>
              <w:top w:w="100" w:type="dxa"/>
              <w:start w:w="120" w:type="dxa"/>
              <w:bottom w:w="100" w:type="dxa"/>
              <w:end w:w="120" w:type="dxa"/>
            </w:tcMar>
          </w:tcPr>
          <w:p>
            <w:pPr>
              <w:spacing w:after="0"/>
            </w:pPr>
            <w:r>
              <w:rPr>
                <w:sz w:val="17"/>
              </w:rPr>
              <w:t>Core común, múltiples clientes aislados</w:t>
            </w:r>
          </w:p>
        </w:tc>
        <w:tc>
          <w:tcPr>
            <w:tcW w:type="dxa" w:w="2268"/>
            <w:vAlign w:val="center"/>
            <w:tcMar>
              <w:top w:w="100" w:type="dxa"/>
              <w:start w:w="120" w:type="dxa"/>
              <w:bottom w:w="100" w:type="dxa"/>
              <w:end w:w="120" w:type="dxa"/>
            </w:tcMar>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shd w:fill="F3F6F7"/>
          </w:tcPr>
          <w:p>
            <w:pPr>
              <w:spacing w:after="0"/>
            </w:pPr>
            <w:r>
              <w:rPr>
                <w:sz w:val="17"/>
              </w:rPr>
              <w:t>Cloud personalizado</w:t>
            </w:r>
          </w:p>
        </w:tc>
        <w:tc>
          <w:tcPr>
            <w:tcW w:type="dxa" w:w="1928"/>
            <w:vAlign w:val="center"/>
            <w:tcMar>
              <w:top w:w="100" w:type="dxa"/>
              <w:start w:w="120" w:type="dxa"/>
              <w:bottom w:w="100" w:type="dxa"/>
              <w:end w:w="120" w:type="dxa"/>
            </w:tcMar>
            <w:shd w:fill="F3F6F7"/>
          </w:tcPr>
          <w:p>
            <w:pPr>
              <w:spacing w:after="0"/>
            </w:pPr>
            <w:r>
              <w:rPr>
                <w:sz w:val="17"/>
              </w:rPr>
              <w:t>CUSTOM CLOUD</w:t>
            </w:r>
          </w:p>
        </w:tc>
        <w:tc>
          <w:tcPr>
            <w:tcW w:type="dxa" w:w="3005"/>
            <w:vAlign w:val="center"/>
            <w:tcMar>
              <w:top w:w="100" w:type="dxa"/>
              <w:start w:w="120" w:type="dxa"/>
              <w:bottom w:w="100" w:type="dxa"/>
              <w:end w:w="120" w:type="dxa"/>
            </w:tcMar>
            <w:shd w:fill="F3F6F7"/>
          </w:tcPr>
          <w:p>
            <w:pPr>
              <w:spacing w:after="0"/>
            </w:pPr>
            <w:r>
              <w:rPr>
                <w:sz w:val="17"/>
              </w:rPr>
              <w:t>Cliente con diferencias funcionales reales</w:t>
            </w:r>
          </w:p>
        </w:tc>
        <w:tc>
          <w:tcPr>
            <w:tcW w:type="dxa" w:w="2268"/>
            <w:vAlign w:val="center"/>
            <w:tcMar>
              <w:top w:w="100" w:type="dxa"/>
              <w:start w:w="120" w:type="dxa"/>
              <w:bottom w:w="100" w:type="dxa"/>
              <w:end w:w="120" w:type="dxa"/>
            </w:tcMar>
            <w:shd w:fill="F3F6F7"/>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tcPr>
          <w:p>
            <w:pPr>
              <w:spacing w:after="0"/>
            </w:pPr>
            <w:r>
              <w:rPr>
                <w:sz w:val="17"/>
              </w:rPr>
              <w:t>Servidor del cliente</w:t>
            </w:r>
          </w:p>
        </w:tc>
        <w:tc>
          <w:tcPr>
            <w:tcW w:type="dxa" w:w="1928"/>
            <w:vAlign w:val="center"/>
            <w:tcMar>
              <w:top w:w="100" w:type="dxa"/>
              <w:start w:w="120" w:type="dxa"/>
              <w:bottom w:w="100" w:type="dxa"/>
              <w:end w:w="120" w:type="dxa"/>
            </w:tcMar>
          </w:tcPr>
          <w:p>
            <w:pPr>
              <w:spacing w:after="0"/>
            </w:pPr>
            <w:r>
              <w:rPr>
                <w:sz w:val="17"/>
              </w:rPr>
              <w:t>ON PREMISE</w:t>
            </w:r>
          </w:p>
        </w:tc>
        <w:tc>
          <w:tcPr>
            <w:tcW w:type="dxa" w:w="3005"/>
            <w:vAlign w:val="center"/>
            <w:tcMar>
              <w:top w:w="100" w:type="dxa"/>
              <w:start w:w="120" w:type="dxa"/>
              <w:bottom w:w="100" w:type="dxa"/>
              <w:end w:w="120" w:type="dxa"/>
            </w:tcMar>
          </w:tcPr>
          <w:p>
            <w:pPr>
              <w:spacing w:after="0"/>
            </w:pPr>
            <w:r>
              <w:rPr>
                <w:sz w:val="17"/>
              </w:rPr>
              <w:t>Core Standard o entrega acordada</w:t>
            </w:r>
          </w:p>
        </w:tc>
        <w:tc>
          <w:tcPr>
            <w:tcW w:type="dxa" w:w="2268"/>
            <w:vAlign w:val="center"/>
            <w:tcMar>
              <w:top w:w="100" w:type="dxa"/>
              <w:start w:w="120" w:type="dxa"/>
              <w:bottom w:w="100" w:type="dxa"/>
              <w:end w:w="120" w:type="dxa"/>
            </w:tcMar>
          </w:tcPr>
          <w:p>
            <w:pPr>
              <w:spacing w:after="0"/>
            </w:pPr>
            <w:r>
              <w:rPr>
                <w:sz w:val="17"/>
              </w:rPr>
              <w:t>Responsabilidad operativa acordada con el cliente</w:t>
            </w:r>
          </w:p>
        </w:tc>
      </w:tr>
    </w:tbl>
    <w:p>
      <w:pPr>
        <w:spacing w:after="0"/>
      </w:pPr>
    </w:p>
    <w:p>
      <w:r>
        <w:t>El usuario funcional no elige el modo. La infraestructura suministra KIWIKERP_DEPLOYMENT_MODE. La rama de código no debe utilizarse como sustituto de la configuración de entorno.</w:t>
      </w:r>
    </w:p>
    <w:p>
      <w:pPr>
        <w:pStyle w:val="Heading2"/>
        <w:keepNext/>
      </w:pPr>
      <w:r>
        <w:t>3.3 Laboratorio y producción</w:t>
      </w:r>
    </w:p>
    <w:p>
      <w:r>
        <w:t>El laboratorio reproducible se plantea sobre Ubuntu Server y Docker dentro de una máquina virtual local. Producción requiere una máquina Linux separada y ampliable. El servidor Windows FRE SER conserva sus servicios actuales y no debe convertirse en anfitrión del Cloud mediante virtualización anidada. El traslado a producción se hará reconstruyendo desde infraestructura versionada y restaurando datos verificados, no copiando la máquina virtual como mecanismo principal.</w:t>
      </w:r>
    </w:p>
    <w:p>
      <w:pPr>
        <w:pStyle w:val="Heading1"/>
        <w:keepNext/>
      </w:pPr>
      <w:r>
        <w:t>4 Portal y solicitud de una demo</w:t>
      </w:r>
    </w:p>
    <w:p>
      <w:r>
        <w:t>El Portal es la entrada pública de KiwiKERP y FreeLandSite. Explica la oferta Standard, la posibilidad de adaptación, las modalidades Cloud y servidor propio, y separa el contacto comercial de la futura prueba autogestionada.</w:t>
      </w:r>
    </w:p>
    <w:p>
      <w:pPr>
        <w:pStyle w:val="Heading2"/>
        <w:keepNext/>
      </w:pPr>
      <w:r>
        <w:t>4.1 Datos y respuesta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Entrada del formulario</w:t>
            </w:r>
          </w:p>
        </w:tc>
        <w:tc>
          <w:tcPr>
            <w:tcW w:type="dxa" w:w="3249"/>
            <w:shd w:fill="20262C"/>
            <w:vAlign w:val="center"/>
            <w:tcMar>
              <w:top w:w="100" w:type="dxa"/>
              <w:start w:w="120" w:type="dxa"/>
              <w:bottom w:w="100" w:type="dxa"/>
              <w:end w:w="120" w:type="dxa"/>
            </w:tcMar>
          </w:tcPr>
          <w:p>
            <w:r>
              <w:rPr>
                <w:b/>
                <w:color w:val="FFFFFF"/>
                <w:sz w:val="18"/>
              </w:rPr>
              <w:t>Respuesta permitida</w:t>
            </w:r>
          </w:p>
        </w:tc>
        <w:tc>
          <w:tcPr>
            <w:tcW w:type="dxa" w:w="3249"/>
            <w:shd w:fill="20262C"/>
            <w:vAlign w:val="center"/>
            <w:tcMar>
              <w:top w:w="100" w:type="dxa"/>
              <w:start w:w="120" w:type="dxa"/>
              <w:bottom w:w="100" w:type="dxa"/>
              <w:end w:w="120" w:type="dxa"/>
            </w:tcMar>
          </w:tcPr>
          <w:p>
            <w:r>
              <w:rPr>
                <w:b/>
                <w:color w:val="FFFFFF"/>
                <w:sz w:val="18"/>
              </w:rPr>
              <w:t>Interpretación</w:t>
            </w:r>
          </w:p>
        </w:tc>
      </w:tr>
      <w:tr>
        <w:trPr>
          <w:cantSplit/>
        </w:trPr>
        <w:tc>
          <w:tcPr>
            <w:tcW w:type="dxa" w:w="2324"/>
            <w:vAlign w:val="center"/>
            <w:tcMar>
              <w:top w:w="100" w:type="dxa"/>
              <w:start w:w="120" w:type="dxa"/>
              <w:bottom w:w="100" w:type="dxa"/>
              <w:end w:w="120" w:type="dxa"/>
            </w:tcMar>
          </w:tcPr>
          <w:p>
            <w:pPr>
              <w:spacing w:after="0"/>
            </w:pPr>
            <w:r>
              <w:rPr>
                <w:sz w:val="17"/>
              </w:rPr>
              <w:t>Nombre, empresa y correo</w:t>
            </w:r>
          </w:p>
        </w:tc>
        <w:tc>
          <w:tcPr>
            <w:tcW w:type="dxa" w:w="2835"/>
            <w:vAlign w:val="center"/>
            <w:tcMar>
              <w:top w:w="100" w:type="dxa"/>
              <w:start w:w="120" w:type="dxa"/>
              <w:bottom w:w="100" w:type="dxa"/>
              <w:end w:w="120" w:type="dxa"/>
            </w:tcMar>
          </w:tcPr>
          <w:p>
            <w:pPr>
              <w:spacing w:after="0"/>
            </w:pPr>
            <w:r>
              <w:rPr>
                <w:sz w:val="17"/>
              </w:rPr>
              <w:t>Código de instalación, dominio, tipo, estado y reused</w:t>
            </w:r>
          </w:p>
        </w:tc>
        <w:tc>
          <w:tcPr>
            <w:tcW w:type="dxa" w:w="3855"/>
            <w:vAlign w:val="center"/>
            <w:tcMar>
              <w:top w:w="100" w:type="dxa"/>
              <w:start w:w="120" w:type="dxa"/>
              <w:bottom w:w="100" w:type="dxa"/>
              <w:end w:w="120" w:type="dxa"/>
            </w:tcMar>
          </w:tcPr>
          <w:p>
            <w:pPr>
              <w:spacing w:after="0"/>
            </w:pPr>
            <w:r>
              <w:rPr>
                <w:sz w:val="17"/>
              </w:rPr>
              <w:t>Se registra una solicitud sin devolver datos personales</w:t>
            </w:r>
          </w:p>
        </w:tc>
      </w:tr>
      <w:tr>
        <w:trPr>
          <w:cantSplit/>
        </w:trPr>
        <w:tc>
          <w:tcPr>
            <w:tcW w:type="dxa" w:w="2324"/>
            <w:vAlign w:val="center"/>
            <w:tcMar>
              <w:top w:w="100" w:type="dxa"/>
              <w:start w:w="120" w:type="dxa"/>
              <w:bottom w:w="100" w:type="dxa"/>
              <w:end w:w="120" w:type="dxa"/>
            </w:tcMar>
            <w:shd w:fill="F3F6F7"/>
          </w:tcPr>
          <w:p>
            <w:pPr>
              <w:spacing w:after="0"/>
            </w:pPr>
            <w:r>
              <w:rPr>
                <w:sz w:val="17"/>
              </w:rPr>
              <w:t>Misma IP</w:t>
            </w:r>
          </w:p>
        </w:tc>
        <w:tc>
          <w:tcPr>
            <w:tcW w:type="dxa" w:w="2835"/>
            <w:vAlign w:val="center"/>
            <w:tcMar>
              <w:top w:w="100" w:type="dxa"/>
              <w:start w:w="120" w:type="dxa"/>
              <w:bottom w:w="100" w:type="dxa"/>
              <w:end w:w="120" w:type="dxa"/>
            </w:tcMar>
            <w:shd w:fill="F3F6F7"/>
          </w:tcPr>
          <w:p>
            <w:pPr>
              <w:spacing w:after="0"/>
            </w:pPr>
            <w:r>
              <w:rPr>
                <w:sz w:val="17"/>
              </w:rPr>
              <w:t>La identidad previa puede reutilizarse</w:t>
            </w:r>
          </w:p>
        </w:tc>
        <w:tc>
          <w:tcPr>
            <w:tcW w:type="dxa" w:w="3855"/>
            <w:vAlign w:val="center"/>
            <w:tcMar>
              <w:top w:w="100" w:type="dxa"/>
              <w:start w:w="120" w:type="dxa"/>
              <w:bottom w:w="100" w:type="dxa"/>
              <w:end w:w="120" w:type="dxa"/>
            </w:tcMar>
            <w:shd w:fill="F3F6F7"/>
          </w:tcPr>
          <w:p>
            <w:pPr>
              <w:spacing w:after="0"/>
            </w:pPr>
            <w:r>
              <w:rPr>
                <w:sz w:val="17"/>
              </w:rPr>
              <w:t>Evita duplicados; no autentica al usuario</w:t>
            </w:r>
          </w:p>
        </w:tc>
      </w:tr>
      <w:tr>
        <w:trPr>
          <w:cantSplit/>
        </w:trPr>
        <w:tc>
          <w:tcPr>
            <w:tcW w:type="dxa" w:w="2324"/>
            <w:vAlign w:val="center"/>
            <w:tcMar>
              <w:top w:w="100" w:type="dxa"/>
              <w:start w:w="120" w:type="dxa"/>
              <w:bottom w:w="100" w:type="dxa"/>
              <w:end w:w="120" w:type="dxa"/>
            </w:tcMar>
          </w:tcPr>
          <w:p>
            <w:pPr>
              <w:spacing w:after="0"/>
            </w:pPr>
            <w:r>
              <w:rPr>
                <w:sz w:val="17"/>
              </w:rPr>
              <w:t>REQUESTED</w:t>
            </w:r>
          </w:p>
        </w:tc>
        <w:tc>
          <w:tcPr>
            <w:tcW w:type="dxa" w:w="2835"/>
            <w:vAlign w:val="center"/>
            <w:tcMar>
              <w:top w:w="100" w:type="dxa"/>
              <w:start w:w="120" w:type="dxa"/>
              <w:bottom w:w="100" w:type="dxa"/>
              <w:end w:w="120" w:type="dxa"/>
            </w:tcMar>
          </w:tcPr>
          <w:p>
            <w:pPr>
              <w:spacing w:after="0"/>
            </w:pPr>
            <w:r>
              <w:rPr>
                <w:sz w:val="17"/>
              </w:rPr>
              <w:t>Solicitud registrada</w:t>
            </w:r>
          </w:p>
        </w:tc>
        <w:tc>
          <w:tcPr>
            <w:tcW w:type="dxa" w:w="3855"/>
            <w:vAlign w:val="center"/>
            <w:tcMar>
              <w:top w:w="100" w:type="dxa"/>
              <w:start w:w="120" w:type="dxa"/>
              <w:bottom w:w="100" w:type="dxa"/>
              <w:end w:w="120" w:type="dxa"/>
            </w:tcMar>
          </w:tcPr>
          <w:p>
            <w:pPr>
              <w:spacing w:after="0"/>
            </w:pPr>
            <w:r>
              <w:rPr>
                <w:sz w:val="17"/>
              </w:rPr>
              <w:t>No significa que el entorno esté disponible</w:t>
            </w:r>
          </w:p>
        </w:tc>
      </w:tr>
      <w:tr>
        <w:trPr>
          <w:cantSplit/>
        </w:trPr>
        <w:tc>
          <w:tcPr>
            <w:tcW w:type="dxa" w:w="2324"/>
            <w:vAlign w:val="center"/>
            <w:tcMar>
              <w:top w:w="100" w:type="dxa"/>
              <w:start w:w="120" w:type="dxa"/>
              <w:bottom w:w="100" w:type="dxa"/>
              <w:end w:w="120" w:type="dxa"/>
            </w:tcMar>
            <w:shd w:fill="F3F6F7"/>
          </w:tcPr>
          <w:p>
            <w:pPr>
              <w:spacing w:after="0"/>
            </w:pPr>
            <w:r>
              <w:rPr>
                <w:sz w:val="17"/>
              </w:rPr>
              <w:t>429 con Retry After</w:t>
            </w:r>
          </w:p>
        </w:tc>
        <w:tc>
          <w:tcPr>
            <w:tcW w:type="dxa" w:w="2835"/>
            <w:vAlign w:val="center"/>
            <w:tcMar>
              <w:top w:w="100" w:type="dxa"/>
              <w:start w:w="120" w:type="dxa"/>
              <w:bottom w:w="100" w:type="dxa"/>
              <w:end w:w="120" w:type="dxa"/>
            </w:tcMar>
            <w:shd w:fill="F3F6F7"/>
          </w:tcPr>
          <w:p>
            <w:pPr>
              <w:spacing w:after="0"/>
            </w:pPr>
            <w:r>
              <w:rPr>
                <w:sz w:val="17"/>
              </w:rPr>
              <w:t>Límite temporal</w:t>
            </w:r>
          </w:p>
        </w:tc>
        <w:tc>
          <w:tcPr>
            <w:tcW w:type="dxa" w:w="3855"/>
            <w:vAlign w:val="center"/>
            <w:tcMar>
              <w:top w:w="100" w:type="dxa"/>
              <w:start w:w="120" w:type="dxa"/>
              <w:bottom w:w="100" w:type="dxa"/>
              <w:end w:w="120" w:type="dxa"/>
            </w:tcMar>
            <w:shd w:fill="F3F6F7"/>
          </w:tcPr>
          <w:p>
            <w:pPr>
              <w:spacing w:after="0"/>
            </w:pPr>
            <w:r>
              <w:rPr>
                <w:sz w:val="17"/>
              </w:rPr>
              <w:t>El Portal debe informar y permitir reintentar más tarde</w:t>
            </w:r>
          </w:p>
        </w:tc>
      </w:tr>
    </w:tbl>
    <w:p>
      <w:pPr>
        <w:spacing w:after="0"/>
      </w:pPr>
    </w:p>
    <w:p>
      <w:r>
        <w:t>En desarrollo local el Portal puede llamar a localhost:9083. En publicación usa /api/demo en el mismo origen y el proxy debe conceder a esa ruta prioridad superior a la web estática. El formulario evita el doble envío, limita la espera y mantiene visible el resultado sin convertir el dominio recibido en un enlace de acceso.</w:t>
      </w:r>
    </w:p>
    <w:p>
      <w:pPr>
        <w:pStyle w:val="Heading2"/>
        <w:keepNext/>
      </w:pPr>
      <w:r>
        <w:t>4.2 Promesa comercial segura</w:t>
      </w:r>
    </w:p>
    <w:p>
      <w:r>
        <w:t>Las 48 horas deben contarse desde la activación real, no desde el registro de la solicitud. Hasta completar creación de stack, datos iniciales, credenciales, entrega, caducidad y destrucción, el Portal debe hablar de solicitud pendiente y no de demo disponible.</w:t>
      </w:r>
    </w:p>
    <w:p>
      <w:pPr>
        <w:pStyle w:val="Heading1"/>
        <w:keepNext/>
      </w:pPr>
      <w:r>
        <w:t>5 Servicio de aprovisionamiento</w:t>
      </w:r>
    </w:p>
    <w:p>
      <w:pPr>
        <w:pStyle w:val="Heading2"/>
        <w:keepNext/>
      </w:pPr>
      <w:r>
        <w:t>5.1 Registro e integridad</w:t>
      </w:r>
    </w:p>
    <w:p>
      <w:r>
        <w:t>Provisioning utiliza MySQL para conservar solicitudes. La tabla demo_requests emplea InnoDB, restricciones únicas y una transacción con bloqueo de fila para que peticiones concurrentes conserven una sola identidad. Los deadlocks y timeouts de bloqueo se reintentan de forma limitada tras rollback.</w:t>
      </w:r>
    </w:p>
    <w:p>
      <w:pPr>
        <w:pStyle w:val="ListBullet"/>
      </w:pPr>
      <w:r>
        <w:t>Una IP mantiene una referencia; installation code y domain son únicos.</w:t>
      </w:r>
    </w:p>
    <w:p>
      <w:pPr>
        <w:pStyle w:val="ListBullet"/>
      </w:pPr>
      <w:r>
        <w:t>No se sobrescriben empresa o correo al reutilizar una solicitud.</w:t>
      </w:r>
    </w:p>
    <w:p>
      <w:pPr>
        <w:pStyle w:val="ListBullet"/>
      </w:pPr>
      <w:r>
        <w:t>Los contadores sobreviven a reinicios y el límite responde con Retry After.</w:t>
      </w:r>
    </w:p>
    <w:p>
      <w:pPr>
        <w:pStyle w:val="ListBullet"/>
      </w:pPr>
      <w:r>
        <w:t>La base de Provisioning es independiente de las bases de cada cliente.</w:t>
      </w:r>
    </w:p>
    <w:p>
      <w:pPr>
        <w:pStyle w:val="ListBullet"/>
      </w:pPr>
      <w:r>
        <w:t>La aplicación puede crear su base y tabla si el servidor MySQL ya existe y el usuario tiene permisos.</w:t>
      </w:r>
    </w:p>
    <w:p>
      <w:pPr>
        <w:pStyle w:val="Heading2"/>
        <w:keepNext/>
      </w:pPr>
      <w:r>
        <w:t>5.2 Confianza en proxies</w:t>
      </w:r>
    </w:p>
    <w:p>
      <w:r>
        <w:t>La IP del visitante sólo puede tomarse de X Forwarded For cuando la conexión procede de un proxy incluido expresamente en PROVISIONING_TRUSTED_PROXIES. Los saltos se interpretan de derecha a izquierda. Publicar el servicio sin conocer las IP reales de Traefik y cloudflared puede convertir a todos los visitantes en una sola identidad o permitir falsificar la IP.</w:t>
      </w:r>
    </w:p>
    <w:p>
      <w:pPr>
        <w:pStyle w:val="Heading2"/>
        <w:keepNext/>
      </w:pPr>
      <w:r>
        <w:t>5.3 Ciclo de vida objetivo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Estado</w:t>
            </w:r>
          </w:p>
        </w:tc>
        <w:tc>
          <w:tcPr>
            <w:tcW w:type="dxa" w:w="3249"/>
            <w:shd w:fill="20262C"/>
            <w:vAlign w:val="center"/>
            <w:tcMar>
              <w:top w:w="100" w:type="dxa"/>
              <w:start w:w="120" w:type="dxa"/>
              <w:bottom w:w="100" w:type="dxa"/>
              <w:end w:w="120" w:type="dxa"/>
            </w:tcMar>
          </w:tcPr>
          <w:p>
            <w:r>
              <w:rPr>
                <w:b/>
                <w:color w:val="FFFFFF"/>
                <w:sz w:val="18"/>
              </w:rPr>
              <w:t>Significado</w:t>
            </w:r>
          </w:p>
        </w:tc>
        <w:tc>
          <w:tcPr>
            <w:tcW w:type="dxa" w:w="3249"/>
            <w:shd w:fill="20262C"/>
            <w:vAlign w:val="center"/>
            <w:tcMar>
              <w:top w:w="100" w:type="dxa"/>
              <w:start w:w="120" w:type="dxa"/>
              <w:bottom w:w="100" w:type="dxa"/>
              <w:end w:w="120" w:type="dxa"/>
            </w:tcMar>
          </w:tcPr>
          <w:p>
            <w:r>
              <w:rPr>
                <w:b/>
                <w:color w:val="FFFFFF"/>
                <w:sz w:val="18"/>
              </w:rPr>
              <w:t>Acción esperada</w:t>
            </w:r>
          </w:p>
        </w:tc>
      </w:tr>
      <w:tr>
        <w:trPr>
          <w:cantSplit/>
        </w:trPr>
        <w:tc>
          <w:tcPr>
            <w:tcW w:type="dxa" w:w="2268"/>
            <w:vAlign w:val="center"/>
            <w:tcMar>
              <w:top w:w="100" w:type="dxa"/>
              <w:start w:w="120" w:type="dxa"/>
              <w:bottom w:w="100" w:type="dxa"/>
              <w:end w:w="120" w:type="dxa"/>
            </w:tcMar>
          </w:tcPr>
          <w:p>
            <w:pPr>
              <w:spacing w:after="0"/>
            </w:pPr>
            <w:r>
              <w:rPr>
                <w:sz w:val="17"/>
              </w:rPr>
              <w:t>PENDING CONFIRMATION</w:t>
            </w:r>
          </w:p>
        </w:tc>
        <w:tc>
          <w:tcPr>
            <w:tcW w:type="dxa" w:w="3061"/>
            <w:vAlign w:val="center"/>
            <w:tcMar>
              <w:top w:w="100" w:type="dxa"/>
              <w:start w:w="120" w:type="dxa"/>
              <w:bottom w:w="100" w:type="dxa"/>
              <w:end w:w="120" w:type="dxa"/>
            </w:tcMar>
          </w:tcPr>
          <w:p>
            <w:pPr>
              <w:spacing w:after="0"/>
            </w:pPr>
            <w:r>
              <w:rPr>
                <w:sz w:val="17"/>
              </w:rPr>
              <w:t>Solicitud recibida</w:t>
            </w:r>
          </w:p>
        </w:tc>
        <w:tc>
          <w:tcPr>
            <w:tcW w:type="dxa" w:w="3628"/>
            <w:vAlign w:val="center"/>
            <w:tcMar>
              <w:top w:w="100" w:type="dxa"/>
              <w:start w:w="120" w:type="dxa"/>
              <w:bottom w:w="100" w:type="dxa"/>
              <w:end w:w="120" w:type="dxa"/>
            </w:tcMar>
          </w:tcPr>
          <w:p>
            <w:pPr>
              <w:spacing w:after="0"/>
            </w:pPr>
            <w:r>
              <w:rPr>
                <w:sz w:val="17"/>
              </w:rPr>
              <w:t>Validar condiciones y confirmar el alta</w:t>
            </w:r>
          </w:p>
        </w:tc>
      </w:tr>
      <w:tr>
        <w:trPr>
          <w:cantSplit/>
        </w:trPr>
        <w:tc>
          <w:tcPr>
            <w:tcW w:type="dxa" w:w="2268"/>
            <w:vAlign w:val="center"/>
            <w:tcMar>
              <w:top w:w="100" w:type="dxa"/>
              <w:start w:w="120" w:type="dxa"/>
              <w:bottom w:w="100" w:type="dxa"/>
              <w:end w:w="120" w:type="dxa"/>
            </w:tcMar>
            <w:shd w:fill="F3F6F7"/>
          </w:tcPr>
          <w:p>
            <w:pPr>
              <w:spacing w:after="0"/>
            </w:pPr>
            <w:r>
              <w:rPr>
                <w:sz w:val="17"/>
              </w:rPr>
              <w:t>REQUESTED</w:t>
            </w:r>
          </w:p>
        </w:tc>
        <w:tc>
          <w:tcPr>
            <w:tcW w:type="dxa" w:w="3061"/>
            <w:vAlign w:val="center"/>
            <w:tcMar>
              <w:top w:w="100" w:type="dxa"/>
              <w:start w:w="120" w:type="dxa"/>
              <w:bottom w:w="100" w:type="dxa"/>
              <w:end w:w="120" w:type="dxa"/>
            </w:tcMar>
            <w:shd w:fill="F3F6F7"/>
          </w:tcPr>
          <w:p>
            <w:pPr>
              <w:spacing w:after="0"/>
            </w:pPr>
            <w:r>
              <w:rPr>
                <w:sz w:val="17"/>
              </w:rPr>
              <w:t>Registro creado</w:t>
            </w:r>
          </w:p>
        </w:tc>
        <w:tc>
          <w:tcPr>
            <w:tcW w:type="dxa" w:w="3628"/>
            <w:vAlign w:val="center"/>
            <w:tcMar>
              <w:top w:w="100" w:type="dxa"/>
              <w:start w:w="120" w:type="dxa"/>
              <w:bottom w:w="100" w:type="dxa"/>
              <w:end w:w="120" w:type="dxa"/>
            </w:tcMar>
            <w:shd w:fill="F3F6F7"/>
          </w:tcPr>
          <w:p>
            <w:pPr>
              <w:spacing w:after="0"/>
            </w:pPr>
            <w:r>
              <w:rPr>
                <w:sz w:val="17"/>
              </w:rPr>
              <w:t>Encolar el trabajo sin duplicarlo</w:t>
            </w:r>
          </w:p>
        </w:tc>
      </w:tr>
      <w:tr>
        <w:trPr>
          <w:cantSplit/>
        </w:trPr>
        <w:tc>
          <w:tcPr>
            <w:tcW w:type="dxa" w:w="2268"/>
            <w:vAlign w:val="center"/>
            <w:tcMar>
              <w:top w:w="100" w:type="dxa"/>
              <w:start w:w="120" w:type="dxa"/>
              <w:bottom w:w="100" w:type="dxa"/>
              <w:end w:w="120" w:type="dxa"/>
            </w:tcMar>
          </w:tcPr>
          <w:p>
            <w:pPr>
              <w:spacing w:after="0"/>
            </w:pPr>
            <w:r>
              <w:rPr>
                <w:sz w:val="17"/>
              </w:rPr>
              <w:t>PROCESSING</w:t>
            </w:r>
          </w:p>
        </w:tc>
        <w:tc>
          <w:tcPr>
            <w:tcW w:type="dxa" w:w="3061"/>
            <w:vAlign w:val="center"/>
            <w:tcMar>
              <w:top w:w="100" w:type="dxa"/>
              <w:start w:w="120" w:type="dxa"/>
              <w:bottom w:w="100" w:type="dxa"/>
              <w:end w:w="120" w:type="dxa"/>
            </w:tcMar>
          </w:tcPr>
          <w:p>
            <w:pPr>
              <w:spacing w:after="0"/>
            </w:pPr>
            <w:r>
              <w:rPr>
                <w:sz w:val="17"/>
              </w:rPr>
              <w:t>Construcción y despliegue</w:t>
            </w:r>
          </w:p>
        </w:tc>
        <w:tc>
          <w:tcPr>
            <w:tcW w:type="dxa" w:w="3628"/>
            <w:vAlign w:val="center"/>
            <w:tcMar>
              <w:top w:w="100" w:type="dxa"/>
              <w:start w:w="120" w:type="dxa"/>
              <w:bottom w:w="100" w:type="dxa"/>
              <w:end w:w="120" w:type="dxa"/>
            </w:tcMar>
          </w:tcPr>
          <w:p>
            <w:pPr>
              <w:spacing w:after="0"/>
            </w:pPr>
            <w:r>
              <w:rPr>
                <w:sz w:val="17"/>
              </w:rPr>
              <w:t>Crear recursos, datos iniciales y comprobar salud</w:t>
            </w:r>
          </w:p>
        </w:tc>
      </w:tr>
      <w:tr>
        <w:trPr>
          <w:cantSplit/>
        </w:trPr>
        <w:tc>
          <w:tcPr>
            <w:tcW w:type="dxa" w:w="2268"/>
            <w:vAlign w:val="center"/>
            <w:tcMar>
              <w:top w:w="100" w:type="dxa"/>
              <w:start w:w="120" w:type="dxa"/>
              <w:bottom w:w="100" w:type="dxa"/>
              <w:end w:w="120" w:type="dxa"/>
            </w:tcMar>
            <w:shd w:fill="F3F6F7"/>
          </w:tcPr>
          <w:p>
            <w:pPr>
              <w:spacing w:after="0"/>
            </w:pPr>
            <w:r>
              <w:rPr>
                <w:sz w:val="17"/>
              </w:rPr>
              <w:t>READY</w:t>
            </w:r>
          </w:p>
        </w:tc>
        <w:tc>
          <w:tcPr>
            <w:tcW w:type="dxa" w:w="3061"/>
            <w:vAlign w:val="center"/>
            <w:tcMar>
              <w:top w:w="100" w:type="dxa"/>
              <w:start w:w="120" w:type="dxa"/>
              <w:bottom w:w="100" w:type="dxa"/>
              <w:end w:w="120" w:type="dxa"/>
            </w:tcMar>
            <w:shd w:fill="F3F6F7"/>
          </w:tcPr>
          <w:p>
            <w:pPr>
              <w:spacing w:after="0"/>
            </w:pPr>
            <w:r>
              <w:rPr>
                <w:sz w:val="17"/>
              </w:rPr>
              <w:t>Entorno utilizable</w:t>
            </w:r>
          </w:p>
        </w:tc>
        <w:tc>
          <w:tcPr>
            <w:tcW w:type="dxa" w:w="3628"/>
            <w:vAlign w:val="center"/>
            <w:tcMar>
              <w:top w:w="100" w:type="dxa"/>
              <w:start w:w="120" w:type="dxa"/>
              <w:bottom w:w="100" w:type="dxa"/>
              <w:end w:w="120" w:type="dxa"/>
            </w:tcMar>
            <w:shd w:fill="F3F6F7"/>
          </w:tcPr>
          <w:p>
            <w:pPr>
              <w:spacing w:after="0"/>
            </w:pPr>
            <w:r>
              <w:rPr>
                <w:sz w:val="17"/>
              </w:rPr>
              <w:t>Entregar acceso y comenzar el periodo</w:t>
            </w:r>
          </w:p>
        </w:tc>
      </w:tr>
      <w:tr>
        <w:trPr>
          <w:cantSplit/>
        </w:trPr>
        <w:tc>
          <w:tcPr>
            <w:tcW w:type="dxa" w:w="2268"/>
            <w:vAlign w:val="center"/>
            <w:tcMar>
              <w:top w:w="100" w:type="dxa"/>
              <w:start w:w="120" w:type="dxa"/>
              <w:bottom w:w="100" w:type="dxa"/>
              <w:end w:w="120" w:type="dxa"/>
            </w:tcMar>
          </w:tcPr>
          <w:p>
            <w:pPr>
              <w:spacing w:after="0"/>
            </w:pPr>
            <w:r>
              <w:rPr>
                <w:sz w:val="17"/>
              </w:rPr>
              <w:t>EXPIRING</w:t>
            </w:r>
          </w:p>
        </w:tc>
        <w:tc>
          <w:tcPr>
            <w:tcW w:type="dxa" w:w="3061"/>
            <w:vAlign w:val="center"/>
            <w:tcMar>
              <w:top w:w="100" w:type="dxa"/>
              <w:start w:w="120" w:type="dxa"/>
              <w:bottom w:w="100" w:type="dxa"/>
              <w:end w:w="120" w:type="dxa"/>
            </w:tcMar>
          </w:tcPr>
          <w:p>
            <w:pPr>
              <w:spacing w:after="0"/>
            </w:pPr>
            <w:r>
              <w:rPr>
                <w:sz w:val="17"/>
              </w:rPr>
              <w:t>Fin próximo</w:t>
            </w:r>
          </w:p>
        </w:tc>
        <w:tc>
          <w:tcPr>
            <w:tcW w:type="dxa" w:w="3628"/>
            <w:vAlign w:val="center"/>
            <w:tcMar>
              <w:top w:w="100" w:type="dxa"/>
              <w:start w:w="120" w:type="dxa"/>
              <w:bottom w:w="100" w:type="dxa"/>
              <w:end w:w="120" w:type="dxa"/>
            </w:tcMar>
          </w:tcPr>
          <w:p>
            <w:pPr>
              <w:spacing w:after="0"/>
            </w:pPr>
            <w:r>
              <w:rPr>
                <w:sz w:val="17"/>
              </w:rPr>
              <w:t>Avisar y preparar cierre ordenado</w:t>
            </w:r>
          </w:p>
        </w:tc>
      </w:tr>
      <w:tr>
        <w:trPr>
          <w:cantSplit/>
        </w:trPr>
        <w:tc>
          <w:tcPr>
            <w:tcW w:type="dxa" w:w="2268"/>
            <w:vAlign w:val="center"/>
            <w:tcMar>
              <w:top w:w="100" w:type="dxa"/>
              <w:start w:w="120" w:type="dxa"/>
              <w:bottom w:w="100" w:type="dxa"/>
              <w:end w:w="120" w:type="dxa"/>
            </w:tcMar>
            <w:shd w:fill="F3F6F7"/>
          </w:tcPr>
          <w:p>
            <w:pPr>
              <w:spacing w:after="0"/>
            </w:pPr>
            <w:r>
              <w:rPr>
                <w:sz w:val="17"/>
              </w:rPr>
              <w:t>EXPIRED</w:t>
            </w:r>
          </w:p>
        </w:tc>
        <w:tc>
          <w:tcPr>
            <w:tcW w:type="dxa" w:w="3061"/>
            <w:vAlign w:val="center"/>
            <w:tcMar>
              <w:top w:w="100" w:type="dxa"/>
              <w:start w:w="120" w:type="dxa"/>
              <w:bottom w:w="100" w:type="dxa"/>
              <w:end w:w="120" w:type="dxa"/>
            </w:tcMar>
            <w:shd w:fill="F3F6F7"/>
          </w:tcPr>
          <w:p>
            <w:pPr>
              <w:spacing w:after="0"/>
            </w:pPr>
            <w:r>
              <w:rPr>
                <w:sz w:val="17"/>
              </w:rPr>
              <w:t>Periodo terminado</w:t>
            </w:r>
          </w:p>
        </w:tc>
        <w:tc>
          <w:tcPr>
            <w:tcW w:type="dxa" w:w="3628"/>
            <w:vAlign w:val="center"/>
            <w:tcMar>
              <w:top w:w="100" w:type="dxa"/>
              <w:start w:w="120" w:type="dxa"/>
              <w:bottom w:w="100" w:type="dxa"/>
              <w:end w:w="120" w:type="dxa"/>
            </w:tcMar>
            <w:shd w:fill="F3F6F7"/>
          </w:tcPr>
          <w:p>
            <w:pPr>
              <w:spacing w:after="0"/>
            </w:pPr>
            <w:r>
              <w:rPr>
                <w:sz w:val="17"/>
              </w:rPr>
              <w:t>Retirar contenedores y aplicar la política de datos</w:t>
            </w:r>
          </w:p>
        </w:tc>
      </w:tr>
    </w:tbl>
    <w:p>
      <w:pPr>
        <w:spacing w:after="0"/>
      </w:pPr>
    </w:p>
    <w:p>
      <w:r>
        <w:t>En el estado actual, REQUESTED está implementado como registro; el ciclo completo no debe darse por terminado hasta probarlo en Docker con persistencia, concurrencia, entrega y eliminación controlada.</w:t>
      </w:r>
    </w:p>
    <w:p>
      <w:pPr>
        <w:pStyle w:val="Heading1"/>
        <w:keepNext/>
      </w:pPr>
      <w:r>
        <w:t>6 Instalación y puesta en marcha del ERP</w:t>
      </w:r>
    </w:p>
    <w:p>
      <w:pPr>
        <w:pStyle w:val="Heading2"/>
        <w:keepNext/>
      </w:pPr>
      <w:r>
        <w:t>6.1 Detección conservadora</w:t>
      </w:r>
    </w:p>
    <w:p>
      <w:r>
        <w:t>El instalador distingue una instalación nueva de una instalación existente o de un fallo de red. NEW e IN PROGRESS conducen al asistente; LEGACY mantiene compatibilidad; ERROR muestra indisponibilidad y nunca autoriza a crear o borrar datos. La identidad se conserva tanto en archivos externos como en la tabla kiwikerp_installation.</w:t>
      </w:r>
    </w:p>
    <w:p>
      <w:pPr>
        <w:pStyle w:val="Heading2"/>
        <w:keepNext/>
      </w:pPr>
      <w:r>
        <w:t>6.2 Secuencia de instalación</w:t>
      </w:r>
    </w:p>
    <w:p>
      <w:pPr>
        <w:ind w:left="425" w:hanging="312"/>
      </w:pPr>
      <w:r>
        <w:rPr>
          <w:b/>
        </w:rPr>
        <w:t xml:space="preserve">1. </w:t>
      </w:r>
      <w:r>
        <w:t>Comprobar backend, base de datos y ubicación de la identidad externa.</w:t>
      </w:r>
    </w:p>
    <w:p>
      <w:pPr>
        <w:ind w:left="425" w:hanging="312"/>
      </w:pPr>
      <w:r>
        <w:rPr>
          <w:b/>
        </w:rPr>
        <w:t xml:space="preserve">2. </w:t>
      </w:r>
      <w:r>
        <w:t>Crear o seleccionar la base únicamente con autorización y alcance conocidos.</w:t>
      </w:r>
    </w:p>
    <w:p>
      <w:pPr>
        <w:ind w:left="425" w:hanging="312"/>
      </w:pPr>
      <w:r>
        <w:rPr>
          <w:b/>
        </w:rPr>
        <w:t xml:space="preserve">3. </w:t>
      </w:r>
      <w:r>
        <w:t>Ejecutar el esquema inicial consolidado.</w:t>
      </w:r>
    </w:p>
    <w:p>
      <w:pPr>
        <w:ind w:left="425" w:hanging="312"/>
      </w:pPr>
      <w:r>
        <w:rPr>
          <w:b/>
        </w:rPr>
        <w:t xml:space="preserve">4. </w:t>
      </w:r>
      <w:r>
        <w:t>Cargar datos imprescindibles del sistema, sin operaciones históricas.</w:t>
      </w:r>
    </w:p>
    <w:p>
      <w:pPr>
        <w:ind w:left="425" w:hanging="312"/>
      </w:pPr>
      <w:r>
        <w:rPr>
          <w:b/>
        </w:rPr>
        <w:t xml:space="preserve">5. </w:t>
      </w:r>
      <w:r>
        <w:t>Configurar empresa, NIF, contacto, dirección y logotipo.</w:t>
      </w:r>
    </w:p>
    <w:p>
      <w:pPr>
        <w:ind w:left="425" w:hanging="312"/>
      </w:pPr>
      <w:r>
        <w:rPr>
          <w:b/>
        </w:rPr>
        <w:t xml:space="preserve">6. </w:t>
      </w:r>
      <w:r>
        <w:t>Crear el primer administrador.</w:t>
      </w:r>
    </w:p>
    <w:p>
      <w:pPr>
        <w:ind w:left="425" w:hanging="312"/>
      </w:pPr>
      <w:r>
        <w:rPr>
          <w:b/>
        </w:rPr>
        <w:t xml:space="preserve">7. </w:t>
      </w:r>
      <w:r>
        <w:t>Validar GestDoc con lectura y escritura.</w:t>
      </w:r>
    </w:p>
    <w:p>
      <w:pPr>
        <w:ind w:left="425" w:hanging="312"/>
      </w:pPr>
      <w:r>
        <w:rPr>
          <w:b/>
        </w:rPr>
        <w:t xml:space="preserve">8. </w:t>
      </w:r>
      <w:r>
        <w:t>Marcar la instalación como completada sólo cuando todos los pasos terminen.</w:t>
      </w:r>
    </w:p>
    <w:p>
      <w:pPr>
        <w:pStyle w:val="Heading2"/>
        <w:keepNext/>
      </w:pPr>
      <w:r>
        <w:t>6.3 Reinstalación y recuperación</w:t>
      </w:r>
    </w:p>
    <w:p>
      <w:r>
        <w:t>Una reinstalación sobre datos existentes debe exigir confirmación, crear un dump fechado, verificar que no está vacío y sólo después permitir cualquier recreación. Si el backup falla, no se modifica la base. La ausencia de un archivo de identidad no convierte una base con tablas en una instalación nueva; debe recuperarse la identidad o detenerse el proceso.</w:t>
      </w:r>
    </w:p>
    <w:p>
      <w:pPr>
        <w:pStyle w:val="Heading2"/>
        <w:keepNext/>
      </w:pPr>
      <w:r>
        <w:t>6.4 GestDoc</w:t>
      </w:r>
    </w:p>
    <w:p>
      <w:r>
        <w:t>En Cloud se propone /data/kiwikerp/documents como ruta interna estable. La ruta física corresponde a un volumen del host. Cambiar GestDoc no mueve documentos históricos: debe conservarse la ruta anterior, trasladar de forma controlada y comprobar documentos, adjuntos, imágenes y PDF antes de retirarla.</w:t>
      </w:r>
    </w:p>
    <w:p>
      <w:pPr>
        <w:pStyle w:val="Heading1"/>
        <w:keepNext/>
      </w:pPr>
      <w:r>
        <w:t>7 Manual funcional del circuito comercial</w:t>
      </w:r>
    </w:p>
    <w:p>
      <w:pPr>
        <w:keepNext/>
        <w:jc w:val="center"/>
      </w:pPr>
      <w:r>
        <w:drawing>
          <wp:inline xmlns:a="http://schemas.openxmlformats.org/drawingml/2006/main" xmlns:pic="http://schemas.openxmlformats.org/drawingml/2006/picture">
            <wp:extent cx="5806440" cy="4101868"/>
            <wp:docPr id="3" name="Picture 3"/>
            <wp:cNvGraphicFramePr>
              <a:graphicFrameLocks noChangeAspect="1"/>
            </wp:cNvGraphicFramePr>
            <a:graphic>
              <a:graphicData uri="http://schemas.openxmlformats.org/drawingml/2006/picture">
                <pic:pic>
                  <pic:nvPicPr>
                    <pic:cNvPr id="0" name="flujo-ventas-pizarra-tiza.png"/>
                    <pic:cNvPicPr/>
                  </pic:nvPicPr>
                  <pic:blipFill>
                    <a:blip r:embed="rId11"/>
                    <a:stretch>
                      <a:fillRect/>
                    </a:stretch>
                  </pic:blipFill>
                  <pic:spPr>
                    <a:xfrm>
                      <a:off x="0" y="0"/>
                      <a:ext cx="5806440" cy="4101868"/>
                    </a:xfrm>
                    <a:prstGeom prst="rect"/>
                  </pic:spPr>
                </pic:pic>
              </a:graphicData>
            </a:graphic>
          </wp:inline>
        </w:drawing>
      </w:r>
    </w:p>
    <w:p>
      <w:pPr>
        <w:pStyle w:val="Caption"/>
        <w:jc w:val="center"/>
      </w:pPr>
      <w:r>
        <w:t>Figura 2. Flujo funcional de Ventas desde el precio hasta el cobro.</w:t>
      </w:r>
    </w:p>
    <w:p>
      <w:pPr>
        <w:pStyle w:val="Heading2"/>
        <w:keepNext/>
      </w:pPr>
      <w:r>
        <w:t>7.1 Preparación de maestros</w:t>
      </w:r>
    </w:p>
    <w:p>
      <w:pPr>
        <w:ind w:left="425" w:hanging="312"/>
      </w:pPr>
      <w:r>
        <w:rPr>
          <w:b/>
        </w:rPr>
        <w:t xml:space="preserve">1. </w:t>
      </w:r>
      <w:r>
        <w:t>Crear tipos y familias y definir si el artículo es producto físico o servicio.</w:t>
      </w:r>
    </w:p>
    <w:p>
      <w:pPr>
        <w:ind w:left="425" w:hanging="312"/>
      </w:pPr>
      <w:r>
        <w:rPr>
          <w:b/>
        </w:rPr>
        <w:t xml:space="preserve">2. </w:t>
      </w:r>
      <w:r>
        <w:t>Configurar política de facturación por pedido o por entrega.</w:t>
      </w:r>
    </w:p>
    <w:p>
      <w:pPr>
        <w:ind w:left="425" w:hanging="312"/>
      </w:pPr>
      <w:r>
        <w:rPr>
          <w:b/>
        </w:rPr>
        <w:t xml:space="preserve">3. </w:t>
      </w:r>
      <w:r>
        <w:t>Definir precio base, moneda y tarifa predeterminada.</w:t>
      </w:r>
    </w:p>
    <w:p>
      <w:pPr>
        <w:ind w:left="425" w:hanging="312"/>
      </w:pPr>
      <w:r>
        <w:rPr>
          <w:b/>
        </w:rPr>
        <w:t xml:space="preserve">4. </w:t>
      </w:r>
      <w:r>
        <w:t>Crear reglas por producto, familia o catálogo con sus tramos de cantidad.</w:t>
      </w:r>
    </w:p>
    <w:p>
      <w:pPr>
        <w:ind w:left="425" w:hanging="312"/>
      </w:pPr>
      <w:r>
        <w:rPr>
          <w:b/>
        </w:rPr>
        <w:t xml:space="preserve">5. </w:t>
      </w:r>
      <w:r>
        <w:t>Completar el cliente, su tarifa, posición fiscal, condición de cobro y contactos.</w:t>
      </w:r>
    </w:p>
    <w:p>
      <w:r>
        <w:t>La prioridad de tarifa es producto, familia exacta, regla general y precio base. Se aplica una sola regla y no se acumulan descuentos. Una tarifa en otra moneda exige precio fijo explícito; el sistema no debe inventar una conversión.</w:t>
      </w:r>
    </w:p>
    <w:p>
      <w:pPr>
        <w:pStyle w:val="Heading2"/>
        <w:keepNext/>
      </w:pPr>
      <w:r>
        <w:t>7.2 Presupuesto</w:t>
      </w:r>
    </w:p>
    <w:p>
      <w:r>
        <w:t>El presupuesto comienza como borrador. Puede guardarse, imprimirse, enviarse y aceptarse. Aceptar no equivale todavía a confirmar un pedido. Los presupuestos cancelados o rechazados no continúan el circuito. También puede crearse un pedido sin presupuesto. Los avisos y cancelaciones automáticas usan parámetros guardados y deben ofrecer previsualización y confirmación antes de ejecutar cambios.</w:t>
      </w:r>
    </w:p>
    <w:p>
      <w:pPr>
        <w:pStyle w:val="Heading2"/>
        <w:keepNext/>
      </w:pPr>
      <w:r>
        <w:t>7.3 Pedido</w:t>
      </w:r>
    </w:p>
    <w:p>
      <w:r>
        <w:t>El pedido puede permanecer en borrador hasta que se confirman fechas, cantidades y condiciones. La confirmación activa reservas y operaciones posteriores. El seguimiento debe separar cantidad pedida, cancelada, entregada, facturada y pendiente. Un pedido mixto puede tener líneas con políticas diferentes.</w:t>
      </w:r>
    </w:p>
    <w:p>
      <w:pPr>
        <w:pStyle w:val="Heading2"/>
        <w:keepNext/>
      </w:pPr>
      <w:r>
        <w:t>7.4 Albarán</w:t>
      </w:r>
    </w:p>
    <w:p>
      <w:r>
        <w:t>Los productos físicos se preparan y confirman mediante albaranes. Un albarán en borrador reserva cantidades, pero no acredita una entrega. La confirmación registra la salida y habilita el avance correspondiente. Los servicios pueden omitir esta etapa; un albarán manual no debe inventar un pedido de origen.</w:t>
      </w:r>
    </w:p>
    <w:p>
      <w:pPr>
        <w:pStyle w:val="Heading2"/>
        <w:keepNext/>
      </w:pPr>
      <w:r>
        <w:t>7.5 Facturación</w:t>
      </w:r>
    </w:p>
    <w:p>
      <w:r>
        <w:t>La factura puede originarse en cantidades pedidas, entregadas o en una creación manual. Primero se genera un borrador para revisar líneas, impuestos, condiciones y vencimientos. Emitir valida, asigna numeración fiscal, genera el PDF definitivo y fija el calendario. Una factura emitida no equivale a una aceptación de VeriFactu ni a un cobro.</w:t>
      </w:r>
    </w:p>
    <w:p>
      <w:pPr>
        <w:pStyle w:val="Heading2"/>
        <w:keepNext/>
      </w:pPr>
      <w:r>
        <w:t>7.6 VeriFactu</w:t>
      </w:r>
    </w:p>
    <w:p>
      <w:r>
        <w:t>El envío fiscal tiene su propia cola y resultado. Ante una respuesta pendiente o un fallo de comunicación se consulta la factura y la cola antes de repetir. No se crea otra factura para sustituir una operación incierta. El circuito documentado está en PRUEBAS y no acredita producción fiscal.</w:t>
      </w:r>
    </w:p>
    <w:p>
      <w:pPr>
        <w:pStyle w:val="Heading2"/>
        <w:keepNext/>
      </w:pPr>
      <w:r>
        <w:t>7.7 Vencimientos y cobros</w:t>
      </w:r>
    </w:p>
    <w:p>
      <w:r>
        <w:t>Una factura puede tener uno o varios vencimientos. El cobro registra fecha, importe, medio, referencia y justificante opcional. Puede ser parcial o total, pero nunca superar el saldo. Revertir exige motivo, devuelve el saldo a los mismos plazos y conserva el historial; no borra el movimiento.</w:t>
      </w:r>
    </w:p>
    <w:p>
      <w:pPr>
        <w:pStyle w:val="Heading2"/>
        <w:keepNext/>
      </w:pPr>
      <w:r>
        <w:t>7.8 Trazabilidad y asistentes</w:t>
      </w:r>
    </w:p>
    <w:p>
      <w:r>
        <w:t>La trazabilidad comercial reconstruye ramas desde Presupuestos, Pedidos, Albaranes y Facturas hasta los cobros. El documento consultado queda resaltado y una etapa vacía no crea relaciones ficticias. Los asistentes de Presupuestos, Pedidos y Facturas son de solo lectura: la consulta guiada funciona sin IA y la IA, si se habilita, convierte lenguaje natural en filtros de un catálogo cerrado. Los resultados permanecen en el ERP y los totales se separan por moneda.</w:t>
      </w:r>
    </w:p>
    <w:p>
      <w:pPr>
        <w:pStyle w:val="Heading2"/>
        <w:keepNext/>
      </w:pPr>
      <w:r>
        <w:t>7.9 Reglas que evitan errores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Concepto</w:t>
            </w:r>
          </w:p>
        </w:tc>
        <w:tc>
          <w:tcPr>
            <w:tcW w:type="dxa" w:w="3249"/>
            <w:shd w:fill="20262C"/>
            <w:vAlign w:val="center"/>
            <w:tcMar>
              <w:top w:w="100" w:type="dxa"/>
              <w:start w:w="120" w:type="dxa"/>
              <w:bottom w:w="100" w:type="dxa"/>
              <w:end w:w="120" w:type="dxa"/>
            </w:tcMar>
          </w:tcPr>
          <w:p>
            <w:r>
              <w:rPr>
                <w:b/>
                <w:color w:val="FFFFFF"/>
                <w:sz w:val="18"/>
              </w:rPr>
              <w:t>No equivale a</w:t>
            </w:r>
          </w:p>
        </w:tc>
        <w:tc>
          <w:tcPr>
            <w:tcW w:type="dxa" w:w="3249"/>
            <w:shd w:fill="20262C"/>
            <w:vAlign w:val="center"/>
            <w:tcMar>
              <w:top w:w="100" w:type="dxa"/>
              <w:start w:w="120" w:type="dxa"/>
              <w:bottom w:w="100" w:type="dxa"/>
              <w:end w:w="120" w:type="dxa"/>
            </w:tcMar>
          </w:tcPr>
          <w:p>
            <w:r>
              <w:rPr>
                <w:b/>
                <w:color w:val="FFFFFF"/>
                <w:sz w:val="18"/>
              </w:rPr>
              <w:t>Comprobación</w:t>
            </w:r>
          </w:p>
        </w:tc>
      </w:tr>
      <w:tr>
        <w:trPr>
          <w:cantSplit/>
        </w:trPr>
        <w:tc>
          <w:tcPr>
            <w:tcW w:type="dxa" w:w="2381"/>
            <w:vAlign w:val="center"/>
            <w:tcMar>
              <w:top w:w="100" w:type="dxa"/>
              <w:start w:w="120" w:type="dxa"/>
              <w:bottom w:w="100" w:type="dxa"/>
              <w:end w:w="120" w:type="dxa"/>
            </w:tcMar>
          </w:tcPr>
          <w:p>
            <w:pPr>
              <w:spacing w:after="0"/>
            </w:pPr>
            <w:r>
              <w:rPr>
                <w:sz w:val="17"/>
              </w:rPr>
              <w:t>Guardar borrador</w:t>
            </w:r>
          </w:p>
        </w:tc>
        <w:tc>
          <w:tcPr>
            <w:tcW w:type="dxa" w:w="2835"/>
            <w:vAlign w:val="center"/>
            <w:tcMar>
              <w:top w:w="100" w:type="dxa"/>
              <w:start w:w="120" w:type="dxa"/>
              <w:bottom w:w="100" w:type="dxa"/>
              <w:end w:w="120" w:type="dxa"/>
            </w:tcMar>
          </w:tcPr>
          <w:p>
            <w:pPr>
              <w:spacing w:after="0"/>
            </w:pPr>
            <w:r>
              <w:rPr>
                <w:sz w:val="17"/>
              </w:rPr>
              <w:t>Confirmar, emitir o cobrar</w:t>
            </w:r>
          </w:p>
        </w:tc>
        <w:tc>
          <w:tcPr>
            <w:tcW w:type="dxa" w:w="3742"/>
            <w:vAlign w:val="center"/>
            <w:tcMar>
              <w:top w:w="100" w:type="dxa"/>
              <w:start w:w="120" w:type="dxa"/>
              <w:bottom w:w="100" w:type="dxa"/>
              <w:end w:w="120" w:type="dxa"/>
            </w:tcMar>
          </w:tcPr>
          <w:p>
            <w:pPr>
              <w:spacing w:after="0"/>
            </w:pPr>
            <w:r>
              <w:rPr>
                <w:sz w:val="17"/>
              </w:rPr>
              <w:t>Reabrir y comprobar estado</w:t>
            </w:r>
          </w:p>
        </w:tc>
      </w:tr>
      <w:tr>
        <w:trPr>
          <w:cantSplit/>
        </w:trPr>
        <w:tc>
          <w:tcPr>
            <w:tcW w:type="dxa" w:w="2381"/>
            <w:vAlign w:val="center"/>
            <w:tcMar>
              <w:top w:w="100" w:type="dxa"/>
              <w:start w:w="120" w:type="dxa"/>
              <w:bottom w:w="100" w:type="dxa"/>
              <w:end w:w="120" w:type="dxa"/>
            </w:tcMar>
            <w:shd w:fill="F3F6F7"/>
          </w:tcPr>
          <w:p>
            <w:pPr>
              <w:spacing w:after="0"/>
            </w:pPr>
            <w:r>
              <w:rPr>
                <w:sz w:val="17"/>
              </w:rPr>
              <w:t>Confirmar pedido</w:t>
            </w:r>
          </w:p>
        </w:tc>
        <w:tc>
          <w:tcPr>
            <w:tcW w:type="dxa" w:w="2835"/>
            <w:vAlign w:val="center"/>
            <w:tcMar>
              <w:top w:w="100" w:type="dxa"/>
              <w:start w:w="120" w:type="dxa"/>
              <w:bottom w:w="100" w:type="dxa"/>
              <w:end w:w="120" w:type="dxa"/>
            </w:tcMar>
            <w:shd w:fill="F3F6F7"/>
          </w:tcPr>
          <w:p>
            <w:pPr>
              <w:spacing w:after="0"/>
            </w:pPr>
            <w:r>
              <w:rPr>
                <w:sz w:val="17"/>
              </w:rPr>
              <w:t>Entregar mercancía</w:t>
            </w:r>
          </w:p>
        </w:tc>
        <w:tc>
          <w:tcPr>
            <w:tcW w:type="dxa" w:w="3742"/>
            <w:vAlign w:val="center"/>
            <w:tcMar>
              <w:top w:w="100" w:type="dxa"/>
              <w:start w:w="120" w:type="dxa"/>
              <w:bottom w:w="100" w:type="dxa"/>
              <w:end w:w="120" w:type="dxa"/>
            </w:tcMar>
            <w:shd w:fill="F3F6F7"/>
          </w:tcPr>
          <w:p>
            <w:pPr>
              <w:spacing w:after="0"/>
            </w:pPr>
            <w:r>
              <w:rPr>
                <w:sz w:val="17"/>
              </w:rPr>
              <w:t>Revisar cantidades pendientes</w:t>
            </w:r>
          </w:p>
        </w:tc>
      </w:tr>
      <w:tr>
        <w:trPr>
          <w:cantSplit/>
        </w:trPr>
        <w:tc>
          <w:tcPr>
            <w:tcW w:type="dxa" w:w="2381"/>
            <w:vAlign w:val="center"/>
            <w:tcMar>
              <w:top w:w="100" w:type="dxa"/>
              <w:start w:w="120" w:type="dxa"/>
              <w:bottom w:w="100" w:type="dxa"/>
              <w:end w:w="120" w:type="dxa"/>
            </w:tcMar>
          </w:tcPr>
          <w:p>
            <w:pPr>
              <w:spacing w:after="0"/>
            </w:pPr>
            <w:r>
              <w:rPr>
                <w:sz w:val="17"/>
              </w:rPr>
              <w:t>Albarán borrador</w:t>
            </w:r>
          </w:p>
        </w:tc>
        <w:tc>
          <w:tcPr>
            <w:tcW w:type="dxa" w:w="2835"/>
            <w:vAlign w:val="center"/>
            <w:tcMar>
              <w:top w:w="100" w:type="dxa"/>
              <w:start w:w="120" w:type="dxa"/>
              <w:bottom w:w="100" w:type="dxa"/>
              <w:end w:w="120" w:type="dxa"/>
            </w:tcMar>
          </w:tcPr>
          <w:p>
            <w:pPr>
              <w:spacing w:after="0"/>
            </w:pPr>
            <w:r>
              <w:rPr>
                <w:sz w:val="17"/>
              </w:rPr>
              <w:t>Salida confirmada</w:t>
            </w:r>
          </w:p>
        </w:tc>
        <w:tc>
          <w:tcPr>
            <w:tcW w:type="dxa" w:w="3742"/>
            <w:vAlign w:val="center"/>
            <w:tcMar>
              <w:top w:w="100" w:type="dxa"/>
              <w:start w:w="120" w:type="dxa"/>
              <w:bottom w:w="100" w:type="dxa"/>
              <w:end w:w="120" w:type="dxa"/>
            </w:tcMar>
          </w:tcPr>
          <w:p>
            <w:pPr>
              <w:spacing w:after="0"/>
            </w:pPr>
            <w:r>
              <w:rPr>
                <w:sz w:val="17"/>
              </w:rPr>
              <w:t>Confirmar entrega y justificante</w:t>
            </w:r>
          </w:p>
        </w:tc>
      </w:tr>
      <w:tr>
        <w:trPr>
          <w:cantSplit/>
        </w:trPr>
        <w:tc>
          <w:tcPr>
            <w:tcW w:type="dxa" w:w="2381"/>
            <w:vAlign w:val="center"/>
            <w:tcMar>
              <w:top w:w="100" w:type="dxa"/>
              <w:start w:w="120" w:type="dxa"/>
              <w:bottom w:w="100" w:type="dxa"/>
              <w:end w:w="120" w:type="dxa"/>
            </w:tcMar>
            <w:shd w:fill="F3F6F7"/>
          </w:tcPr>
          <w:p>
            <w:pPr>
              <w:spacing w:after="0"/>
            </w:pPr>
            <w:r>
              <w:rPr>
                <w:sz w:val="17"/>
              </w:rPr>
              <w:t>Factura emitida</w:t>
            </w:r>
          </w:p>
        </w:tc>
        <w:tc>
          <w:tcPr>
            <w:tcW w:type="dxa" w:w="2835"/>
            <w:vAlign w:val="center"/>
            <w:tcMar>
              <w:top w:w="100" w:type="dxa"/>
              <w:start w:w="120" w:type="dxa"/>
              <w:bottom w:w="100" w:type="dxa"/>
              <w:end w:w="120" w:type="dxa"/>
            </w:tcMar>
            <w:shd w:fill="F3F6F7"/>
          </w:tcPr>
          <w:p>
            <w:pPr>
              <w:spacing w:after="0"/>
            </w:pPr>
            <w:r>
              <w:rPr>
                <w:sz w:val="17"/>
              </w:rPr>
              <w:t>Aceptación fiscal</w:t>
            </w:r>
          </w:p>
        </w:tc>
        <w:tc>
          <w:tcPr>
            <w:tcW w:type="dxa" w:w="3742"/>
            <w:vAlign w:val="center"/>
            <w:tcMar>
              <w:top w:w="100" w:type="dxa"/>
              <w:start w:w="120" w:type="dxa"/>
              <w:bottom w:w="100" w:type="dxa"/>
              <w:end w:w="120" w:type="dxa"/>
            </w:tcMar>
            <w:shd w:fill="F3F6F7"/>
          </w:tcPr>
          <w:p>
            <w:pPr>
              <w:spacing w:after="0"/>
            </w:pPr>
            <w:r>
              <w:rPr>
                <w:sz w:val="17"/>
              </w:rPr>
              <w:t>Consultar estado VeriFactu</w:t>
            </w:r>
          </w:p>
        </w:tc>
      </w:tr>
      <w:tr>
        <w:trPr>
          <w:cantSplit/>
        </w:trPr>
        <w:tc>
          <w:tcPr>
            <w:tcW w:type="dxa" w:w="2381"/>
            <w:vAlign w:val="center"/>
            <w:tcMar>
              <w:top w:w="100" w:type="dxa"/>
              <w:start w:w="120" w:type="dxa"/>
              <w:bottom w:w="100" w:type="dxa"/>
              <w:end w:w="120" w:type="dxa"/>
            </w:tcMar>
          </w:tcPr>
          <w:p>
            <w:pPr>
              <w:spacing w:after="0"/>
            </w:pPr>
            <w:r>
              <w:rPr>
                <w:sz w:val="17"/>
              </w:rPr>
              <w:t>Aceptación fiscal</w:t>
            </w:r>
          </w:p>
        </w:tc>
        <w:tc>
          <w:tcPr>
            <w:tcW w:type="dxa" w:w="2835"/>
            <w:vAlign w:val="center"/>
            <w:tcMar>
              <w:top w:w="100" w:type="dxa"/>
              <w:start w:w="120" w:type="dxa"/>
              <w:bottom w:w="100" w:type="dxa"/>
              <w:end w:w="120" w:type="dxa"/>
            </w:tcMar>
          </w:tcPr>
          <w:p>
            <w:pPr>
              <w:spacing w:after="0"/>
            </w:pPr>
            <w:r>
              <w:rPr>
                <w:sz w:val="17"/>
              </w:rPr>
              <w:t>Factura cobrada</w:t>
            </w:r>
          </w:p>
        </w:tc>
        <w:tc>
          <w:tcPr>
            <w:tcW w:type="dxa" w:w="3742"/>
            <w:vAlign w:val="center"/>
            <w:tcMar>
              <w:top w:w="100" w:type="dxa"/>
              <w:start w:w="120" w:type="dxa"/>
              <w:bottom w:w="100" w:type="dxa"/>
              <w:end w:w="120" w:type="dxa"/>
            </w:tcMar>
          </w:tcPr>
          <w:p>
            <w:pPr>
              <w:spacing w:after="0"/>
            </w:pPr>
            <w:r>
              <w:rPr>
                <w:sz w:val="17"/>
              </w:rPr>
              <w:t>Consultar saldo y vencimientos</w:t>
            </w:r>
          </w:p>
        </w:tc>
      </w:tr>
      <w:tr>
        <w:trPr>
          <w:cantSplit/>
        </w:trPr>
        <w:tc>
          <w:tcPr>
            <w:tcW w:type="dxa" w:w="2381"/>
            <w:vAlign w:val="center"/>
            <w:tcMar>
              <w:top w:w="100" w:type="dxa"/>
              <w:start w:w="120" w:type="dxa"/>
              <w:bottom w:w="100" w:type="dxa"/>
              <w:end w:w="120" w:type="dxa"/>
            </w:tcMar>
            <w:shd w:fill="F3F6F7"/>
          </w:tcPr>
          <w:p>
            <w:pPr>
              <w:spacing w:after="0"/>
            </w:pPr>
            <w:r>
              <w:rPr>
                <w:sz w:val="17"/>
              </w:rPr>
              <w:t>Reversión de cobro</w:t>
            </w:r>
          </w:p>
        </w:tc>
        <w:tc>
          <w:tcPr>
            <w:tcW w:type="dxa" w:w="2835"/>
            <w:vAlign w:val="center"/>
            <w:tcMar>
              <w:top w:w="100" w:type="dxa"/>
              <w:start w:w="120" w:type="dxa"/>
              <w:bottom w:w="100" w:type="dxa"/>
              <w:end w:w="120" w:type="dxa"/>
            </w:tcMar>
            <w:shd w:fill="F3F6F7"/>
          </w:tcPr>
          <w:p>
            <w:pPr>
              <w:spacing w:after="0"/>
            </w:pPr>
            <w:r>
              <w:rPr>
                <w:sz w:val="17"/>
              </w:rPr>
              <w:t>Borrado del historial</w:t>
            </w:r>
          </w:p>
        </w:tc>
        <w:tc>
          <w:tcPr>
            <w:tcW w:type="dxa" w:w="3742"/>
            <w:vAlign w:val="center"/>
            <w:tcMar>
              <w:top w:w="100" w:type="dxa"/>
              <w:start w:w="120" w:type="dxa"/>
              <w:bottom w:w="100" w:type="dxa"/>
              <w:end w:w="120" w:type="dxa"/>
            </w:tcMar>
            <w:shd w:fill="F3F6F7"/>
          </w:tcPr>
          <w:p>
            <w:pPr>
              <w:spacing w:after="0"/>
            </w:pPr>
            <w:r>
              <w:rPr>
                <w:sz w:val="17"/>
              </w:rPr>
              <w:t>Motivo, usuario y saldos restaurados</w:t>
            </w:r>
          </w:p>
        </w:tc>
      </w:tr>
    </w:tbl>
    <w:p>
      <w:pPr>
        <w:spacing w:after="0"/>
      </w:pPr>
    </w:p>
    <w:p>
      <w:pPr>
        <w:pStyle w:val="Heading1"/>
        <w:keepNext/>
      </w:pPr>
      <w:r>
        <w:t>8 Seguridad privacidad y continuidad</w:t>
      </w:r>
    </w:p>
    <w:p>
      <w:pPr>
        <w:pStyle w:val="Heading2"/>
        <w:keepNext/>
      </w:pPr>
      <w:r>
        <w:t>8.1 Secretos</w:t>
      </w:r>
    </w:p>
    <w:p>
      <w:r>
        <w:t>Contraseñas, certificados, tokens OAuth, claves de IA y credenciales del Registry no pertenecen a Git, imágenes ni documentos compartidos. Los archivos de ejemplo deben contener sólo nombres de variables. Los secretos montados como archivos siguen necesitando permisos del host y una política de rotación; no son por sí mismos un almacén cifrado.</w:t>
      </w:r>
    </w:p>
    <w:p>
      <w:pPr>
        <w:pStyle w:val="Heading2"/>
        <w:keepNext/>
      </w:pPr>
      <w:r>
        <w:t>8.2 Aislamiento</w:t>
      </w:r>
    </w:p>
    <w:p>
      <w:pPr>
        <w:pStyle w:val="ListBullet"/>
      </w:pPr>
      <w:r>
        <w:t>MySQL de clientes y de Provisioning no publica puertos a Internet.</w:t>
      </w:r>
    </w:p>
    <w:p>
      <w:pPr>
        <w:pStyle w:val="ListBullet"/>
      </w:pPr>
      <w:r>
        <w:t>Traefik sólo alcanza servicios expresamente publicados.</w:t>
      </w:r>
    </w:p>
    <w:p>
      <w:pPr>
        <w:pStyle w:val="ListBullet"/>
      </w:pPr>
      <w:r>
        <w:t>Cada cliente Cloud tiene red, base, documentos y configuración independientes.</w:t>
      </w:r>
    </w:p>
    <w:p>
      <w:pPr>
        <w:pStyle w:val="ListBullet"/>
      </w:pPr>
      <w:r>
        <w:t>El Portal no accede al socket Docker; Provisioning solicita acciones controladas.</w:t>
      </w:r>
    </w:p>
    <w:p>
      <w:pPr>
        <w:pStyle w:val="ListBullet"/>
      </w:pPr>
      <w:r>
        <w:t>Las sesiones del Portal son tokens opacos temporales y deben revocarse al salir.</w:t>
      </w:r>
    </w:p>
    <w:p>
      <w:pPr>
        <w:pStyle w:val="Heading2"/>
        <w:keepNext/>
      </w:pPr>
      <w:r>
        <w:t>8.3 Backups</w:t>
      </w:r>
    </w:p>
    <w:p>
      <w:r>
        <w:t>Un backup sólo es válido cuando se ha restaurado. Debe cubrir base de datos, GestDoc, configuración necesaria para reconstruir el stack, inventario de instalaciones y material criptográfico recuperable. Antes de producción deben definirse retención, copia externa, responsables y objetivos RPO y RTO.</w:t>
      </w:r>
    </w:p>
    <w:p>
      <w:pPr>
        <w:pStyle w:val="Heading1"/>
        <w:keepNext/>
      </w:pPr>
      <w:r>
        <w:t>9 Automatización observabilidad y operación</w:t>
      </w:r>
    </w:p>
    <w:p>
      <w:pPr>
        <w:pStyle w:val="Heading2"/>
        <w:keepNext/>
      </w:pPr>
      <w:r>
        <w:t>9.1 Pipeline recomendado</w:t>
      </w:r>
    </w:p>
    <w:p>
      <w:pPr>
        <w:ind w:left="425" w:hanging="312"/>
      </w:pPr>
      <w:r>
        <w:rPr>
          <w:b/>
        </w:rPr>
        <w:t xml:space="preserve">1. </w:t>
      </w:r>
      <w:r>
        <w:t>Construir frontend y backend con versiones compatibles.</w:t>
      </w:r>
    </w:p>
    <w:p>
      <w:pPr>
        <w:ind w:left="425" w:hanging="312"/>
      </w:pPr>
      <w:r>
        <w:rPr>
          <w:b/>
        </w:rPr>
        <w:t xml:space="preserve">2. </w:t>
      </w:r>
      <w:r>
        <w:t>Ejecutar pruebas y análisis estático.</w:t>
      </w:r>
    </w:p>
    <w:p>
      <w:pPr>
        <w:ind w:left="425" w:hanging="312"/>
      </w:pPr>
      <w:r>
        <w:rPr>
          <w:b/>
        </w:rPr>
        <w:t xml:space="preserve">3. </w:t>
      </w:r>
      <w:r>
        <w:t>Crear imágenes con etiquetas inmutables y publicarlas en Registry.</w:t>
      </w:r>
    </w:p>
    <w:p>
      <w:pPr>
        <w:ind w:left="425" w:hanging="312"/>
      </w:pPr>
      <w:r>
        <w:rPr>
          <w:b/>
        </w:rPr>
        <w:t xml:space="preserve">4. </w:t>
      </w:r>
      <w:r>
        <w:t>Generar y verificar backup del cliente afectado.</w:t>
      </w:r>
    </w:p>
    <w:p>
      <w:pPr>
        <w:ind w:left="425" w:hanging="312"/>
      </w:pPr>
      <w:r>
        <w:rPr>
          <w:b/>
        </w:rPr>
        <w:t xml:space="preserve">5. </w:t>
      </w:r>
      <w:r>
        <w:t>Aplicar migraciones versionadas; Flyway repair nunca debe ser automático.</w:t>
      </w:r>
    </w:p>
    <w:p>
      <w:pPr>
        <w:ind w:left="425" w:hanging="312"/>
      </w:pPr>
      <w:r>
        <w:rPr>
          <w:b/>
        </w:rPr>
        <w:t xml:space="preserve">6. </w:t>
      </w:r>
      <w:r>
        <w:t>Actualizar sólo el stack objetivo.</w:t>
      </w:r>
    </w:p>
    <w:p>
      <w:pPr>
        <w:ind w:left="425" w:hanging="312"/>
      </w:pPr>
      <w:r>
        <w:rPr>
          <w:b/>
        </w:rPr>
        <w:t xml:space="preserve">7. </w:t>
      </w:r>
      <w:r>
        <w:t>Ejecutar health checks y una prueba funcional mínima.</w:t>
      </w:r>
    </w:p>
    <w:p>
      <w:pPr>
        <w:ind w:left="425" w:hanging="312"/>
      </w:pPr>
      <w:r>
        <w:rPr>
          <w:b/>
        </w:rPr>
        <w:t xml:space="preserve">8. </w:t>
      </w:r>
      <w:r>
        <w:t>Detener y documentar el fallo sin afectar a otros clientes.</w:t>
      </w:r>
    </w:p>
    <w:p>
      <w:pPr>
        <w:pStyle w:val="Heading2"/>
        <w:keepNext/>
      </w:pPr>
      <w:r>
        <w:t>9.2 Operación diaria</w:t>
      </w:r>
    </w:p>
    <w:p>
      <w:r>
        <w:t>Portainer sirve como consola visual, pero no sustituye la configuración versionada. Jenkins debe conservar logs y resultados de cada despliegue. La plataforma necesita métricas de salud, capacidad, errores, colas, backups y caducidad de demos. Los procedimientos de alta, actualización, recuperación y baja deben poder repetirse sin conocimiento oral.</w:t>
      </w:r>
    </w:p>
    <w:p>
      <w:pPr>
        <w:pStyle w:val="Heading1"/>
        <w:keepNext/>
      </w:pPr>
      <w:r>
        <w:t>10 Estado actual riesgos y hoja de ruta</w:t>
      </w:r>
    </w:p>
    <w:p>
      <w:pPr>
        <w:pStyle w:val="Heading2"/>
        <w:keepNext/>
      </w:pPr>
      <w:r>
        <w:t>10.1 Evidencia disponible</w:t>
      </w:r>
    </w:p>
    <w:p>
      <w:pPr>
        <w:pStyle w:val="ListBullet"/>
      </w:pPr>
      <w:r>
        <w:t>El Portal y el Core cuentan con código, documentación y construcciones frontend verificadas en distintas iteraciones.</w:t>
      </w:r>
    </w:p>
    <w:p>
      <w:pPr>
        <w:pStyle w:val="ListBullet"/>
      </w:pPr>
      <w:r>
        <w:t>Provisioning se validó con solicitudes concurrentes contra una instancia MySQL temporal y persistencia tras reapertura.</w:t>
      </w:r>
    </w:p>
    <w:p>
      <w:pPr>
        <w:pStyle w:val="ListBullet"/>
      </w:pPr>
      <w:r>
        <w:t>El circuito de Ventas dispone de pruebas aisladas y documentación detallada, pero varias garantías requieren base, migraciones, correo o servicio real.</w:t>
      </w:r>
    </w:p>
    <w:p>
      <w:pPr>
        <w:pStyle w:val="ListBullet"/>
      </w:pPr>
      <w:r>
        <w:t>La infraestructura dispone de arquitectura y criterios de aceptación, pero permanece en fase de diseño inicial.</w:t>
      </w:r>
    </w:p>
    <w:p>
      <w:pPr>
        <w:pStyle w:val="Heading2"/>
        <w:keepNext/>
      </w:pPr>
      <w:r>
        <w:t>10.2 Riesgos prioritarios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Riesgo</w:t>
            </w:r>
          </w:p>
        </w:tc>
        <w:tc>
          <w:tcPr>
            <w:tcW w:type="dxa" w:w="3249"/>
            <w:shd w:fill="20262C"/>
            <w:vAlign w:val="center"/>
            <w:tcMar>
              <w:top w:w="100" w:type="dxa"/>
              <w:start w:w="120" w:type="dxa"/>
              <w:bottom w:w="100" w:type="dxa"/>
              <w:end w:w="120" w:type="dxa"/>
            </w:tcMar>
          </w:tcPr>
          <w:p>
            <w:r>
              <w:rPr>
                <w:b/>
                <w:color w:val="FFFFFF"/>
                <w:sz w:val="18"/>
              </w:rPr>
              <w:t>Impacto</w:t>
            </w:r>
          </w:p>
        </w:tc>
        <w:tc>
          <w:tcPr>
            <w:tcW w:type="dxa" w:w="3249"/>
            <w:shd w:fill="20262C"/>
            <w:vAlign w:val="center"/>
            <w:tcMar>
              <w:top w:w="100" w:type="dxa"/>
              <w:start w:w="120" w:type="dxa"/>
              <w:bottom w:w="100" w:type="dxa"/>
              <w:end w:w="120" w:type="dxa"/>
            </w:tcMar>
          </w:tcPr>
          <w:p>
            <w:r>
              <w:rPr>
                <w:b/>
                <w:color w:val="FFFFFF"/>
                <w:sz w:val="18"/>
              </w:rPr>
              <w:t>Tratamiento recomendado</w:t>
            </w:r>
          </w:p>
        </w:tc>
      </w:tr>
      <w:tr>
        <w:trPr>
          <w:cantSplit/>
        </w:trPr>
        <w:tc>
          <w:tcPr>
            <w:tcW w:type="dxa" w:w="2381"/>
            <w:vAlign w:val="center"/>
            <w:tcMar>
              <w:top w:w="100" w:type="dxa"/>
              <w:start w:w="120" w:type="dxa"/>
              <w:bottom w:w="100" w:type="dxa"/>
              <w:end w:w="120" w:type="dxa"/>
            </w:tcMar>
          </w:tcPr>
          <w:p>
            <w:pPr>
              <w:spacing w:after="0"/>
            </w:pPr>
            <w:r>
              <w:rPr>
                <w:sz w:val="17"/>
              </w:rPr>
              <w:t>Esquema inicial con datos provisionales</w:t>
            </w:r>
          </w:p>
        </w:tc>
        <w:tc>
          <w:tcPr>
            <w:tcW w:type="dxa" w:w="2835"/>
            <w:vAlign w:val="center"/>
            <w:tcMar>
              <w:top w:w="100" w:type="dxa"/>
              <w:start w:w="120" w:type="dxa"/>
              <w:bottom w:w="100" w:type="dxa"/>
              <w:end w:w="120" w:type="dxa"/>
            </w:tcMar>
          </w:tcPr>
          <w:p>
            <w:pPr>
              <w:spacing w:after="0"/>
            </w:pPr>
            <w:r>
              <w:rPr>
                <w:sz w:val="17"/>
              </w:rPr>
              <w:t>Instalaciones no reproducibles o con información indebida</w:t>
            </w:r>
          </w:p>
        </w:tc>
        <w:tc>
          <w:tcPr>
            <w:tcW w:type="dxa" w:w="3969"/>
            <w:vAlign w:val="center"/>
            <w:tcMar>
              <w:top w:w="100" w:type="dxa"/>
              <w:start w:w="120" w:type="dxa"/>
              <w:bottom w:w="100" w:type="dxa"/>
              <w:end w:w="120" w:type="dxa"/>
            </w:tcMar>
          </w:tcPr>
          <w:p>
            <w:pPr>
              <w:spacing w:after="0"/>
            </w:pPr>
            <w:r>
              <w:rPr>
                <w:sz w:val="17"/>
              </w:rPr>
              <w:t>Consolidar esquema limpio y probarlo desde base inexistente</w:t>
            </w:r>
          </w:p>
        </w:tc>
      </w:tr>
      <w:tr>
        <w:trPr>
          <w:cantSplit/>
        </w:trPr>
        <w:tc>
          <w:tcPr>
            <w:tcW w:type="dxa" w:w="2381"/>
            <w:vAlign w:val="center"/>
            <w:tcMar>
              <w:top w:w="100" w:type="dxa"/>
              <w:start w:w="120" w:type="dxa"/>
              <w:bottom w:w="100" w:type="dxa"/>
              <w:end w:w="120" w:type="dxa"/>
            </w:tcMar>
            <w:shd w:fill="F3F6F7"/>
          </w:tcPr>
          <w:p>
            <w:pPr>
              <w:spacing w:after="0"/>
            </w:pPr>
            <w:r>
              <w:rPr>
                <w:sz w:val="17"/>
              </w:rPr>
              <w:t>Bootstrap incompleto</w:t>
            </w:r>
          </w:p>
        </w:tc>
        <w:tc>
          <w:tcPr>
            <w:tcW w:type="dxa" w:w="2835"/>
            <w:vAlign w:val="center"/>
            <w:tcMar>
              <w:top w:w="100" w:type="dxa"/>
              <w:start w:w="120" w:type="dxa"/>
              <w:bottom w:w="100" w:type="dxa"/>
              <w:end w:w="120" w:type="dxa"/>
            </w:tcMar>
            <w:shd w:fill="F3F6F7"/>
          </w:tcPr>
          <w:p>
            <w:pPr>
              <w:spacing w:after="0"/>
            </w:pPr>
            <w:r>
              <w:rPr>
                <w:sz w:val="17"/>
              </w:rPr>
              <w:t>Pérdida de datos o instalación bloqueada</w:t>
            </w:r>
          </w:p>
        </w:tc>
        <w:tc>
          <w:tcPr>
            <w:tcW w:type="dxa" w:w="3969"/>
            <w:vAlign w:val="center"/>
            <w:tcMar>
              <w:top w:w="100" w:type="dxa"/>
              <w:start w:w="120" w:type="dxa"/>
              <w:bottom w:w="100" w:type="dxa"/>
              <w:end w:w="120" w:type="dxa"/>
            </w:tcMar>
            <w:shd w:fill="F3F6F7"/>
          </w:tcPr>
          <w:p>
            <w:pPr>
              <w:spacing w:after="0"/>
            </w:pPr>
            <w:r>
              <w:rPr>
                <w:sz w:val="17"/>
              </w:rPr>
              <w:t>Implementar estados, backup previo y recuperación de interrupciones</w:t>
            </w:r>
          </w:p>
        </w:tc>
      </w:tr>
      <w:tr>
        <w:trPr>
          <w:cantSplit/>
        </w:trPr>
        <w:tc>
          <w:tcPr>
            <w:tcW w:type="dxa" w:w="2381"/>
            <w:vAlign w:val="center"/>
            <w:tcMar>
              <w:top w:w="100" w:type="dxa"/>
              <w:start w:w="120" w:type="dxa"/>
              <w:bottom w:w="100" w:type="dxa"/>
              <w:end w:w="120" w:type="dxa"/>
            </w:tcMar>
          </w:tcPr>
          <w:p>
            <w:pPr>
              <w:spacing w:after="0"/>
            </w:pPr>
            <w:r>
              <w:rPr>
                <w:sz w:val="17"/>
              </w:rPr>
              <w:t>Diferencia entre pruebas y producción</w:t>
            </w:r>
          </w:p>
        </w:tc>
        <w:tc>
          <w:tcPr>
            <w:tcW w:type="dxa" w:w="2835"/>
            <w:vAlign w:val="center"/>
            <w:tcMar>
              <w:top w:w="100" w:type="dxa"/>
              <w:start w:w="120" w:type="dxa"/>
              <w:bottom w:w="100" w:type="dxa"/>
              <w:end w:w="120" w:type="dxa"/>
            </w:tcMar>
          </w:tcPr>
          <w:p>
            <w:pPr>
              <w:spacing w:after="0"/>
            </w:pPr>
            <w:r>
              <w:rPr>
                <w:sz w:val="17"/>
              </w:rPr>
              <w:t>Falsa confianza en Docker, MySQL o proxy</w:t>
            </w:r>
          </w:p>
        </w:tc>
        <w:tc>
          <w:tcPr>
            <w:tcW w:type="dxa" w:w="3969"/>
            <w:vAlign w:val="center"/>
            <w:tcMar>
              <w:top w:w="100" w:type="dxa"/>
              <w:start w:w="120" w:type="dxa"/>
              <w:bottom w:w="100" w:type="dxa"/>
              <w:end w:w="120" w:type="dxa"/>
            </w:tcMar>
          </w:tcPr>
          <w:p>
            <w:pPr>
              <w:spacing w:after="0"/>
            </w:pPr>
            <w:r>
              <w:rPr>
                <w:sz w:val="17"/>
              </w:rPr>
              <w:t>Probar la combinación exacta en laboratorio equivalente</w:t>
            </w:r>
          </w:p>
        </w:tc>
      </w:tr>
      <w:tr>
        <w:trPr>
          <w:cantSplit/>
        </w:trPr>
        <w:tc>
          <w:tcPr>
            <w:tcW w:type="dxa" w:w="2381"/>
            <w:vAlign w:val="center"/>
            <w:tcMar>
              <w:top w:w="100" w:type="dxa"/>
              <w:start w:w="120" w:type="dxa"/>
              <w:bottom w:w="100" w:type="dxa"/>
              <w:end w:w="120" w:type="dxa"/>
            </w:tcMar>
            <w:shd w:fill="F3F6F7"/>
          </w:tcPr>
          <w:p>
            <w:pPr>
              <w:spacing w:after="0"/>
            </w:pPr>
            <w:r>
              <w:rPr>
                <w:sz w:val="17"/>
              </w:rPr>
              <w:t>Aprovisionamiento parcial</w:t>
            </w:r>
          </w:p>
        </w:tc>
        <w:tc>
          <w:tcPr>
            <w:tcW w:type="dxa" w:w="2835"/>
            <w:vAlign w:val="center"/>
            <w:tcMar>
              <w:top w:w="100" w:type="dxa"/>
              <w:start w:w="120" w:type="dxa"/>
              <w:bottom w:w="100" w:type="dxa"/>
              <w:end w:w="120" w:type="dxa"/>
            </w:tcMar>
            <w:shd w:fill="F3F6F7"/>
          </w:tcPr>
          <w:p>
            <w:pPr>
              <w:spacing w:after="0"/>
            </w:pPr>
            <w:r>
              <w:rPr>
                <w:sz w:val="17"/>
              </w:rPr>
              <w:t>Prometer demos que no están disponibles</w:t>
            </w:r>
          </w:p>
        </w:tc>
        <w:tc>
          <w:tcPr>
            <w:tcW w:type="dxa" w:w="3969"/>
            <w:vAlign w:val="center"/>
            <w:tcMar>
              <w:top w:w="100" w:type="dxa"/>
              <w:start w:w="120" w:type="dxa"/>
              <w:bottom w:w="100" w:type="dxa"/>
              <w:end w:w="120" w:type="dxa"/>
            </w:tcMar>
            <w:shd w:fill="F3F6F7"/>
          </w:tcPr>
          <w:p>
            <w:pPr>
              <w:spacing w:after="0"/>
            </w:pPr>
            <w:r>
              <w:rPr>
                <w:sz w:val="17"/>
              </w:rPr>
              <w:t>Mantener REQUESTED hasta que READY esté verificado</w:t>
            </w:r>
          </w:p>
        </w:tc>
      </w:tr>
      <w:tr>
        <w:trPr>
          <w:cantSplit/>
        </w:trPr>
        <w:tc>
          <w:tcPr>
            <w:tcW w:type="dxa" w:w="2381"/>
            <w:vAlign w:val="center"/>
            <w:tcMar>
              <w:top w:w="100" w:type="dxa"/>
              <w:start w:w="120" w:type="dxa"/>
              <w:bottom w:w="100" w:type="dxa"/>
              <w:end w:w="120" w:type="dxa"/>
            </w:tcMar>
          </w:tcPr>
          <w:p>
            <w:pPr>
              <w:spacing w:after="0"/>
            </w:pPr>
            <w:r>
              <w:rPr>
                <w:sz w:val="17"/>
              </w:rPr>
              <w:t>Secretos y credenciales</w:t>
            </w:r>
          </w:p>
        </w:tc>
        <w:tc>
          <w:tcPr>
            <w:tcW w:type="dxa" w:w="2835"/>
            <w:vAlign w:val="center"/>
            <w:tcMar>
              <w:top w:w="100" w:type="dxa"/>
              <w:start w:w="120" w:type="dxa"/>
              <w:bottom w:w="100" w:type="dxa"/>
              <w:end w:w="120" w:type="dxa"/>
            </w:tcMar>
          </w:tcPr>
          <w:p>
            <w:pPr>
              <w:spacing w:after="0"/>
            </w:pPr>
            <w:r>
              <w:rPr>
                <w:sz w:val="17"/>
              </w:rPr>
              <w:t>Acceso no autorizado</w:t>
            </w:r>
          </w:p>
        </w:tc>
        <w:tc>
          <w:tcPr>
            <w:tcW w:type="dxa" w:w="3969"/>
            <w:vAlign w:val="center"/>
            <w:tcMar>
              <w:top w:w="100" w:type="dxa"/>
              <w:start w:w="120" w:type="dxa"/>
              <w:bottom w:w="100" w:type="dxa"/>
              <w:end w:w="120" w:type="dxa"/>
            </w:tcMar>
          </w:tcPr>
          <w:p>
            <w:pPr>
              <w:spacing w:after="0"/>
            </w:pPr>
            <w:r>
              <w:rPr>
                <w:sz w:val="17"/>
              </w:rPr>
              <w:t>Inventario, almacén externo, mínimos privilegios y rotación</w:t>
            </w:r>
          </w:p>
        </w:tc>
      </w:tr>
      <w:tr>
        <w:trPr>
          <w:cantSplit/>
        </w:trPr>
        <w:tc>
          <w:tcPr>
            <w:tcW w:type="dxa" w:w="2381"/>
            <w:vAlign w:val="center"/>
            <w:tcMar>
              <w:top w:w="100" w:type="dxa"/>
              <w:start w:w="120" w:type="dxa"/>
              <w:bottom w:w="100" w:type="dxa"/>
              <w:end w:w="120" w:type="dxa"/>
            </w:tcMar>
            <w:shd w:fill="F3F6F7"/>
          </w:tcPr>
          <w:p>
            <w:pPr>
              <w:spacing w:after="0"/>
            </w:pPr>
            <w:r>
              <w:rPr>
                <w:sz w:val="17"/>
              </w:rPr>
              <w:t>Backups sin restauración</w:t>
            </w:r>
          </w:p>
        </w:tc>
        <w:tc>
          <w:tcPr>
            <w:tcW w:type="dxa" w:w="2835"/>
            <w:vAlign w:val="center"/>
            <w:tcMar>
              <w:top w:w="100" w:type="dxa"/>
              <w:start w:w="120" w:type="dxa"/>
              <w:bottom w:w="100" w:type="dxa"/>
              <w:end w:w="120" w:type="dxa"/>
            </w:tcMar>
            <w:shd w:fill="F3F6F7"/>
          </w:tcPr>
          <w:p>
            <w:pPr>
              <w:spacing w:after="0"/>
            </w:pPr>
            <w:r>
              <w:rPr>
                <w:sz w:val="17"/>
              </w:rPr>
              <w:t>Continuidad no demostrada</w:t>
            </w:r>
          </w:p>
        </w:tc>
        <w:tc>
          <w:tcPr>
            <w:tcW w:type="dxa" w:w="3969"/>
            <w:vAlign w:val="center"/>
            <w:tcMar>
              <w:top w:w="100" w:type="dxa"/>
              <w:start w:w="120" w:type="dxa"/>
              <w:bottom w:w="100" w:type="dxa"/>
              <w:end w:w="120" w:type="dxa"/>
            </w:tcMar>
            <w:shd w:fill="F3F6F7"/>
          </w:tcPr>
          <w:p>
            <w:pPr>
              <w:spacing w:after="0"/>
            </w:pPr>
            <w:r>
              <w:rPr>
                <w:sz w:val="17"/>
              </w:rPr>
              <w:t>Simulacro periódico y evidencia de recuperación</w:t>
            </w:r>
          </w:p>
        </w:tc>
      </w:tr>
      <w:tr>
        <w:trPr>
          <w:cantSplit/>
        </w:trPr>
        <w:tc>
          <w:tcPr>
            <w:tcW w:type="dxa" w:w="2381"/>
            <w:vAlign w:val="center"/>
            <w:tcMar>
              <w:top w:w="100" w:type="dxa"/>
              <w:start w:w="120" w:type="dxa"/>
              <w:bottom w:w="100" w:type="dxa"/>
              <w:end w:w="120" w:type="dxa"/>
            </w:tcMar>
          </w:tcPr>
          <w:p>
            <w:pPr>
              <w:spacing w:after="0"/>
            </w:pPr>
            <w:r>
              <w:rPr>
                <w:sz w:val="17"/>
              </w:rPr>
              <w:t>Rectificativas no cerradas</w:t>
            </w:r>
          </w:p>
        </w:tc>
        <w:tc>
          <w:tcPr>
            <w:tcW w:type="dxa" w:w="2835"/>
            <w:vAlign w:val="center"/>
            <w:tcMar>
              <w:top w:w="100" w:type="dxa"/>
              <w:start w:w="120" w:type="dxa"/>
              <w:bottom w:w="100" w:type="dxa"/>
              <w:end w:w="120" w:type="dxa"/>
            </w:tcMar>
          </w:tcPr>
          <w:p>
            <w:pPr>
              <w:spacing w:after="0"/>
            </w:pPr>
            <w:r>
              <w:rPr>
                <w:sz w:val="17"/>
              </w:rPr>
              <w:t>Corrección fiscal incompleta</w:t>
            </w:r>
          </w:p>
        </w:tc>
        <w:tc>
          <w:tcPr>
            <w:tcW w:type="dxa" w:w="3969"/>
            <w:vAlign w:val="center"/>
            <w:tcMar>
              <w:top w:w="100" w:type="dxa"/>
              <w:start w:w="120" w:type="dxa"/>
              <w:bottom w:w="100" w:type="dxa"/>
              <w:end w:w="120" w:type="dxa"/>
            </w:tcMar>
          </w:tcPr>
          <w:p>
            <w:pPr>
              <w:spacing w:after="0"/>
            </w:pPr>
            <w:r>
              <w:rPr>
                <w:sz w:val="17"/>
              </w:rPr>
              <w:t>Mantenerlas fuera del circuito disponible hasta validación</w:t>
            </w:r>
          </w:p>
        </w:tc>
      </w:tr>
    </w:tbl>
    <w:p>
      <w:pPr>
        <w:spacing w:after="0"/>
      </w:pPr>
    </w:p>
    <w:p>
      <w:pPr>
        <w:pStyle w:val="Heading2"/>
        <w:keepNext/>
      </w:pPr>
      <w:r>
        <w:t>10.3 Hoja de ruta propuesta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Prioridad</w:t>
            </w:r>
          </w:p>
        </w:tc>
        <w:tc>
          <w:tcPr>
            <w:tcW w:type="dxa" w:w="3249"/>
            <w:shd w:fill="20262C"/>
            <w:vAlign w:val="center"/>
            <w:tcMar>
              <w:top w:w="100" w:type="dxa"/>
              <w:start w:w="120" w:type="dxa"/>
              <w:bottom w:w="100" w:type="dxa"/>
              <w:end w:w="120" w:type="dxa"/>
            </w:tcMar>
          </w:tcPr>
          <w:p>
            <w:r>
              <w:rPr>
                <w:b/>
                <w:color w:val="FFFFFF"/>
                <w:sz w:val="18"/>
              </w:rPr>
              <w:t>Resultado</w:t>
            </w:r>
          </w:p>
        </w:tc>
        <w:tc>
          <w:tcPr>
            <w:tcW w:type="dxa" w:w="3249"/>
            <w:shd w:fill="20262C"/>
            <w:vAlign w:val="center"/>
            <w:tcMar>
              <w:top w:w="100" w:type="dxa"/>
              <w:start w:w="120" w:type="dxa"/>
              <w:bottom w:w="100" w:type="dxa"/>
              <w:end w:w="120" w:type="dxa"/>
            </w:tcMar>
          </w:tcPr>
          <w:p>
            <w:r>
              <w:rPr>
                <w:b/>
                <w:color w:val="FFFFFF"/>
                <w:sz w:val="18"/>
              </w:rPr>
              <w:t>Puerta de salida</w:t>
            </w:r>
          </w:p>
        </w:tc>
      </w:tr>
      <w:tr>
        <w:trPr>
          <w:cantSplit/>
        </w:trPr>
        <w:tc>
          <w:tcPr>
            <w:tcW w:type="dxa" w:w="1134"/>
            <w:vAlign w:val="center"/>
            <w:tcMar>
              <w:top w:w="100" w:type="dxa"/>
              <w:start w:w="120" w:type="dxa"/>
              <w:bottom w:w="100" w:type="dxa"/>
              <w:end w:w="120" w:type="dxa"/>
            </w:tcMar>
          </w:tcPr>
          <w:p>
            <w:pPr>
              <w:spacing w:after="0"/>
            </w:pPr>
            <w:r>
              <w:rPr>
                <w:sz w:val="17"/>
              </w:rPr>
              <w:t>P0</w:t>
            </w:r>
          </w:p>
        </w:tc>
        <w:tc>
          <w:tcPr>
            <w:tcW w:type="dxa" w:w="4025"/>
            <w:vAlign w:val="center"/>
            <w:tcMar>
              <w:top w:w="100" w:type="dxa"/>
              <w:start w:w="120" w:type="dxa"/>
              <w:bottom w:w="100" w:type="dxa"/>
              <w:end w:w="120" w:type="dxa"/>
            </w:tcMar>
          </w:tcPr>
          <w:p>
            <w:pPr>
              <w:spacing w:after="0"/>
            </w:pPr>
            <w:r>
              <w:rPr>
                <w:sz w:val="17"/>
              </w:rPr>
              <w:t>Instalación limpia y esquema consolidado</w:t>
            </w:r>
          </w:p>
        </w:tc>
        <w:tc>
          <w:tcPr>
            <w:tcW w:type="dxa" w:w="4025"/>
            <w:vAlign w:val="center"/>
            <w:tcMar>
              <w:top w:w="100" w:type="dxa"/>
              <w:start w:w="120" w:type="dxa"/>
              <w:bottom w:w="100" w:type="dxa"/>
              <w:end w:w="120" w:type="dxa"/>
            </w:tcMar>
          </w:tcPr>
          <w:p>
            <w:pPr>
              <w:spacing w:after="0"/>
            </w:pPr>
            <w:r>
              <w:rPr>
                <w:sz w:val="17"/>
              </w:rPr>
              <w:t>Dos instalaciones desde cero sin SQL manual</w:t>
            </w:r>
          </w:p>
        </w:tc>
      </w:tr>
      <w:tr>
        <w:trPr>
          <w:cantSplit/>
        </w:trPr>
        <w:tc>
          <w:tcPr>
            <w:tcW w:type="dxa" w:w="1134"/>
            <w:vAlign w:val="center"/>
            <w:tcMar>
              <w:top w:w="100" w:type="dxa"/>
              <w:start w:w="120" w:type="dxa"/>
              <w:bottom w:w="100" w:type="dxa"/>
              <w:end w:w="120" w:type="dxa"/>
            </w:tcMar>
            <w:shd w:fill="F3F6F7"/>
          </w:tcPr>
          <w:p>
            <w:pPr>
              <w:spacing w:after="0"/>
            </w:pPr>
            <w:r>
              <w:rPr>
                <w:sz w:val="17"/>
              </w:rPr>
              <w:t>P1</w:t>
            </w:r>
          </w:p>
        </w:tc>
        <w:tc>
          <w:tcPr>
            <w:tcW w:type="dxa" w:w="4025"/>
            <w:vAlign w:val="center"/>
            <w:tcMar>
              <w:top w:w="100" w:type="dxa"/>
              <w:start w:w="120" w:type="dxa"/>
              <w:bottom w:w="100" w:type="dxa"/>
              <w:end w:w="120" w:type="dxa"/>
            </w:tcMar>
            <w:shd w:fill="F3F6F7"/>
          </w:tcPr>
          <w:p>
            <w:pPr>
              <w:spacing w:after="0"/>
            </w:pPr>
            <w:r>
              <w:rPr>
                <w:sz w:val="17"/>
              </w:rPr>
              <w:t>Flujo comercial completo</w:t>
            </w:r>
          </w:p>
        </w:tc>
        <w:tc>
          <w:tcPr>
            <w:tcW w:type="dxa" w:w="4025"/>
            <w:vAlign w:val="center"/>
            <w:tcMar>
              <w:top w:w="100" w:type="dxa"/>
              <w:start w:w="120" w:type="dxa"/>
              <w:bottom w:w="100" w:type="dxa"/>
              <w:end w:w="120" w:type="dxa"/>
            </w:tcMar>
            <w:shd w:fill="F3F6F7"/>
          </w:tcPr>
          <w:p>
            <w:pPr>
              <w:spacing w:after="0"/>
            </w:pPr>
            <w:r>
              <w:rPr>
                <w:sz w:val="17"/>
              </w:rPr>
              <w:t>Venta de extremo a extremo conservada tras reinicio</w:t>
            </w:r>
          </w:p>
        </w:tc>
      </w:tr>
      <w:tr>
        <w:trPr>
          <w:cantSplit/>
        </w:trPr>
        <w:tc>
          <w:tcPr>
            <w:tcW w:type="dxa" w:w="1134"/>
            <w:vAlign w:val="center"/>
            <w:tcMar>
              <w:top w:w="100" w:type="dxa"/>
              <w:start w:w="120" w:type="dxa"/>
              <w:bottom w:w="100" w:type="dxa"/>
              <w:end w:w="120" w:type="dxa"/>
            </w:tcMar>
          </w:tcPr>
          <w:p>
            <w:pPr>
              <w:spacing w:after="0"/>
            </w:pPr>
            <w:r>
              <w:rPr>
                <w:sz w:val="17"/>
              </w:rPr>
              <w:t>P2</w:t>
            </w:r>
          </w:p>
        </w:tc>
        <w:tc>
          <w:tcPr>
            <w:tcW w:type="dxa" w:w="4025"/>
            <w:vAlign w:val="center"/>
            <w:tcMar>
              <w:top w:w="100" w:type="dxa"/>
              <w:start w:w="120" w:type="dxa"/>
              <w:bottom w:w="100" w:type="dxa"/>
              <w:end w:w="120" w:type="dxa"/>
            </w:tcMar>
          </w:tcPr>
          <w:p>
            <w:pPr>
              <w:spacing w:after="0"/>
            </w:pPr>
            <w:r>
              <w:rPr>
                <w:sz w:val="17"/>
              </w:rPr>
              <w:t>Persistencia y recuperación</w:t>
            </w:r>
          </w:p>
        </w:tc>
        <w:tc>
          <w:tcPr>
            <w:tcW w:type="dxa" w:w="4025"/>
            <w:vAlign w:val="center"/>
            <w:tcMar>
              <w:top w:w="100" w:type="dxa"/>
              <w:start w:w="120" w:type="dxa"/>
              <w:bottom w:w="100" w:type="dxa"/>
              <w:end w:w="120" w:type="dxa"/>
            </w:tcMar>
          </w:tcPr>
          <w:p>
            <w:pPr>
              <w:spacing w:after="0"/>
            </w:pPr>
            <w:r>
              <w:rPr>
                <w:sz w:val="17"/>
              </w:rPr>
              <w:t>Eliminar contenedores y restaurar base y GestDoc</w:t>
            </w:r>
          </w:p>
        </w:tc>
      </w:tr>
      <w:tr>
        <w:trPr>
          <w:cantSplit/>
        </w:trPr>
        <w:tc>
          <w:tcPr>
            <w:tcW w:type="dxa" w:w="1134"/>
            <w:vAlign w:val="center"/>
            <w:tcMar>
              <w:top w:w="100" w:type="dxa"/>
              <w:start w:w="120" w:type="dxa"/>
              <w:bottom w:w="100" w:type="dxa"/>
              <w:end w:w="120" w:type="dxa"/>
            </w:tcMar>
            <w:shd w:fill="F3F6F7"/>
          </w:tcPr>
          <w:p>
            <w:pPr>
              <w:spacing w:after="0"/>
            </w:pPr>
            <w:r>
              <w:rPr>
                <w:sz w:val="17"/>
              </w:rPr>
              <w:t>P3</w:t>
            </w:r>
          </w:p>
        </w:tc>
        <w:tc>
          <w:tcPr>
            <w:tcW w:type="dxa" w:w="4025"/>
            <w:vAlign w:val="center"/>
            <w:tcMar>
              <w:top w:w="100" w:type="dxa"/>
              <w:start w:w="120" w:type="dxa"/>
              <w:bottom w:w="100" w:type="dxa"/>
              <w:end w:w="120" w:type="dxa"/>
            </w:tcMar>
            <w:shd w:fill="F3F6F7"/>
          </w:tcPr>
          <w:p>
            <w:pPr>
              <w:spacing w:after="0"/>
            </w:pPr>
            <w:r>
              <w:rPr>
                <w:sz w:val="17"/>
              </w:rPr>
              <w:t>Stack Standard de laboratorio</w:t>
            </w:r>
          </w:p>
        </w:tc>
        <w:tc>
          <w:tcPr>
            <w:tcW w:type="dxa" w:w="4025"/>
            <w:vAlign w:val="center"/>
            <w:tcMar>
              <w:top w:w="100" w:type="dxa"/>
              <w:start w:w="120" w:type="dxa"/>
              <w:bottom w:w="100" w:type="dxa"/>
              <w:end w:w="120" w:type="dxa"/>
            </w:tcMar>
            <w:shd w:fill="F3F6F7"/>
          </w:tcPr>
          <w:p>
            <w:pPr>
              <w:spacing w:after="0"/>
            </w:pPr>
            <w:r>
              <w:rPr>
                <w:sz w:val="17"/>
              </w:rPr>
              <w:t>Build, despliegue, health check y actualización repetibles</w:t>
            </w:r>
          </w:p>
        </w:tc>
      </w:tr>
      <w:tr>
        <w:trPr>
          <w:cantSplit/>
        </w:trPr>
        <w:tc>
          <w:tcPr>
            <w:tcW w:type="dxa" w:w="1134"/>
            <w:vAlign w:val="center"/>
            <w:tcMar>
              <w:top w:w="100" w:type="dxa"/>
              <w:start w:w="120" w:type="dxa"/>
              <w:bottom w:w="100" w:type="dxa"/>
              <w:end w:w="120" w:type="dxa"/>
            </w:tcMar>
          </w:tcPr>
          <w:p>
            <w:pPr>
              <w:spacing w:after="0"/>
            </w:pPr>
            <w:r>
              <w:rPr>
                <w:sz w:val="17"/>
              </w:rPr>
              <w:t>P4</w:t>
            </w:r>
          </w:p>
        </w:tc>
        <w:tc>
          <w:tcPr>
            <w:tcW w:type="dxa" w:w="4025"/>
            <w:vAlign w:val="center"/>
            <w:tcMar>
              <w:top w:w="100" w:type="dxa"/>
              <w:start w:w="120" w:type="dxa"/>
              <w:bottom w:w="100" w:type="dxa"/>
              <w:end w:w="120" w:type="dxa"/>
            </w:tcMar>
          </w:tcPr>
          <w:p>
            <w:pPr>
              <w:spacing w:after="0"/>
            </w:pPr>
            <w:r>
              <w:rPr>
                <w:sz w:val="17"/>
              </w:rPr>
              <w:t>Portal y Provisioning integrados</w:t>
            </w:r>
          </w:p>
        </w:tc>
        <w:tc>
          <w:tcPr>
            <w:tcW w:type="dxa" w:w="4025"/>
            <w:vAlign w:val="center"/>
            <w:tcMar>
              <w:top w:w="100" w:type="dxa"/>
              <w:start w:w="120" w:type="dxa"/>
              <w:bottom w:w="100" w:type="dxa"/>
              <w:end w:w="120" w:type="dxa"/>
            </w:tcMar>
          </w:tcPr>
          <w:p>
            <w:pPr>
              <w:spacing w:after="0"/>
            </w:pPr>
            <w:r>
              <w:rPr>
                <w:sz w:val="17"/>
              </w:rPr>
              <w:t>POST público, cola, READY, entrega y expiración controlada</w:t>
            </w:r>
          </w:p>
        </w:tc>
      </w:tr>
      <w:tr>
        <w:trPr>
          <w:cantSplit/>
        </w:trPr>
        <w:tc>
          <w:tcPr>
            <w:tcW w:type="dxa" w:w="1134"/>
            <w:vAlign w:val="center"/>
            <w:tcMar>
              <w:top w:w="100" w:type="dxa"/>
              <w:start w:w="120" w:type="dxa"/>
              <w:bottom w:w="100" w:type="dxa"/>
              <w:end w:w="120" w:type="dxa"/>
            </w:tcMar>
            <w:shd w:fill="F3F6F7"/>
          </w:tcPr>
          <w:p>
            <w:pPr>
              <w:spacing w:after="0"/>
            </w:pPr>
            <w:r>
              <w:rPr>
                <w:sz w:val="17"/>
              </w:rPr>
              <w:t>P5</w:t>
            </w:r>
          </w:p>
        </w:tc>
        <w:tc>
          <w:tcPr>
            <w:tcW w:type="dxa" w:w="4025"/>
            <w:vAlign w:val="center"/>
            <w:tcMar>
              <w:top w:w="100" w:type="dxa"/>
              <w:start w:w="120" w:type="dxa"/>
              <w:bottom w:w="100" w:type="dxa"/>
              <w:end w:w="120" w:type="dxa"/>
            </w:tcMar>
            <w:shd w:fill="F3F6F7"/>
          </w:tcPr>
          <w:p>
            <w:pPr>
              <w:spacing w:after="0"/>
            </w:pPr>
            <w:r>
              <w:rPr>
                <w:sz w:val="17"/>
              </w:rPr>
              <w:t>Piloto productivo</w:t>
            </w:r>
          </w:p>
        </w:tc>
        <w:tc>
          <w:tcPr>
            <w:tcW w:type="dxa" w:w="4025"/>
            <w:vAlign w:val="center"/>
            <w:tcMar>
              <w:top w:w="100" w:type="dxa"/>
              <w:start w:w="120" w:type="dxa"/>
              <w:bottom w:w="100" w:type="dxa"/>
              <w:end w:w="120" w:type="dxa"/>
            </w:tcMar>
            <w:shd w:fill="F3F6F7"/>
          </w:tcPr>
          <w:p>
            <w:pPr>
              <w:spacing w:after="0"/>
            </w:pPr>
            <w:r>
              <w:rPr>
                <w:sz w:val="17"/>
              </w:rPr>
              <w:t>Seguridad, monitorización, backup externo y rollback aprobados</w:t>
            </w:r>
          </w:p>
        </w:tc>
      </w:tr>
    </w:tbl>
    <w:p>
      <w:pPr>
        <w:spacing w:after="0"/>
      </w:pPr>
    </w:p>
    <w:p>
      <w:pPr>
        <w:pStyle w:val="Heading1"/>
        <w:keepNext/>
      </w:pPr>
      <w:r>
        <w:t>11 Criterios de aceptación</w:t>
      </w:r>
    </w:p>
    <w:p>
      <w:pPr>
        <w:pStyle w:val="Heading2"/>
        <w:keepNext/>
      </w:pPr>
      <w:r>
        <w:t>11.1 Aplicación</w:t>
      </w:r>
    </w:p>
    <w:p>
      <w:pPr>
        <w:pStyle w:val="ListBullet"/>
      </w:pPr>
      <w:r>
        <w:t>El backend arranca frente a una base inexistente sin consultas prematuras.</w:t>
      </w:r>
    </w:p>
    <w:p>
      <w:pPr>
        <w:pStyle w:val="ListBullet"/>
      </w:pPr>
      <w:r>
        <w:t>El instalador crea identidad, esquema, empresa, administrador y GestDoc.</w:t>
      </w:r>
    </w:p>
    <w:p>
      <w:pPr>
        <w:pStyle w:val="ListBullet"/>
      </w:pPr>
      <w:r>
        <w:t>Una interrupción puede reanudarse sin duplicar ni destruir información.</w:t>
      </w:r>
    </w:p>
    <w:p>
      <w:pPr>
        <w:pStyle w:val="ListBullet"/>
      </w:pPr>
      <w:r>
        <w:t>La reinstalación crea y verifica un backup antes de modificar datos.</w:t>
      </w:r>
    </w:p>
    <w:p>
      <w:pPr>
        <w:pStyle w:val="Heading2"/>
        <w:keepNext/>
      </w:pPr>
      <w:r>
        <w:t>11.2 Flujo funcional</w:t>
      </w:r>
    </w:p>
    <w:p>
      <w:pPr>
        <w:pStyle w:val="ListBullet"/>
      </w:pPr>
      <w:r>
        <w:t>Producto, tarifa y cliente producen el precio esperado.</w:t>
      </w:r>
    </w:p>
    <w:p>
      <w:pPr>
        <w:pStyle w:val="ListBullet"/>
      </w:pPr>
      <w:r>
        <w:t>Presupuesto, pedido, albarán, factura y cobro conservan cantidades y estados.</w:t>
      </w:r>
    </w:p>
    <w:p>
      <w:pPr>
        <w:pStyle w:val="ListBullet"/>
      </w:pPr>
      <w:r>
        <w:t>Servicios y políticas por pedido o entrega siguen rutas diferentes sin mezclarse.</w:t>
      </w:r>
    </w:p>
    <w:p>
      <w:pPr>
        <w:pStyle w:val="ListBullet"/>
      </w:pPr>
      <w:r>
        <w:t>PDF, documentos y trazabilidad permanecen accesibles tras reinicio.</w:t>
      </w:r>
    </w:p>
    <w:p>
      <w:pPr>
        <w:pStyle w:val="ListBullet"/>
      </w:pPr>
      <w:r>
        <w:t>Las pruebas fiscales se ejecutan en entorno de pruebas y registran resultados.</w:t>
      </w:r>
    </w:p>
    <w:p>
      <w:pPr>
        <w:pStyle w:val="Heading2"/>
        <w:keepNext/>
      </w:pPr>
      <w:r>
        <w:t>11.3 Plataforma</w:t>
      </w:r>
    </w:p>
    <w:p>
      <w:pPr>
        <w:pStyle w:val="ListBullet"/>
      </w:pPr>
      <w:r>
        <w:t>Los contenedores se recrean sin pérdida de base ni documentos.</w:t>
      </w:r>
    </w:p>
    <w:p>
      <w:pPr>
        <w:pStyle w:val="ListBullet"/>
      </w:pPr>
      <w:r>
        <w:t>MySQL permanece privado y sólo se publican Portal y APIs necesarias.</w:t>
      </w:r>
    </w:p>
    <w:p>
      <w:pPr>
        <w:pStyle w:val="ListBullet"/>
      </w:pPr>
      <w:r>
        <w:t>Las versiones de frontend, backend y migraciones son compatibles y auditables.</w:t>
      </w:r>
    </w:p>
    <w:p>
      <w:pPr>
        <w:pStyle w:val="ListBullet"/>
      </w:pPr>
      <w:r>
        <w:t>El backup se restaura en un entorno vacío y cumple RPO y RTO definidos.</w:t>
      </w:r>
    </w:p>
    <w:p>
      <w:pPr>
        <w:pStyle w:val="ListBullet"/>
      </w:pPr>
      <w:r>
        <w:t>Una demo recorre solicitud, procesamiento, disponibilidad, aviso y expiración.</w:t>
      </w:r>
    </w:p>
    <w:p>
      <w:pPr>
        <w:pStyle w:val="Heading1"/>
        <w:keepNext/>
      </w:pPr>
      <w:r>
        <w:t>12 Glosario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4873"/>
            <w:shd w:fill="20262C"/>
            <w:vAlign w:val="center"/>
            <w:tcMar>
              <w:top w:w="100" w:type="dxa"/>
              <w:start w:w="120" w:type="dxa"/>
              <w:bottom w:w="100" w:type="dxa"/>
              <w:end w:w="120" w:type="dxa"/>
            </w:tcMar>
          </w:tcPr>
          <w:p>
            <w:r>
              <w:rPr>
                <w:b/>
                <w:color w:val="FFFFFF"/>
                <w:sz w:val="18"/>
              </w:rPr>
              <w:t>Término</w:t>
            </w:r>
          </w:p>
        </w:tc>
        <w:tc>
          <w:tcPr>
            <w:tcW w:type="dxa" w:w="4873"/>
            <w:shd w:fill="20262C"/>
            <w:vAlign w:val="center"/>
            <w:tcMar>
              <w:top w:w="100" w:type="dxa"/>
              <w:start w:w="120" w:type="dxa"/>
              <w:bottom w:w="100" w:type="dxa"/>
              <w:end w:w="120" w:type="dxa"/>
            </w:tcMar>
          </w:tcPr>
          <w:p>
            <w:r>
              <w:rPr>
                <w:b/>
                <w:color w:val="FFFFFF"/>
                <w:sz w:val="18"/>
              </w:rPr>
              <w:t>Definición</w:t>
            </w:r>
          </w:p>
        </w:tc>
      </w:tr>
      <w:tr>
        <w:trPr>
          <w:cantSplit/>
        </w:trPr>
        <w:tc>
          <w:tcPr>
            <w:tcW w:type="dxa" w:w="2381"/>
            <w:vAlign w:val="center"/>
            <w:tcMar>
              <w:top w:w="100" w:type="dxa"/>
              <w:start w:w="120" w:type="dxa"/>
              <w:bottom w:w="100" w:type="dxa"/>
              <w:end w:w="120" w:type="dxa"/>
            </w:tcMar>
          </w:tcPr>
          <w:p>
            <w:pPr>
              <w:spacing w:after="0"/>
            </w:pPr>
            <w:r>
              <w:rPr>
                <w:sz w:val="17"/>
              </w:rPr>
              <w:t>Core Standard</w:t>
            </w:r>
          </w:p>
        </w:tc>
        <w:tc>
          <w:tcPr>
            <w:tcW w:type="dxa" w:w="6803"/>
            <w:vAlign w:val="center"/>
            <w:tcMar>
              <w:top w:w="100" w:type="dxa"/>
              <w:start w:w="120" w:type="dxa"/>
              <w:bottom w:w="100" w:type="dxa"/>
              <w:end w:w="120" w:type="dxa"/>
            </w:tcMar>
          </w:tcPr>
          <w:p>
            <w:pPr>
              <w:spacing w:after="0"/>
            </w:pPr>
            <w:r>
              <w:rPr>
                <w:sz w:val="17"/>
              </w:rPr>
              <w:t>Código común del ERP que se configura para cada modalidad</w:t>
            </w:r>
          </w:p>
        </w:tc>
      </w:tr>
      <w:tr>
        <w:trPr>
          <w:cantSplit/>
        </w:trPr>
        <w:tc>
          <w:tcPr>
            <w:tcW w:type="dxa" w:w="2381"/>
            <w:vAlign w:val="center"/>
            <w:tcMar>
              <w:top w:w="100" w:type="dxa"/>
              <w:start w:w="120" w:type="dxa"/>
              <w:bottom w:w="100" w:type="dxa"/>
              <w:end w:w="120" w:type="dxa"/>
            </w:tcMar>
            <w:shd w:fill="F3F6F7"/>
          </w:tcPr>
          <w:p>
            <w:pPr>
              <w:spacing w:after="0"/>
            </w:pPr>
            <w:r>
              <w:rPr>
                <w:sz w:val="17"/>
              </w:rPr>
              <w:t>Stack</w:t>
            </w:r>
          </w:p>
        </w:tc>
        <w:tc>
          <w:tcPr>
            <w:tcW w:type="dxa" w:w="6803"/>
            <w:vAlign w:val="center"/>
            <w:tcMar>
              <w:top w:w="100" w:type="dxa"/>
              <w:start w:w="120" w:type="dxa"/>
              <w:bottom w:w="100" w:type="dxa"/>
              <w:end w:w="120" w:type="dxa"/>
            </w:tcMar>
            <w:shd w:fill="F3F6F7"/>
          </w:tcPr>
          <w:p>
            <w:pPr>
              <w:spacing w:after="0"/>
            </w:pPr>
            <w:r>
              <w:rPr>
                <w:sz w:val="17"/>
              </w:rPr>
              <w:t>Conjunto coordinado de servicios, redes, volúmenes y configuración</w:t>
            </w:r>
          </w:p>
        </w:tc>
      </w:tr>
      <w:tr>
        <w:trPr>
          <w:cantSplit/>
        </w:trPr>
        <w:tc>
          <w:tcPr>
            <w:tcW w:type="dxa" w:w="2381"/>
            <w:vAlign w:val="center"/>
            <w:tcMar>
              <w:top w:w="100" w:type="dxa"/>
              <w:start w:w="120" w:type="dxa"/>
              <w:bottom w:w="100" w:type="dxa"/>
              <w:end w:w="120" w:type="dxa"/>
            </w:tcMar>
          </w:tcPr>
          <w:p>
            <w:pPr>
              <w:spacing w:after="0"/>
            </w:pPr>
            <w:r>
              <w:rPr>
                <w:sz w:val="17"/>
              </w:rPr>
              <w:t>Provisioning</w:t>
            </w:r>
          </w:p>
        </w:tc>
        <w:tc>
          <w:tcPr>
            <w:tcW w:type="dxa" w:w="6803"/>
            <w:vAlign w:val="center"/>
            <w:tcMar>
              <w:top w:w="100" w:type="dxa"/>
              <w:start w:w="120" w:type="dxa"/>
              <w:bottom w:w="100" w:type="dxa"/>
              <w:end w:w="120" w:type="dxa"/>
            </w:tcMar>
          </w:tcPr>
          <w:p>
            <w:pPr>
              <w:spacing w:after="0"/>
            </w:pPr>
            <w:r>
              <w:rPr>
                <w:sz w:val="17"/>
              </w:rPr>
              <w:t>Servicio que registra y orquesta el ciclo de instalaciones</w:t>
            </w:r>
          </w:p>
        </w:tc>
      </w:tr>
      <w:tr>
        <w:trPr>
          <w:cantSplit/>
        </w:trPr>
        <w:tc>
          <w:tcPr>
            <w:tcW w:type="dxa" w:w="2381"/>
            <w:vAlign w:val="center"/>
            <w:tcMar>
              <w:top w:w="100" w:type="dxa"/>
              <w:start w:w="120" w:type="dxa"/>
              <w:bottom w:w="100" w:type="dxa"/>
              <w:end w:w="120" w:type="dxa"/>
            </w:tcMar>
            <w:shd w:fill="F3F6F7"/>
          </w:tcPr>
          <w:p>
            <w:pPr>
              <w:spacing w:after="0"/>
            </w:pPr>
            <w:r>
              <w:rPr>
                <w:sz w:val="17"/>
              </w:rPr>
              <w:t>GestDoc</w:t>
            </w:r>
          </w:p>
        </w:tc>
        <w:tc>
          <w:tcPr>
            <w:tcW w:type="dxa" w:w="6803"/>
            <w:vAlign w:val="center"/>
            <w:tcMar>
              <w:top w:w="100" w:type="dxa"/>
              <w:start w:w="120" w:type="dxa"/>
              <w:bottom w:w="100" w:type="dxa"/>
              <w:end w:w="120" w:type="dxa"/>
            </w:tcMar>
            <w:shd w:fill="F3F6F7"/>
          </w:tcPr>
          <w:p>
            <w:pPr>
              <w:spacing w:after="0"/>
            </w:pPr>
            <w:r>
              <w:rPr>
                <w:sz w:val="17"/>
              </w:rPr>
              <w:t>Repositorio persistente de documentos, imágenes, adjuntos y PDF</w:t>
            </w:r>
          </w:p>
        </w:tc>
      </w:tr>
      <w:tr>
        <w:trPr>
          <w:cantSplit/>
        </w:trPr>
        <w:tc>
          <w:tcPr>
            <w:tcW w:type="dxa" w:w="2381"/>
            <w:vAlign w:val="center"/>
            <w:tcMar>
              <w:top w:w="100" w:type="dxa"/>
              <w:start w:w="120" w:type="dxa"/>
              <w:bottom w:w="100" w:type="dxa"/>
              <w:end w:w="120" w:type="dxa"/>
            </w:tcMar>
          </w:tcPr>
          <w:p>
            <w:pPr>
              <w:spacing w:after="0"/>
            </w:pPr>
            <w:r>
              <w:rPr>
                <w:sz w:val="17"/>
              </w:rPr>
              <w:t>Traefik</w:t>
            </w:r>
          </w:p>
        </w:tc>
        <w:tc>
          <w:tcPr>
            <w:tcW w:type="dxa" w:w="6803"/>
            <w:vAlign w:val="center"/>
            <w:tcMar>
              <w:top w:w="100" w:type="dxa"/>
              <w:start w:w="120" w:type="dxa"/>
              <w:bottom w:w="100" w:type="dxa"/>
              <w:end w:w="120" w:type="dxa"/>
            </w:tcMar>
          </w:tcPr>
          <w:p>
            <w:pPr>
              <w:spacing w:after="0"/>
            </w:pPr>
            <w:r>
              <w:rPr>
                <w:sz w:val="17"/>
              </w:rPr>
              <w:t>Proxy inverso que enruta tráfico por dominio y ruta</w:t>
            </w:r>
          </w:p>
        </w:tc>
      </w:tr>
      <w:tr>
        <w:trPr>
          <w:cantSplit/>
        </w:trPr>
        <w:tc>
          <w:tcPr>
            <w:tcW w:type="dxa" w:w="2381"/>
            <w:vAlign w:val="center"/>
            <w:tcMar>
              <w:top w:w="100" w:type="dxa"/>
              <w:start w:w="120" w:type="dxa"/>
              <w:bottom w:w="100" w:type="dxa"/>
              <w:end w:w="120" w:type="dxa"/>
            </w:tcMar>
            <w:shd w:fill="F3F6F7"/>
          </w:tcPr>
          <w:p>
            <w:pPr>
              <w:spacing w:after="0"/>
            </w:pPr>
            <w:r>
              <w:rPr>
                <w:sz w:val="17"/>
              </w:rPr>
              <w:t>Registry</w:t>
            </w:r>
          </w:p>
        </w:tc>
        <w:tc>
          <w:tcPr>
            <w:tcW w:type="dxa" w:w="6803"/>
            <w:vAlign w:val="center"/>
            <w:tcMar>
              <w:top w:w="100" w:type="dxa"/>
              <w:start w:w="120" w:type="dxa"/>
              <w:bottom w:w="100" w:type="dxa"/>
              <w:end w:w="120" w:type="dxa"/>
            </w:tcMar>
            <w:shd w:fill="F3F6F7"/>
          </w:tcPr>
          <w:p>
            <w:pPr>
              <w:spacing w:after="0"/>
            </w:pPr>
            <w:r>
              <w:rPr>
                <w:sz w:val="17"/>
              </w:rPr>
              <w:t>Repositorio de imágenes de contenedor versionadas</w:t>
            </w:r>
          </w:p>
        </w:tc>
      </w:tr>
      <w:tr>
        <w:trPr>
          <w:cantSplit/>
        </w:trPr>
        <w:tc>
          <w:tcPr>
            <w:tcW w:type="dxa" w:w="2381"/>
            <w:vAlign w:val="center"/>
            <w:tcMar>
              <w:top w:w="100" w:type="dxa"/>
              <w:start w:w="120" w:type="dxa"/>
              <w:bottom w:w="100" w:type="dxa"/>
              <w:end w:w="120" w:type="dxa"/>
            </w:tcMar>
          </w:tcPr>
          <w:p>
            <w:pPr>
              <w:spacing w:after="0"/>
            </w:pPr>
            <w:r>
              <w:rPr>
                <w:sz w:val="17"/>
              </w:rPr>
              <w:t>Health check</w:t>
            </w:r>
          </w:p>
        </w:tc>
        <w:tc>
          <w:tcPr>
            <w:tcW w:type="dxa" w:w="6803"/>
            <w:vAlign w:val="center"/>
            <w:tcMar>
              <w:top w:w="100" w:type="dxa"/>
              <w:start w:w="120" w:type="dxa"/>
              <w:bottom w:w="100" w:type="dxa"/>
              <w:end w:w="120" w:type="dxa"/>
            </w:tcMar>
          </w:tcPr>
          <w:p>
            <w:pPr>
              <w:spacing w:after="0"/>
            </w:pPr>
            <w:r>
              <w:rPr>
                <w:sz w:val="17"/>
              </w:rPr>
              <w:t>Comprobación técnica de disponibilidad; no reemplaza la prueba funcional</w:t>
            </w:r>
          </w:p>
        </w:tc>
      </w:tr>
      <w:tr>
        <w:trPr>
          <w:cantSplit/>
        </w:trPr>
        <w:tc>
          <w:tcPr>
            <w:tcW w:type="dxa" w:w="2381"/>
            <w:vAlign w:val="center"/>
            <w:tcMar>
              <w:top w:w="100" w:type="dxa"/>
              <w:start w:w="120" w:type="dxa"/>
              <w:bottom w:w="100" w:type="dxa"/>
              <w:end w:w="120" w:type="dxa"/>
            </w:tcMar>
            <w:shd w:fill="F3F6F7"/>
          </w:tcPr>
          <w:p>
            <w:pPr>
              <w:spacing w:after="0"/>
            </w:pPr>
            <w:r>
              <w:rPr>
                <w:sz w:val="17"/>
              </w:rPr>
              <w:t>RPO</w:t>
            </w:r>
          </w:p>
        </w:tc>
        <w:tc>
          <w:tcPr>
            <w:tcW w:type="dxa" w:w="6803"/>
            <w:vAlign w:val="center"/>
            <w:tcMar>
              <w:top w:w="100" w:type="dxa"/>
              <w:start w:w="120" w:type="dxa"/>
              <w:bottom w:w="100" w:type="dxa"/>
              <w:end w:w="120" w:type="dxa"/>
            </w:tcMar>
            <w:shd w:fill="F3F6F7"/>
          </w:tcPr>
          <w:p>
            <w:pPr>
              <w:spacing w:after="0"/>
            </w:pPr>
            <w:r>
              <w:rPr>
                <w:sz w:val="17"/>
              </w:rPr>
              <w:t>Pérdida máxima de datos aceptable medida en tiempo</w:t>
            </w:r>
          </w:p>
        </w:tc>
      </w:tr>
      <w:tr>
        <w:trPr>
          <w:cantSplit/>
        </w:trPr>
        <w:tc>
          <w:tcPr>
            <w:tcW w:type="dxa" w:w="2381"/>
            <w:vAlign w:val="center"/>
            <w:tcMar>
              <w:top w:w="100" w:type="dxa"/>
              <w:start w:w="120" w:type="dxa"/>
              <w:bottom w:w="100" w:type="dxa"/>
              <w:end w:w="120" w:type="dxa"/>
            </w:tcMar>
          </w:tcPr>
          <w:p>
            <w:pPr>
              <w:spacing w:after="0"/>
            </w:pPr>
            <w:r>
              <w:rPr>
                <w:sz w:val="17"/>
              </w:rPr>
              <w:t>RTO</w:t>
            </w:r>
          </w:p>
        </w:tc>
        <w:tc>
          <w:tcPr>
            <w:tcW w:type="dxa" w:w="6803"/>
            <w:vAlign w:val="center"/>
            <w:tcMar>
              <w:top w:w="100" w:type="dxa"/>
              <w:start w:w="120" w:type="dxa"/>
              <w:bottom w:w="100" w:type="dxa"/>
              <w:end w:w="120" w:type="dxa"/>
            </w:tcMar>
          </w:tcPr>
          <w:p>
            <w:pPr>
              <w:spacing w:after="0"/>
            </w:pPr>
            <w:r>
              <w:rPr>
                <w:sz w:val="17"/>
              </w:rPr>
              <w:t>Tiempo máximo objetivo para recuperar el servicio</w:t>
            </w:r>
          </w:p>
        </w:tc>
      </w:tr>
      <w:tr>
        <w:trPr>
          <w:cantSplit/>
        </w:trPr>
        <w:tc>
          <w:tcPr>
            <w:tcW w:type="dxa" w:w="2381"/>
            <w:vAlign w:val="center"/>
            <w:tcMar>
              <w:top w:w="100" w:type="dxa"/>
              <w:start w:w="120" w:type="dxa"/>
              <w:bottom w:w="100" w:type="dxa"/>
              <w:end w:w="120" w:type="dxa"/>
            </w:tcMar>
            <w:shd w:fill="F3F6F7"/>
          </w:tcPr>
          <w:p>
            <w:pPr>
              <w:spacing w:after="0"/>
            </w:pPr>
            <w:r>
              <w:rPr>
                <w:sz w:val="17"/>
              </w:rPr>
              <w:t>VeriFactu</w:t>
            </w:r>
          </w:p>
        </w:tc>
        <w:tc>
          <w:tcPr>
            <w:tcW w:type="dxa" w:w="6803"/>
            <w:vAlign w:val="center"/>
            <w:tcMar>
              <w:top w:w="100" w:type="dxa"/>
              <w:start w:w="120" w:type="dxa"/>
              <w:bottom w:w="100" w:type="dxa"/>
              <w:end w:w="120" w:type="dxa"/>
            </w:tcMar>
            <w:shd w:fill="F3F6F7"/>
          </w:tcPr>
          <w:p>
            <w:pPr>
              <w:spacing w:after="0"/>
            </w:pPr>
            <w:r>
              <w:rPr>
                <w:sz w:val="17"/>
              </w:rPr>
              <w:t>Circuito de registro fiscal con estado independiente de emisión y cobro</w:t>
            </w:r>
          </w:p>
        </w:tc>
      </w:tr>
    </w:tbl>
    <w:p>
      <w:pPr>
        <w:spacing w:after="0"/>
      </w:pPr>
    </w:p>
    <w:p>
      <w:pPr>
        <w:pStyle w:val="Heading1"/>
        <w:keepNext/>
      </w:pPr>
      <w:r>
        <w:t>13 Referencias internas</w:t>
      </w:r>
    </w:p>
    <w:p>
      <w:pPr>
        <w:pStyle w:val="ListBullet"/>
      </w:pPr>
      <w:r>
        <w:t>Manual de usuario del Portal ERP en docs manual usuario README.md.</w:t>
      </w:r>
    </w:p>
    <w:p>
      <w:pPr>
        <w:pStyle w:val="ListBullet"/>
      </w:pPr>
      <w:r>
        <w:t>README de K PORTAL para comportamiento de la web y despliegue conjunto.</w:t>
      </w:r>
    </w:p>
    <w:p>
      <w:pPr>
        <w:pStyle w:val="ListBullet"/>
      </w:pPr>
      <w:r>
        <w:t>README de K PROVISIONING para persistencia MySQL, privacidad y concurrencia.</w:t>
      </w:r>
    </w:p>
    <w:p>
      <w:pPr>
        <w:pStyle w:val="ListBullet"/>
      </w:pPr>
      <w:r>
        <w:t>K INFRASTRUCTURE docs arquitectura.md, fases.md y decisiones ADR.</w:t>
      </w:r>
    </w:p>
    <w:p>
      <w:pPr>
        <w:pStyle w:val="ListBullet"/>
      </w:pPr>
      <w:r>
        <w:t>Diagramas funcional y de infraestructura incluidos en este documento.</w:t>
      </w:r>
    </w:p>
    <w:p>
      <w:pPr>
        <w:spacing w:before="200"/>
      </w:pPr>
      <w:r>
        <w:t>Este documento es una fotografía de situación a 8 de septiembre de 2026. Debe actualizarse cuando cambien estados, conexiones, responsabilidades, reglas de negocio o criterios de aceptación. Un build o una prueba aislada no acredita por sí solo base real, migración, proxy, correo, reinicio, restauración o producción.</w:t>
      </w:r>
    </w:p>
    <w:p>
      <w:r>
        <w:br w:type="page"/>
      </w:r>
    </w:p>
    <w:p>
      <w:pPr>
        <w:pStyle w:val="Heading1"/>
      </w:pPr>
      <w:r>
        <w:rPr>
          <w:color w:val="365B00"/>
        </w:rPr>
        <w:t>Diagrama de Arquitectura</w:t>
      </w:r>
    </w:p>
    <w:p>
      <w:pPr>
        <w:spacing w:after="200"/>
      </w:pPr>
      <w:r>
        <w:t>Versión actualizada del mapa de arquitectura Cloud, aprovisionamiento y ciclo de vida STANDARD. Este diagrama sustituye la lectura anterior basada únicamente en REQUESTED, PROCESSING y READY.</w:t>
      </w:r>
    </w:p>
    <w:p>
      <w:pPr>
        <w:jc w:val="center"/>
      </w:pPr>
      <w:r>
        <w:drawing>
          <wp:inline xmlns:a="http://schemas.openxmlformats.org/drawingml/2006/main" xmlns:pic="http://schemas.openxmlformats.org/drawingml/2006/picture">
            <wp:extent cx="5989320" cy="3992880"/>
            <wp:docPr id="5" name="Picture 5"/>
            <wp:cNvGraphicFramePr>
              <a:graphicFrameLocks noChangeAspect="1"/>
            </wp:cNvGraphicFramePr>
            <a:graphic>
              <a:graphicData uri="http://schemas.openxmlformats.org/drawingml/2006/picture">
                <pic:pic>
                  <pic:nvPicPr>
                    <pic:cNvPr id="0" name="Diagrama_de_Arquitectura_KiwiKERP_v3.png"/>
                    <pic:cNvPicPr/>
                  </pic:nvPicPr>
                  <pic:blipFill>
                    <a:blip r:embed="rId18"/>
                    <a:stretch>
                      <a:fillRect/>
                    </a:stretch>
                  </pic:blipFill>
                  <pic:spPr>
                    <a:xfrm>
                      <a:off x="0" y="0"/>
                      <a:ext cx="5989320" cy="3992880"/>
                    </a:xfrm>
                    <a:prstGeom prst="rect"/>
                  </pic:spPr>
                </pic:pic>
              </a:graphicData>
            </a:graphic>
          </wp:inline>
        </w:drawing>
      </w:r>
    </w:p>
    <w:p>
      <w:pPr>
        <w:pStyle w:val="Heading2"/>
      </w:pPr>
      <w:r>
        <w:t>Lectura operativa</w:t>
      </w:r>
    </w:p>
    <w:p>
      <w:r>
        <w:rPr>
          <w:b/>
        </w:rPr>
        <w:t xml:space="preserve">La secuencia vigente es: </w:t>
      </w:r>
      <w:r>
        <w:t>Portal → K-Provisioning → snapshot de versiones en demo_requests → Deploy-STANDARD → MySQL PREPARED mediante Flyway → INFRA_READY → instalador → READY → Update-STANDARD o Remove-STANDARD.</w:t>
      </w:r>
    </w:p>
    <w:p>
      <w:r>
        <w:rPr>
          <w:b/>
        </w:rPr>
        <w:t xml:space="preserve">Nota de control: </w:t>
      </w:r>
      <w:r>
        <w:t>la caducidad de 48 horas comienza cuando la infraestructura alcanza INFRA_READY; completar el instalador no reinicia ese plazo. Durante Update-STANDARD se conservan datos, documentos, secretos, dominio e INSTALLATION_CODE.</w:t>
      </w:r>
    </w:p>
    <w:sectPr w:rsidR="00FC693F" w:rsidRPr="0006063C" w:rsidSect="00034616">
      <w:footerReference w:type="default" r:id="rId12"/>
      <w:headerReference w:type="first" r:id="rId14"/>
      <w:footerReference w:type="first" r:id="rId15"/>
      <w:headerReference w:type="default" r:id="rId16"/>
      <w:headerReference w:type="even" r:id="rId17"/>
      <w:pgSz w:w="12240" w:h="15840"/>
      <w:pgMar w:top="1134" w:right="1247" w:bottom="1020" w:left="1247" w:header="198" w:footer="25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C8D0D5"/>
      </w:pBdr>
    </w:pPr>
    <w:r>
      <w:rPr>
        <w:color w:val="5F6C74"/>
        <w:sz w:val="16"/>
      </w:rPr>
      <w:t xml:space="preserve">KiwiKERP  |  Proyecto integral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98"/>
      <w:gridCol w:w="2835"/>
      <w:gridCol w:w="6378"/>
    </w:tblGrid>
    <w:tr>
      <w:tc>
        <w:tcPr>
          <w:tcW w:type="dxa" w:w="198"/>
          <w:shd w:fill="92CD00"/>
        </w:tcPr>
        <w:p/>
      </w:tc>
      <w:tc>
        <w:tcPr>
          <w:tcW w:type="dxa" w:w="2835"/>
          <w:shd w:fill="20262C"/>
        </w:tcPr>
        <w:p>
          <w:r>
            <w:rPr>
              <w:rFonts w:ascii="Arial" w:hAnsi="Arial"/>
              <w:b w:val="0"/>
              <w:color w:val="FFFFFF"/>
              <w:sz w:val="18"/>
            </w:rPr>
            <w:t>KiwiKERP</w:t>
          </w:r>
        </w:p>
      </w:tc>
      <w:tc>
        <w:tcPr>
          <w:tcW w:type="dxa" w:w="6378"/>
          <w:shd w:fill="20262C"/>
        </w:tcPr>
        <w:p>
          <w:pPr>
            <w:jc w:val="right"/>
          </w:pPr>
          <w:r>
            <w:rPr>
              <w:rFonts w:ascii="Arial" w:hAnsi="Arial"/>
              <w:b w:val="0"/>
              <w:color w:val="FFFFFF"/>
              <w:sz w:val="18"/>
            </w:rPr>
            <w:t>Manual y análisis integral</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98"/>
      <w:gridCol w:w="2835"/>
      <w:gridCol w:w="6378"/>
    </w:tblGrid>
    <w:tr>
      <w:tc>
        <w:tcPr>
          <w:tcW w:type="dxa" w:w="198"/>
          <w:shd w:fill="92CD00"/>
        </w:tcPr>
        <w:p/>
      </w:tc>
      <w:tc>
        <w:tcPr>
          <w:tcW w:type="dxa" w:w="2835"/>
          <w:shd w:fill="20262C"/>
        </w:tcPr>
        <w:p>
          <w:r>
            <w:rPr>
              <w:rFonts w:ascii="Arial" w:hAnsi="Arial"/>
              <w:b w:val="0"/>
              <w:color w:val="FFFFFF"/>
              <w:sz w:val="18"/>
            </w:rPr>
            <w:t>KiwiKERP</w:t>
          </w:r>
        </w:p>
      </w:tc>
      <w:tc>
        <w:tcPr>
          <w:tcW w:type="dxa" w:w="6378"/>
          <w:shd w:fill="20262C"/>
        </w:tcPr>
        <w:p>
          <w:pPr>
            <w:jc w:val="right"/>
          </w:pPr>
          <w:r>
            <w:rPr>
              <w:rFonts w:ascii="Arial" w:hAnsi="Arial"/>
              <w:b w:val="0"/>
              <w:color w:val="FFFFFF"/>
              <w:sz w:val="18"/>
            </w:rPr>
            <w:t>Manual y análisis integral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20262C"/>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6991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43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KiwiKERP Diagrama de Arquitectura y Manual Integral</dc:title>
  <dc:subject>Arquitectura Cloud ciclo de vida STANDARD y operación KiwiKERP</dc:subject>
  <dc:creator>FreeLandSite</dc:creator>
  <cp:keywords/>
  <dc:description>Documento de situación a 8 de septiembre de 2026</dc:description>
  <cp:lastModifiedBy/>
  <cp:revision>1</cp:revision>
  <dcterms:created xsi:type="dcterms:W3CDTF">2013-12-23T23:15:00Z</dcterms:created>
  <dcterms:modified xsi:type="dcterms:W3CDTF">2013-12-23T23:15:00Z</dcterms:modified>
  <cp:category/>
</cp:coreProperties>
</file>