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1BBE" w14:textId="77777777" w:rsidR="00827F01" w:rsidRDefault="00827F01"/>
    <w:p w14:paraId="1FDF91CD" w14:textId="77777777" w:rsidR="00827F01" w:rsidRDefault="00827F01"/>
    <w:p w14:paraId="31E75780" w14:textId="77777777" w:rsidR="00827F01" w:rsidRDefault="00827F01"/>
    <w:p w14:paraId="16167CF5" w14:textId="77777777" w:rsidR="00827F01" w:rsidRDefault="00827F01"/>
    <w:p w14:paraId="34F00A1C" w14:textId="77777777" w:rsidR="00827F01" w:rsidRDefault="00827F01" w:rsidP="00827F01">
      <w:pPr>
        <w:spacing w:after="40"/>
        <w:jc w:val="center"/>
        <w:rPr>
          <w:rFonts w:ascii="Segoe UI" w:hAnsi="Segoe UI" w:cs="Segoe UI"/>
          <w:color w:val="9CCD0A"/>
          <w:sz w:val="26"/>
        </w:rPr>
      </w:pPr>
      <w:r>
        <w:rPr>
          <w:rFonts w:ascii="Segoe UI" w:hAnsi="Segoe UI" w:cs="Segoe UI"/>
          <w:color w:val="9CCD0A"/>
          <w:sz w:val="26"/>
        </w:rPr>
        <w:t>K I W I K E R P</w:t>
      </w:r>
    </w:p>
    <w:p w14:paraId="27ED2467" w14:textId="77777777" w:rsidR="00827F01" w:rsidRDefault="00827F01" w:rsidP="00827F01">
      <w:pPr>
        <w:shd w:val="clear" w:color="auto" w:fill="FFFFFF"/>
        <w:spacing w:after="800"/>
        <w:jc w:val="center"/>
        <w:rPr>
          <w:rFonts w:ascii="Segoe UI" w:hAnsi="Segoe UI" w:cs="Segoe UI"/>
          <w:i/>
          <w:color w:val="6B6680"/>
          <w:sz w:val="22"/>
        </w:rPr>
      </w:pPr>
      <w:r>
        <w:rPr>
          <w:rFonts w:ascii="Segoe UI" w:hAnsi="Segoe UI" w:cs="Segoe UI"/>
          <w:i/>
          <w:color w:val="6B6680"/>
          <w:sz w:val="22"/>
        </w:rPr>
        <w:t>Sistema integrado de gestión empresarial</w:t>
      </w:r>
    </w:p>
    <w:p w14:paraId="6512F301" w14:textId="77777777" w:rsidR="00827F01" w:rsidRDefault="00827F01" w:rsidP="00827F01">
      <w:pPr>
        <w:shd w:val="clear" w:color="auto" w:fill="FFFFFF"/>
        <w:spacing w:after="120"/>
        <w:jc w:val="center"/>
        <w:rPr>
          <w:rFonts w:ascii="Segoe UI" w:hAnsi="Segoe UI" w:cs="Segoe UI"/>
          <w:b/>
          <w:color w:val="202637"/>
          <w:sz w:val="80"/>
        </w:rPr>
      </w:pPr>
      <w:r>
        <w:rPr>
          <w:rFonts w:ascii="Segoe UI" w:hAnsi="Segoe UI" w:cs="Segoe UI"/>
          <w:b/>
          <w:color w:val="202637"/>
          <w:sz w:val="80"/>
        </w:rPr>
        <w:t>MANUAL DE USUARIO</w:t>
      </w:r>
    </w:p>
    <w:p w14:paraId="6101B815" w14:textId="77777777" w:rsidR="00827F01" w:rsidRDefault="00827F01" w:rsidP="00827F01">
      <w:pPr>
        <w:shd w:val="clear" w:color="auto" w:fill="FFFFFF"/>
        <w:spacing w:after="0"/>
      </w:pP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08053C3E" w14:textId="77777777" w:rsidR="00827F01" w:rsidRDefault="00827F01" w:rsidP="00827F01">
      <w:pPr>
        <w:shd w:val="clear" w:color="auto" w:fill="FFFFFF"/>
        <w:spacing w:after="0"/>
      </w:pPr>
    </w:p>
    <w:p w14:paraId="232353CE" w14:textId="77777777" w:rsidR="00827F01" w:rsidRDefault="00827F01" w:rsidP="00827F01">
      <w:pPr>
        <w:shd w:val="clear" w:color="auto" w:fill="FFFFFF"/>
        <w:spacing w:after="0"/>
      </w:pPr>
    </w:p>
    <w:p w14:paraId="5CC26154" w14:textId="77777777" w:rsidR="00827F01" w:rsidRDefault="00827F01" w:rsidP="00827F01">
      <w:pPr>
        <w:shd w:val="clear" w:color="auto" w:fill="FFFFFF"/>
        <w:spacing w:after="0"/>
        <w:jc w:val="center"/>
        <w:rPr>
          <w:rFonts w:ascii="Segoe UI" w:hAnsi="Segoe UI" w:cs="Segoe UI"/>
          <w:color w:val="6B6680"/>
          <w:sz w:val="28"/>
        </w:rPr>
      </w:pPr>
      <w:r>
        <w:rPr>
          <w:rFonts w:ascii="Segoe UI" w:hAnsi="Segoe UI" w:cs="Segoe UI"/>
          <w:color w:val="6B6680"/>
          <w:sz w:val="28"/>
        </w:rPr>
        <w:t>Guía práctica del portal de gestión: acceso, configuración,</w:t>
      </w:r>
    </w:p>
    <w:p w14:paraId="62FB127B" w14:textId="77777777" w:rsidR="00827F01" w:rsidRDefault="00827F01" w:rsidP="00827F01">
      <w:pPr>
        <w:shd w:val="clear" w:color="auto" w:fill="FFFFFF"/>
        <w:spacing w:after="1200"/>
        <w:jc w:val="center"/>
        <w:rPr>
          <w:rFonts w:ascii="Segoe UI" w:hAnsi="Segoe UI" w:cs="Segoe UI"/>
          <w:color w:val="6B6680"/>
          <w:sz w:val="28"/>
        </w:rPr>
      </w:pPr>
      <w:r>
        <w:rPr>
          <w:rFonts w:ascii="Segoe UI" w:hAnsi="Segoe UI" w:cs="Segoe UI"/>
          <w:color w:val="6B6680"/>
          <w:sz w:val="28"/>
        </w:rPr>
        <w:t>datos maestros y el circuito comercial de ventas.</w:t>
      </w:r>
    </w:p>
    <w:p w14:paraId="1EEC0A13" w14:textId="77777777" w:rsidR="00827F01" w:rsidRDefault="00827F01" w:rsidP="00827F01">
      <w:pPr>
        <w:shd w:val="clear" w:color="auto" w:fill="FFFFFF"/>
        <w:spacing w:after="0"/>
        <w:jc w:val="center"/>
      </w:pPr>
    </w:p>
    <w:p w14:paraId="4058C43D" w14:textId="77777777" w:rsidR="00827F01" w:rsidRDefault="00827F01" w:rsidP="00827F01">
      <w:pPr>
        <w:shd w:val="clear" w:color="auto" w:fill="FFFFFF"/>
        <w:spacing w:after="0"/>
        <w:jc w:val="center"/>
      </w:pPr>
    </w:p>
    <w:p w14:paraId="7D0A9F5D" w14:textId="77777777" w:rsidR="00827F01" w:rsidRDefault="00827F01" w:rsidP="00827F01">
      <w:pPr>
        <w:shd w:val="clear" w:color="auto" w:fill="FFFFFF"/>
        <w:spacing w:after="0"/>
        <w:jc w:val="center"/>
      </w:pPr>
    </w:p>
    <w:p w14:paraId="2B32CEBA" w14:textId="77777777" w:rsidR="00827F01" w:rsidRDefault="00827F01" w:rsidP="00827F01">
      <w:pPr>
        <w:shd w:val="clear" w:color="auto" w:fill="FFFFFF"/>
        <w:spacing w:after="0"/>
      </w:pP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770DAFFF" w14:textId="77777777" w:rsidR="00827F01" w:rsidRDefault="00827F01" w:rsidP="00827F01">
      <w:pPr>
        <w:shd w:val="clear" w:color="auto" w:fill="FFFFFF"/>
        <w:spacing w:after="0"/>
        <w:jc w:val="center"/>
      </w:pPr>
      <w:r>
        <w:t>Versión 3.0 (borrador)   ·   Septiembre 2026   ·   FreeLandSite</w:t>
      </w:r>
    </w:p>
    <w:p w14:paraId="4F968410" w14:textId="77777777" w:rsidR="00827F01" w:rsidRDefault="00827F01" w:rsidP="00827F01">
      <w:pPr>
        <w:shd w:val="clear" w:color="auto" w:fill="FFFFFF"/>
        <w:spacing w:after="0"/>
      </w:pP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4EA7FCF0" w14:textId="77777777" w:rsidR="00827F01" w:rsidRDefault="00827F01" w:rsidP="00827F01">
      <w:pPr>
        <w:shd w:val="clear" w:color="auto" w:fill="FFFFFF"/>
        <w:spacing w:after="0"/>
      </w:pPr>
    </w:p>
    <w:p w14:paraId="1D9F6CEA" w14:textId="77777777" w:rsidR="00827F01" w:rsidRDefault="00827F01" w:rsidP="00827F01">
      <w:pPr>
        <w:shd w:val="clear" w:color="auto" w:fill="FFFFFF"/>
        <w:spacing w:after="0"/>
        <w:sectPr w:rsidR="00827F01" w:rsidSect="00827F0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080" w:right="1080" w:bottom="1080" w:left="1080" w:header="708" w:footer="708" w:gutter="0"/>
          <w:cols w:space="708"/>
          <w:docGrid w:linePitch="360"/>
        </w:sectPr>
      </w:pPr>
    </w:p>
    <w:p w14:paraId="2FF69F06" w14:textId="77777777" w:rsidR="00827F01" w:rsidRDefault="00827F01" w:rsidP="00827F01">
      <w:pPr>
        <w:shd w:val="clear" w:color="auto" w:fill="FFFFFF"/>
        <w:spacing w:after="80"/>
        <w:rPr>
          <w:rFonts w:ascii="Segoe UI" w:hAnsi="Segoe UI" w:cs="Segoe UI"/>
          <w:b/>
          <w:color w:val="648B06"/>
          <w:sz w:val="44"/>
        </w:rPr>
      </w:pPr>
      <w:r>
        <w:rPr>
          <w:rFonts w:ascii="Segoe UI" w:hAnsi="Segoe UI" w:cs="Segoe UI"/>
          <w:b/>
          <w:color w:val="648B06"/>
          <w:sz w:val="44"/>
        </w:rPr>
        <w:lastRenderedPageBreak/>
        <w:t>Índice del Manual de Usuario</w:t>
      </w:r>
    </w:p>
    <w:p w14:paraId="26B3D954" w14:textId="77777777" w:rsidR="00827F01" w:rsidRDefault="00827F01" w:rsidP="00827F01">
      <w:pPr>
        <w:shd w:val="clear" w:color="auto" w:fill="FFFFFF"/>
        <w:spacing w:after="0"/>
      </w:pP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669D89EE" w14:textId="77777777" w:rsidR="00827F01" w:rsidRDefault="00827F01" w:rsidP="00827F01">
      <w:pPr>
        <w:shd w:val="clear" w:color="auto" w:fill="FFFFFF"/>
        <w:spacing w:after="320"/>
        <w:rPr>
          <w:rFonts w:ascii="Segoe UI" w:hAnsi="Segoe UI" w:cs="Segoe UI"/>
          <w:i/>
          <w:color w:val="6B6680"/>
          <w:sz w:val="20"/>
        </w:rPr>
      </w:pPr>
      <w:r>
        <w:rPr>
          <w:rFonts w:ascii="Segoe UI" w:hAnsi="Segoe UI" w:cs="Segoe UI"/>
          <w:i/>
          <w:color w:val="6B6680"/>
          <w:sz w:val="20"/>
        </w:rPr>
        <w:t>Contenido previsto a 16/09/2026 (versión 3.0, borrador). Los huecos para imágenes se marcarán como [CAPTURA: descripción].</w:t>
      </w:r>
    </w:p>
    <w:p w14:paraId="484DC7D0" w14:textId="77777777" w:rsidR="00827F01" w:rsidRDefault="00827F01" w:rsidP="00827F01">
      <w:pPr>
        <w:shd w:val="clear" w:color="auto" w:fill="FFFFFF"/>
        <w:spacing w:after="0"/>
      </w:pPr>
    </w:p>
    <w:p w14:paraId="0760A869" w14:textId="77777777" w:rsidR="00827F01" w:rsidRDefault="00827F01" w:rsidP="00827F01">
      <w:pPr>
        <w:shd w:val="clear" w:color="auto" w:fill="FFFFFF"/>
        <w:spacing w:before="120" w:after="40"/>
      </w:pPr>
      <w:r>
        <w:t>Parte I - Introducción</w:t>
      </w:r>
    </w:p>
    <w:p w14:paraId="6AABA4F5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1. Qué es KiwiKERP y a quién va dirigido</w:t>
      </w:r>
    </w:p>
    <w:p w14:paraId="7FB93398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2. Guía de inicio rápido (primeros pasos)</w:t>
      </w:r>
    </w:p>
    <w:p w14:paraId="45C43C53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3. Cómo leer este manual y límites actuales</w:t>
      </w:r>
    </w:p>
    <w:p w14:paraId="5D5A94F9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4. Notas de seguridad</w:t>
      </w:r>
    </w:p>
    <w:p w14:paraId="0A1CFB2D" w14:textId="77777777" w:rsidR="00827F01" w:rsidRDefault="00827F01" w:rsidP="00827F01">
      <w:pPr>
        <w:shd w:val="clear" w:color="auto" w:fill="FFFFFF"/>
        <w:spacing w:before="200" w:after="20"/>
      </w:pPr>
    </w:p>
    <w:p w14:paraId="1A9E37CC" w14:textId="77777777" w:rsidR="00827F01" w:rsidRDefault="00827F01" w:rsidP="00827F01">
      <w:pPr>
        <w:shd w:val="clear" w:color="auto" w:fill="FFFFFF"/>
        <w:spacing w:before="120" w:after="40"/>
      </w:pPr>
      <w:r>
        <w:t>Parte II - Puesta en marcha y acceso</w:t>
      </w:r>
    </w:p>
    <w:p w14:paraId="0ACC64BE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5. Instalación y asistente de puesta en marcha</w:t>
      </w:r>
    </w:p>
    <w:p w14:paraId="790D90CB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6. Acceso al sistema</w:t>
      </w:r>
    </w:p>
    <w:p w14:paraId="09593CA2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6.1 Iniciar sesión</w:t>
      </w:r>
    </w:p>
    <w:p w14:paraId="7BF3BA8F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6.2 Recuperar credenciales</w:t>
      </w:r>
    </w:p>
    <w:p w14:paraId="4BB6B683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6.3 Servidor no disponible y problemas frecuentes de acceso</w:t>
      </w:r>
    </w:p>
    <w:p w14:paraId="07D9E0B1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7. Panel de control y espacio de trabajo</w:t>
      </w:r>
    </w:p>
    <w:p w14:paraId="6E93817F" w14:textId="77777777" w:rsidR="00827F01" w:rsidRDefault="00827F01" w:rsidP="00827F01">
      <w:pPr>
        <w:shd w:val="clear" w:color="auto" w:fill="FFFFFF"/>
        <w:spacing w:before="200" w:after="20"/>
      </w:pPr>
    </w:p>
    <w:p w14:paraId="27B944AE" w14:textId="77777777" w:rsidR="00827F01" w:rsidRDefault="00827F01" w:rsidP="00827F01">
      <w:pPr>
        <w:shd w:val="clear" w:color="auto" w:fill="FFFFFF"/>
        <w:spacing w:before="120" w:after="40"/>
      </w:pPr>
      <w:r>
        <w:t>Parte III - Configuración</w:t>
      </w:r>
    </w:p>
    <w:p w14:paraId="4318762D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8. Configuración del sistema (Ajustes)</w:t>
      </w:r>
    </w:p>
    <w:p w14:paraId="19A7212D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8.1 Datos de empresa</w:t>
      </w:r>
    </w:p>
    <w:p w14:paraId="71F6E31A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8.2 Usuarios</w:t>
      </w:r>
    </w:p>
    <w:p w14:paraId="600182EF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8.3 Preferencias: repositorio documental / GestDoc y SMTP</w:t>
      </w:r>
    </w:p>
    <w:p w14:paraId="299AA906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8.4 Cuentas bancarias</w:t>
      </w:r>
    </w:p>
    <w:p w14:paraId="7A34562B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8.5 Inteligencia artificial (asistentes)</w:t>
      </w:r>
    </w:p>
    <w:p w14:paraId="4252D451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8.6 Datos maestros: impuestos, familias y certificados</w:t>
      </w:r>
    </w:p>
    <w:p w14:paraId="1E236CB4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9. Seguridad y permisos</w:t>
      </w:r>
    </w:p>
    <w:p w14:paraId="7AE606C4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10. Certificados digitales (VeriFactu) y asignación a usuarios</w:t>
      </w:r>
    </w:p>
    <w:p w14:paraId="0E58E3E5" w14:textId="77777777" w:rsidR="00827F01" w:rsidRDefault="00827F01" w:rsidP="00827F01">
      <w:pPr>
        <w:shd w:val="clear" w:color="auto" w:fill="FFFFFF"/>
        <w:spacing w:before="200" w:after="20"/>
      </w:pPr>
    </w:p>
    <w:p w14:paraId="59A10937" w14:textId="77777777" w:rsidR="00827F01" w:rsidRDefault="00827F01" w:rsidP="00827F01">
      <w:pPr>
        <w:shd w:val="clear" w:color="auto" w:fill="FFFFFF"/>
        <w:spacing w:before="120" w:after="40"/>
      </w:pPr>
      <w:r>
        <w:t>Parte IV - Datos maestros</w:t>
      </w:r>
    </w:p>
    <w:p w14:paraId="13830B87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11. Artículos y servicios</w:t>
      </w:r>
    </w:p>
    <w:p w14:paraId="53EC0116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12. Familias de productos</w:t>
      </w:r>
    </w:p>
    <w:p w14:paraId="69127EF8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13. Impuestos</w:t>
      </w:r>
    </w:p>
    <w:p w14:paraId="3BEF0ECA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14. Entidades y contactos</w:t>
      </w:r>
    </w:p>
    <w:p w14:paraId="5AAA282F" w14:textId="77777777" w:rsidR="00827F01" w:rsidRDefault="00827F01" w:rsidP="00827F01">
      <w:pPr>
        <w:shd w:val="clear" w:color="auto" w:fill="FFFFFF"/>
        <w:spacing w:before="200" w:after="20"/>
      </w:pPr>
    </w:p>
    <w:p w14:paraId="005A3A1A" w14:textId="77777777" w:rsidR="00827F01" w:rsidRDefault="00827F01" w:rsidP="00827F01">
      <w:pPr>
        <w:shd w:val="clear" w:color="auto" w:fill="FFFFFF"/>
        <w:spacing w:before="120" w:after="40"/>
      </w:pPr>
      <w:r>
        <w:t>Parte V - Circuito de ventas</w:t>
      </w:r>
    </w:p>
    <w:p w14:paraId="567F9AEB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15. El flujo comercial y la trazabilidad</w:t>
      </w:r>
    </w:p>
    <w:p w14:paraId="5740B24A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15.1 Visión general del circuito de ventas</w:t>
      </w:r>
    </w:p>
    <w:p w14:paraId="62261BE7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15.2 Consultar la trazabilidad comercial</w:t>
      </w:r>
    </w:p>
    <w:p w14:paraId="125D1AEE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16. Presupuestos</w:t>
      </w:r>
    </w:p>
    <w:p w14:paraId="4A614740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16.1 Crear y editar un presupuesto</w:t>
      </w:r>
    </w:p>
    <w:p w14:paraId="5AFF268E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16.2 Estados y acciones disponibles</w:t>
      </w:r>
    </w:p>
    <w:p w14:paraId="500F2EC2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16.3 Envío, PDF y aceptación</w:t>
      </w:r>
    </w:p>
    <w:p w14:paraId="0EFDA9C4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16.4 Recordatorio y cancelación por vencimiento</w:t>
      </w:r>
    </w:p>
    <w:p w14:paraId="4B21D308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16.5 Asistente de Presupuestos</w:t>
      </w:r>
    </w:p>
    <w:p w14:paraId="44FEF180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17. Pedidos de venta</w:t>
      </w:r>
    </w:p>
    <w:p w14:paraId="382C93C6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17.1 Crear y confirmar un pedido</w:t>
      </w:r>
    </w:p>
    <w:p w14:paraId="4744D3BE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17.2 Seguimiento de cantidades y estados</w:t>
      </w:r>
    </w:p>
    <w:p w14:paraId="29CC45C9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17.3 Recordatorio diario de entregas</w:t>
      </w:r>
    </w:p>
    <w:p w14:paraId="1178AA28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17.4 Bloquear, desbloquear y cancelar pendientes</w:t>
      </w:r>
    </w:p>
    <w:p w14:paraId="5545FFED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17.5 Facturar desde pedido</w:t>
      </w:r>
    </w:p>
    <w:p w14:paraId="3CC69487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17.6 Asistente de Pedidos</w:t>
      </w:r>
    </w:p>
    <w:p w14:paraId="634A96B9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18. Albaranes y entregas</w:t>
      </w:r>
    </w:p>
    <w:p w14:paraId="549D52EB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18.1 Generar albarán desde pedido</w:t>
      </w:r>
    </w:p>
    <w:p w14:paraId="7E3D1F65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18.2 Albarán manual</w:t>
      </w:r>
    </w:p>
    <w:p w14:paraId="55957761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18.3 Confirmar, anular e imprimir</w:t>
      </w:r>
    </w:p>
    <w:p w14:paraId="29C0678B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18.4 Envío por correo</w:t>
      </w:r>
    </w:p>
    <w:p w14:paraId="287751E0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18.5 Recogida por transportista y justificantes</w:t>
      </w:r>
    </w:p>
    <w:p w14:paraId="7AB648FC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18.6 Resumen logístico</w:t>
      </w:r>
    </w:p>
    <w:p w14:paraId="17929A4E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19. Facturas de venta</w:t>
      </w:r>
    </w:p>
    <w:p w14:paraId="72654038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19.1 Origen: desde albaranes, desde pedido o manual</w:t>
      </w:r>
    </w:p>
    <w:p w14:paraId="25EDE64B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19.2 Modificación del borrador</w:t>
      </w:r>
    </w:p>
    <w:p w14:paraId="7B30F37F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19.3 Vencimientos y condiciones de pago</w:t>
      </w:r>
    </w:p>
    <w:p w14:paraId="71D06DFA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19.4 Emisión y validación fiscal</w:t>
      </w:r>
    </w:p>
    <w:p w14:paraId="52F1683B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19.5 VeriFactu: cola, estado y subsanaciones</w:t>
      </w:r>
    </w:p>
    <w:p w14:paraId="2624225B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19.6 Auditoría de emisión</w:t>
      </w:r>
    </w:p>
    <w:p w14:paraId="4F272FE6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19.7 Correo al cliente</w:t>
      </w:r>
    </w:p>
    <w:p w14:paraId="4DC77FA8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19.8 Asistente de Facturas</w:t>
      </w:r>
    </w:p>
    <w:p w14:paraId="0892D863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19.9 Facturas proforma</w:t>
      </w:r>
    </w:p>
    <w:p w14:paraId="2081C573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20. Cobros</w:t>
      </w:r>
    </w:p>
    <w:p w14:paraId="790C95EB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20.1 Registrar cobros (totales y parciales)</w:t>
      </w:r>
    </w:p>
    <w:p w14:paraId="6E198FDA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20.2 Vencimientos y recordatorio diario interno</w:t>
      </w:r>
    </w:p>
    <w:p w14:paraId="75A9D390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20.3 Revertir cobros y recuperar respuestas</w:t>
      </w:r>
    </w:p>
    <w:p w14:paraId="629DE77C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21. Rectificativas</w:t>
      </w:r>
    </w:p>
    <w:p w14:paraId="7BABD537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21.1 Qué es una rectificativa y cuándo utilizarla</w:t>
      </w:r>
    </w:p>
    <w:p w14:paraId="00A672E2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21.2 Modalidades: abono por cantidades y rectificación económica</w:t>
      </w:r>
    </w:p>
    <w:p w14:paraId="06C9DB81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21.3 Seleccionar el documento de origen (factura o rectificativa)</w:t>
      </w:r>
    </w:p>
    <w:p w14:paraId="5CE08E75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21.4 Crear y editar una rectificativa</w:t>
      </w:r>
    </w:p>
    <w:p w14:paraId="1F21DBCF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21.5 Disponibilidad de cantidades y totales</w:t>
      </w:r>
    </w:p>
    <w:p w14:paraId="58CC11E7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21.6 Estados y acciones disponibles</w:t>
      </w:r>
    </w:p>
    <w:p w14:paraId="58AF7009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21.7 Validación y emisión definitiva (certificado VeriFactu)</w:t>
      </w:r>
    </w:p>
    <w:p w14:paraId="729DE440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21.8 VeriFactu: cola, estado, reintento y subsanación</w:t>
      </w:r>
    </w:p>
    <w:p w14:paraId="30E6E536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21.9 Auditoría de emisión</w:t>
      </w:r>
    </w:p>
    <w:p w14:paraId="74916DC3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21.10 Envío de correo al cliente e historial</w:t>
      </w:r>
    </w:p>
    <w:p w14:paraId="4CD95E14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21.11 Ver, imprimir y cancelar un borrador</w:t>
      </w:r>
    </w:p>
    <w:p w14:paraId="5F6976D0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21.12 Rectificar una rectificativa (encadenamiento)</w:t>
      </w:r>
    </w:p>
    <w:p w14:paraId="3E8FCDB8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21.13 Estadísticas y seguimiento automático</w:t>
      </w:r>
    </w:p>
    <w:p w14:paraId="7AE1BB8C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22. Lista de precios y tarifas</w:t>
      </w:r>
    </w:p>
    <w:p w14:paraId="7DCBE1B6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22.1 Reglas por producto, familia o catálogo</w:t>
      </w:r>
    </w:p>
    <w:p w14:paraId="08F22DF5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22.2 Simulación y aplicación de tarifas</w:t>
      </w:r>
    </w:p>
    <w:p w14:paraId="0EC48BD7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23. Ajustes de Ventas</w:t>
      </w:r>
    </w:p>
    <w:p w14:paraId="1B1EC096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23.1 Numeración y condiciones generales</w:t>
      </w:r>
    </w:p>
    <w:p w14:paraId="717C31C6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23.2 Condiciones de pago y vencimientos</w:t>
      </w:r>
    </w:p>
    <w:p w14:paraId="0F19A99A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23.3 Recordatorios automáticos</w:t>
      </w:r>
    </w:p>
    <w:p w14:paraId="6E209FCF" w14:textId="77777777" w:rsidR="00827F01" w:rsidRDefault="00827F01" w:rsidP="00827F01">
      <w:pPr>
        <w:shd w:val="clear" w:color="auto" w:fill="FFFFFF"/>
        <w:spacing w:after="0"/>
        <w:ind w:left="400"/>
        <w:rPr>
          <w:rFonts w:ascii="Segoe UI" w:hAnsi="Segoe UI" w:cs="Segoe UI"/>
          <w:color w:val="202637"/>
          <w:sz w:val="20"/>
        </w:rPr>
      </w:pPr>
      <w:r>
        <w:rPr>
          <w:rFonts w:ascii="Segoe UI" w:hAnsi="Segoe UI" w:cs="Segoe UI"/>
          <w:color w:val="9CCD0A"/>
          <w:sz w:val="20"/>
        </w:rPr>
        <w:t xml:space="preserve">▪  </w:t>
      </w:r>
      <w:r>
        <w:rPr>
          <w:rFonts w:ascii="Segoe UI" w:hAnsi="Segoe UI" w:cs="Segoe UI"/>
          <w:color w:val="202637"/>
          <w:sz w:val="20"/>
        </w:rPr>
        <w:t>23.4 Parámetros VeriFactu</w:t>
      </w:r>
    </w:p>
    <w:p w14:paraId="2EB2E1CB" w14:textId="77777777" w:rsidR="00827F01" w:rsidRDefault="00827F01" w:rsidP="00827F01">
      <w:pPr>
        <w:shd w:val="clear" w:color="auto" w:fill="FFFFFF"/>
        <w:spacing w:after="0"/>
      </w:pPr>
    </w:p>
    <w:p w14:paraId="050E1634" w14:textId="77777777" w:rsidR="00827F01" w:rsidRDefault="00827F01" w:rsidP="00827F01">
      <w:pPr>
        <w:shd w:val="clear" w:color="auto" w:fill="FFFFFF"/>
        <w:spacing w:before="120" w:after="40"/>
      </w:pPr>
      <w:r>
        <w:t>Apéndices</w:t>
      </w:r>
    </w:p>
    <w:p w14:paraId="225E0F57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A. Glosario de estados y términos (incluye AEAT y VeriFactu)</w:t>
      </w:r>
    </w:p>
    <w:p w14:paraId="1D02029E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B. Requerimientos AEAT y archivo de expedientes</w:t>
      </w:r>
    </w:p>
    <w:p w14:paraId="7471CF06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C. Casos prácticos y resolución de problemas</w:t>
      </w:r>
    </w:p>
    <w:p w14:paraId="51A187CA" w14:textId="77777777" w:rsidR="00827F01" w:rsidRDefault="00827F01" w:rsidP="00827F01">
      <w:pPr>
        <w:shd w:val="clear" w:color="auto" w:fill="FFFFFF"/>
        <w:spacing w:before="200" w:after="20"/>
        <w:rPr>
          <w:rFonts w:ascii="Segoe UI" w:hAnsi="Segoe UI" w:cs="Segoe UI"/>
          <w:b/>
          <w:color w:val="648B06"/>
        </w:rPr>
      </w:pPr>
      <w:r>
        <w:rPr>
          <w:rFonts w:ascii="Segoe UI" w:hAnsi="Segoe UI" w:cs="Segoe UI"/>
          <w:b/>
          <w:color w:val="648B06"/>
        </w:rPr>
        <w:t>D. Historial del manual y versiones</w:t>
      </w:r>
    </w:p>
    <w:p w14:paraId="28FE2099" w14:textId="621EC612" w:rsidR="00DE295B" w:rsidRDefault="00827F01" w:rsidP="00827F01">
      <w:pPr>
        <w:shd w:val="clear" w:color="auto" w:fill="FFFFFF"/>
        <w:spacing w:before="200" w:after="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4FDF9F" wp14:editId="037AE083">
            <wp:simplePos x="0" y="0"/>
            <wp:positionH relativeFrom="column">
              <wp:posOffset>2319654</wp:posOffset>
            </wp:positionH>
            <wp:positionV relativeFrom="paragraph">
              <wp:posOffset>1016000</wp:posOffset>
            </wp:positionV>
            <wp:extent cx="2921000" cy="2921000"/>
            <wp:effectExtent l="0" t="0" r="0" b="0"/>
            <wp:wrapNone/>
            <wp:docPr id="642220921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209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F83A3" wp14:editId="3F44996A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203200" cy="10692130"/>
                <wp:effectExtent l="0" t="0" r="6350" b="0"/>
                <wp:wrapNone/>
                <wp:docPr id="120976410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0692130"/>
                        </a:xfrm>
                        <a:prstGeom prst="rect">
                          <a:avLst/>
                        </a:prstGeom>
                        <a:solidFill>
                          <a:srgbClr val="9CCD0A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79A18" id="Rectángulo 1" o:spid="_x0000_s1026" style="position:absolute;margin-left:-54pt;margin-top:-54pt;width:16pt;height:84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" fillcolor="#9ccd0a" stroked="f" strokecolor="#030e13 [484]" strokeweight="1.5pt"/>
            </w:pict>
          </mc:Fallback>
        </mc:AlternateContent>
      </w:r>
    </w:p>
    <w:sectPr w:rsidR="00DE295B" w:rsidSect="00827F01">
      <w:footerReference w:type="default" r:id="rId13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D454" w14:textId="77777777" w:rsidR="0080142A" w:rsidRDefault="0080142A" w:rsidP="00827F01">
      <w:pPr>
        <w:spacing w:after="0" w:line="240" w:lineRule="auto"/>
      </w:pPr>
      <w:r>
        <w:separator/>
      </w:r>
    </w:p>
  </w:endnote>
  <w:endnote w:type="continuationSeparator" w:id="0">
    <w:p w14:paraId="4DFADD72" w14:textId="77777777" w:rsidR="0080142A" w:rsidRDefault="0080142A" w:rsidP="0082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31B3" w14:textId="77777777" w:rsidR="00827F01" w:rsidRDefault="00827F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73EE" w14:textId="77777777" w:rsidR="00827F01" w:rsidRDefault="00827F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BEE8" w14:textId="77777777" w:rsidR="00827F01" w:rsidRDefault="00827F01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A8BE" w14:textId="43334DE1" w:rsidR="00827F01" w:rsidRPr="00827F01" w:rsidRDefault="00827F01" w:rsidP="00827F01">
    <w:pPr>
      <w:pStyle w:val="Piedepgina"/>
      <w:jc w:val="center"/>
    </w:pPr>
    <w:r>
      <w:rPr>
        <w:rFonts w:ascii="Segoe UI" w:hAnsi="Segoe UI" w:cs="Segoe UI"/>
        <w:color w:val="6B6680"/>
        <w:sz w:val="18"/>
      </w:rPr>
      <w:fldChar w:fldCharType="begin"/>
    </w:r>
    <w:r>
      <w:rPr>
        <w:rFonts w:ascii="Segoe UI" w:hAnsi="Segoe UI" w:cs="Segoe UI"/>
        <w:color w:val="6B6680"/>
        <w:sz w:val="18"/>
      </w:rPr>
      <w:instrText xml:space="preserve"> PAGE  \* MERGEFORMAT </w:instrText>
    </w:r>
    <w:r>
      <w:rPr>
        <w:rFonts w:ascii="Segoe UI" w:hAnsi="Segoe UI" w:cs="Segoe UI"/>
        <w:color w:val="6B6680"/>
        <w:sz w:val="18"/>
      </w:rPr>
      <w:fldChar w:fldCharType="separate"/>
    </w:r>
    <w:r>
      <w:rPr>
        <w:rFonts w:ascii="Segoe UI" w:hAnsi="Segoe UI" w:cs="Segoe UI"/>
        <w:noProof/>
        <w:color w:val="6B6680"/>
        <w:sz w:val="18"/>
      </w:rPr>
      <w:t>2</w:t>
    </w:r>
    <w:r>
      <w:rPr>
        <w:rFonts w:ascii="Segoe UI" w:hAnsi="Segoe UI" w:cs="Segoe UI"/>
        <w:color w:val="6B66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4C44" w14:textId="77777777" w:rsidR="0080142A" w:rsidRDefault="0080142A" w:rsidP="00827F01">
      <w:pPr>
        <w:spacing w:after="0" w:line="240" w:lineRule="auto"/>
      </w:pPr>
      <w:r>
        <w:separator/>
      </w:r>
    </w:p>
  </w:footnote>
  <w:footnote w:type="continuationSeparator" w:id="0">
    <w:p w14:paraId="043309F5" w14:textId="77777777" w:rsidR="0080142A" w:rsidRDefault="0080142A" w:rsidP="00827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ADB6" w14:textId="77777777" w:rsidR="00827F01" w:rsidRDefault="00827F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8F4B" w14:textId="77777777" w:rsidR="00827F01" w:rsidRDefault="00827F0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AD45" w14:textId="77777777" w:rsidR="00827F01" w:rsidRDefault="00827F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01"/>
    <w:rsid w:val="00334A10"/>
    <w:rsid w:val="005C4B02"/>
    <w:rsid w:val="0080142A"/>
    <w:rsid w:val="00827F01"/>
    <w:rsid w:val="00DE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328D3"/>
  <w15:chartTrackingRefBased/>
  <w15:docId w15:val="{4DB56B2E-D3FD-473B-8CBF-AD39A53E7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F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F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F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F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F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F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F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F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7F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F01"/>
  </w:style>
  <w:style w:type="paragraph" w:styleId="Piedepgina">
    <w:name w:val="footer"/>
    <w:basedOn w:val="Normal"/>
    <w:link w:val="PiedepginaCar"/>
    <w:uiPriority w:val="99"/>
    <w:unhideWhenUsed/>
    <w:rsid w:val="00827F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3185</Characters>
  <Application>Microsoft Office Word</Application>
  <DocSecurity>0</DocSecurity>
  <Lines>123</Lines>
  <Paragraphs>100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Vadillo de la Fuente</dc:creator>
  <cp:keywords/>
  <dc:description/>
  <cp:lastModifiedBy>Andrés Vadillo de la Fuente</cp:lastModifiedBy>
  <cp:revision>1</cp:revision>
  <dcterms:created xsi:type="dcterms:W3CDTF">2026-09-16T18:36:00Z</dcterms:created>
  <dcterms:modified xsi:type="dcterms:W3CDTF">2026-09-16T18:36:00Z</dcterms:modified>
</cp:coreProperties>
</file>