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Copart investment research report</w:t>
      </w:r>
    </w:p>
    <w:p>
      <w:r>
        <w:rPr>
          <w:b/>
          <w:sz w:val="20"/>
        </w:rPr>
        <w:t>CPRT  |  September 30, 2026  |  Research draft</w:t>
      </w:r>
    </w:p>
    <w:p>
      <w:r>
        <w:rPr>
          <w:b w:val="0"/>
          <w:sz w:val="20"/>
        </w:rPr>
        <w:t>Recommendation: [Steven]   Horizon: [3–12 months]   Target: [after testing]</w:t>
      </w:r>
    </w:p>
    <w:p>
      <w:r>
        <w:rPr>
          <w:b w:val="0"/>
          <w:color w:val="7F4B35"/>
          <w:sz w:val="16"/>
        </w:rPr>
        <w:t>Not submission-ready. Rules allow disclosed initial AI research but prohibit generative-AI submission content, in whole or part. This includes more than prose; Python generation does not itself establish eligibility.</w:t>
      </w:r>
    </w:p>
    <w:p>
      <w:pPr>
        <w:pStyle w:val="Heading1"/>
      </w:pPr>
      <w:r>
        <w:t>Investment thesis</w:t>
      </w:r>
    </w:p>
    <w:p>
      <w:r>
        <w:rPr>
          <w:b w:val="0"/>
          <w:color w:val="895824"/>
        </w:rPr>
        <w:t>[Steven: State LONG or SHORT, the expectation the market has wrong, the evidence for a different outcome, and the catalyst that will reveal it within the investment horizon.]</w:t>
      </w:r>
    </w:p>
    <w:p>
      <w:r>
        <w:rPr>
          <w:b w:val="0"/>
        </w:rPr>
        <w:t>The research question is whether Copart’s operating slowdown reflects temporary conditions or a lasting change in growth and profitability. The separate Excel submission translates service revenue, vehicle sales, operating costs and reinvestment into cash flow and value. The recommendation remains open until the thesis assumptions are tested.</w:t>
      </w:r>
    </w:p>
    <w:p>
      <w:pPr>
        <w:pStyle w:val="Heading1"/>
      </w:pPr>
      <w:r>
        <w:t>Operating evidence and competition</w:t>
      </w:r>
    </w:p>
    <w:p>
      <w:r>
        <w:rPr>
          <w:b w:val="0"/>
        </w:rPr>
        <w:t>The supplied workbook records FY2026 revenue of $4,666.2 million, up 0.4%, and operating income of $1,652.6 million versus $1,696.7 million in FY2025. Operating margin falls from 36.5% to 35.4%. Service revenue is approximately flat at $3,969.5 million; purchased-vehicle revenue rises 2.7% to $696.7 million. FY2026 is labeled unaudited. These figures focus the thesis on growth, cost absorption and reinvestment. [1]</w:t>
      </w:r>
    </w:p>
    <w:p>
      <w:r>
        <w:rPr>
          <w:b w:val="0"/>
          <w:color w:val="895824"/>
        </w:rPr>
        <w:t>[Steven: Add a relevant industry overview, competitive strengths and weaknesses, customer-retention evidence, and management assessment. Cite public sources and address the strongest competing explanation.]</w:t>
      </w:r>
    </w:p>
    <w:p>
      <w:pPr>
        <w:pStyle w:val="Heading1"/>
      </w:pPr>
      <w:r>
        <w:t>Valuation and assumption testing</w:t>
      </w:r>
    </w:p>
    <w:p>
      <w:r>
        <w:rPr>
          <w:b w:val="0"/>
        </w:rPr>
        <w:t>The workbook forecasts FY2027–FY2031 free cash flow to the firm, discounts the explicit cash flows and terminal value, and bridges enterprise value to equity value. Its provisional inputs include 9.0% WACC, 2.5% terminal growth and approximately 0.02% annual service-revenue growth. The saved standalone value is $23.30 per share, 14.4% below the workbook’s $27.22 reference price labeled September 28, 2026. This is not a validated target or a short recommendation. [2]</w:t>
      </w:r>
    </w:p>
    <w:p>
      <w:r>
        <w:rPr>
          <w:b w:val="0"/>
        </w:rPr>
        <w:t>Terminal value accounts for 73.1% of enterprise value. The cash/debt/share bridge remains provisional and the acquisition-adjusted value is blank. The paper should report tested bear/base/bull assumptions and distinguish present DCF value from the eventual price target. Excel will be submitted separately. [2]</w:t>
      </w:r>
    </w:p>
    <w:p>
      <w:r>
        <w:rPr>
          <w:b w:val="0"/>
          <w:color w:val="895824"/>
        </w:rPr>
        <w:t>[After testing: insert scenario values and returns, changed growth/cost assumptions, WACC sensitivity, verified reference price, and the rationale for the selected investment horizon.]</w:t>
      </w:r>
    </w:p>
    <w:p>
      <w:pPr>
        <w:pStyle w:val="Heading1"/>
      </w:pPr>
      <w:r>
        <w:t>Catalysts and risks</w:t>
      </w:r>
    </w:p>
    <w:p>
      <w:r>
        <w:rPr>
          <w:b w:val="0"/>
          <w:color w:val="895824"/>
        </w:rPr>
        <w:t>[Steven: Add two dated catalysts, the operating metric each should reveal, and a clear thesis-invalidating observation.]</w:t>
      </w:r>
    </w:p>
    <w:p>
      <w:r>
        <w:rPr>
          <w:b w:val="0"/>
        </w:rPr>
        <w:t>Test persistent service-revenue weakness, higher costs and greater capital needs. The workbook excludes the pending ACV transaction from standalone value; any transaction case must incorporate both consideration paid and supported value received, including integration costs. If recommending a short, address borrow and squeeze risk. [2]</w:t>
      </w:r>
    </w:p>
    <w:p>
      <w:r>
        <w:rPr>
          <w:b w:val="0"/>
          <w:sz w:val="16"/>
        </w:rPr>
        <w:t>Sources: [1] CopartDCFValuationModeL.xlsx, Historical Data D6:E13; Forecast E37:E38. [2] Same workbook, Assumptions F6:J35; Forecast F43:J47; Valuation B5:B11, B20:B32, B37:B53. Values are saved workbook results, not a fresh Excel recalculation or independently verified market quote.</w:t>
      </w:r>
    </w:p>
    <w:p>
      <w:r>
        <w:br w:type="page"/>
      </w:r>
    </w:p>
    <w:p>
      <w:pPr>
        <w:pStyle w:val="Heading1"/>
      </w:pPr>
      <w:r>
        <w:t>Weather evidence and the predictive question</w:t>
      </w:r>
    </w:p>
    <w:p>
      <w:r>
        <w:rPr>
          <w:b w:val="0"/>
          <w:sz w:val="18"/>
        </w:rPr>
        <w:t>Proposed Copart connection: damaging weather may increase insured total-loss vehicles, some of which may be assigned to Copart and subsequently sold. Assignment share, auction timing, fees and handling costs determine the financial effect. This is a hypothesis to test, not an estimated relationship.</w:t>
      </w:r>
    </w:p>
    <w:p>
      <w:r>
        <w:rPr>
          <w:b w:val="0"/>
          <w:sz w:val="18"/>
        </w:rPr>
        <w:t>The figure describes historical U.S. weather records aligned to Copart’s fiscal calendar. It does not forecast future weather or establish changes in Copart revenue, volumes or earnings. It is not weighted by Copart’s footprint or insured-vehicle exposure, and it does not represent all catastrophe types or international operations.</w:t>
      </w:r>
    </w:p>
    <w:p>
      <w:pPr>
        <w:spacing w:after="20"/>
        <w:jc w:val="center"/>
      </w:pPr>
      <w:r>
        <w:drawing>
          <wp:inline xmlns:a="http://schemas.openxmlformats.org/drawingml/2006/main" xmlns:pic="http://schemas.openxmlformats.org/drawingml/2006/picture">
            <wp:extent cx="5577840" cy="4685386"/>
            <wp:docPr id="1" name="Picture 1" descr="Three horizontal bar charts show FY2025 weather deviations. All four flash-flood quarters are above median; three hail and flood quarters are below. Calendar months label each quarter."/>
            <wp:cNvGraphicFramePr>
              <a:graphicFrameLocks noChangeAspect="1"/>
            </wp:cNvGraphicFramePr>
            <a:graphic>
              <a:graphicData uri="http://schemas.openxmlformats.org/drawingml/2006/picture">
                <pic:pic>
                  <pic:nvPicPr>
                    <pic:cNvPr id="0" name="05-simple-weather-comparison.png"/>
                    <pic:cNvPicPr/>
                  </pic:nvPicPr>
                  <pic:blipFill>
                    <a:blip r:embed="rId9"/>
                    <a:stretch>
                      <a:fillRect/>
                    </a:stretch>
                  </pic:blipFill>
                  <pic:spPr>
                    <a:xfrm>
                      <a:off x="0" y="0"/>
                      <a:ext cx="5577840" cy="4685386"/>
                    </a:xfrm>
                    <a:prstGeom prst="rect"/>
                  </pic:spPr>
                </pic:pic>
              </a:graphicData>
            </a:graphic>
          </wp:inline>
        </w:drawing>
      </w:r>
    </w:p>
    <w:p>
      <w:r>
        <w:rPr>
          <w:b w:val="0"/>
          <w:sz w:val="16"/>
        </w:rPr>
        <w:t>Figure 1. FY2025 weather records versus seasonal medians. Zero means the historical median; positive bars mean more records, negative bars fewer.</w:t>
      </w:r>
    </w:p>
    <w:p>
      <w:pPr>
        <w:pStyle w:val="Heading1"/>
      </w:pPr>
      <w:r>
        <w:t>Methodology</w:t>
      </w:r>
    </w:p>
    <w:p>
      <w:r>
        <w:rPr>
          <w:b w:val="0"/>
          <w:sz w:val="18"/>
        </w:rPr>
        <w:t>We aggregate NOAA hail, flash-flood and flood records from 2010–2025 into Copart fiscal quarters. Each FY2025 count is compared with the median for the same quarter number across 63 complete quarters, including FY2025. Percentage deviation equals 100 times (count divided by median minus one). This retrospective comparison uses revised data and does not estimate insured losses or Copart financial outcomes.</w:t>
      </w:r>
    </w:p>
    <w:p>
      <w:r>
        <w:rPr>
          <w:b w:val="0"/>
          <w:color w:val="895824"/>
          <w:sz w:val="16"/>
        </w:rPr>
        <w:t>[Predictive evidence: justify forward business assumptions in the separate financial model and explain their valuation impact. If adding a weather prediction, report the target, test periods and error versus a baseline. Four annual observations are insufficient for the planned weather evaluation; no weather earnings uplift is validated.]</w:t>
      </w:r>
    </w:p>
    <w:p>
      <w:r>
        <w:rPr>
          <w:b w:val="0"/>
          <w:sz w:val="16"/>
        </w:rPr>
        <w:t>Source: NOAA Storm Events revised 2010–2025 snapshots, U.S. states/DC; ncei.noaa.gov/pub/data/swdi/stormevents/csvfiles/. Figures are the original Python-generated PNGs. Counts are event records, not unique storms or insured losses. Historical publication vintages are not reconstructed.</w:t>
      </w:r>
    </w:p>
    <w:p>
      <w:r>
        <w:rPr>
          <w:b w:val="0"/>
          <w:sz w:val="16"/>
        </w:rPr>
        <w:t>Submission format: final team-authored memorandum must be PDF, at most two pages including any appendix, with a separate Excel valuation model. DOCX is an editing format. Pagination has not been verified. All sources must be cited and initial AI research disclosed to the sponsor.</w:t>
      </w:r>
    </w:p>
    <w:sectPr w:rsidR="00FC693F" w:rsidRPr="0006063C" w:rsidSect="00034616">
      <w:footerReference w:type="default" r:id="rId10"/>
      <w:pgSz w:w="12240" w:h="15840"/>
      <w:pgMar w:top="864" w:right="1008" w:bottom="864" w:left="1008" w:header="72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5" w:lineRule="auto"/>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253F52"/>
      <w:sz w:val="22"/>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53F52"/>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Cambria" w:hAnsi="Cambria"/>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Copart investment research report</dc:title>
  <dc:subject>Research draft with separate Excel model references</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