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Copart investment research report</w:t>
      </w:r>
    </w:p>
    <w:p>
      <w:r>
        <w:rPr>
          <w:b/>
          <w:sz w:val="20"/>
        </w:rPr>
        <w:t>CPRT  |  September 30, 2026  |  Research draft</w:t>
      </w:r>
    </w:p>
    <w:p>
      <w:r>
        <w:rPr>
          <w:b w:val="0"/>
          <w:sz w:val="20"/>
        </w:rPr>
        <w:t>Recommendation: [Steven]   Horizon: [3–12 months]   Target: [after testing]</w:t>
      </w:r>
    </w:p>
    <w:p>
      <w:r>
        <w:rPr>
          <w:b w:val="0"/>
          <w:color w:val="7F4B35"/>
          <w:sz w:val="16"/>
        </w:rPr>
        <w:t>Not submission-ready. Rules allow disclosed initial AI research but prohibit generative-AI submission content, in whole or part. This includes more than prose; Python generation does not itself establish eligibility.</w:t>
      </w:r>
    </w:p>
    <w:p>
      <w:pPr>
        <w:pStyle w:val="Heading1"/>
      </w:pPr>
      <w:r>
        <w:t>Investment thesis</w:t>
      </w:r>
    </w:p>
    <w:p>
      <w:r>
        <w:rPr>
          <w:b w:val="0"/>
          <w:color w:val="895824"/>
        </w:rPr>
        <w:t>[Steven: State LONG or SHORT, the expectation the market has wrong, the evidence for a different outcome, and the catalyst that will reveal it within the investment horizon.]</w:t>
      </w:r>
    </w:p>
    <w:p>
      <w:r>
        <w:rPr>
          <w:b w:val="0"/>
        </w:rPr>
        <w:t>The research question is whether Copart’s operating slowdown reflects temporary conditions or a lasting change in growth and profitability. The separate Excel submission translates service revenue, vehicle sales, operating costs and reinvestment into cash flow and value. The recommendation remains open until the thesis assumptions are tested.</w:t>
      </w:r>
    </w:p>
    <w:p>
      <w:pPr>
        <w:pStyle w:val="Heading1"/>
      </w:pPr>
      <w:r>
        <w:t>Operating evidence and competition</w:t>
      </w:r>
    </w:p>
    <w:p>
      <w:r>
        <w:rPr>
          <w:b w:val="0"/>
        </w:rPr>
        <w:t>The supplied workbook records FY2026 revenue of $4,666.2 million, up 0.4%, and operating income of $1,652.6 million versus $1,696.7 million in FY2025. Operating margin falls from 36.5% to 35.4%. Service revenue is approximately flat at $3,969.5 million; purchased-vehicle revenue rises 2.7% to $696.7 million. FY2026 is labeled unaudited. These figures focus the thesis on growth, cost absorption and reinvestment. [1]</w:t>
      </w:r>
    </w:p>
    <w:p>
      <w:r>
        <w:rPr>
          <w:b w:val="0"/>
          <w:color w:val="895824"/>
        </w:rPr>
        <w:t>[Steven: Add a relevant industry overview, competitive strengths and weaknesses, customer-retention evidence, and management assessment. Cite public sources and address the strongest competing explanation.]</w:t>
      </w:r>
    </w:p>
    <w:p>
      <w:pPr>
        <w:pStyle w:val="Heading1"/>
      </w:pPr>
      <w:r>
        <w:t>Valuation and assumption testing</w:t>
      </w:r>
    </w:p>
    <w:p>
      <w:r>
        <w:rPr>
          <w:b w:val="0"/>
        </w:rPr>
        <w:t>The workbook forecasts FY2027–FY2031 free cash flow to the firm, discounts the explicit cash flows and terminal value, and bridges enterprise value to equity value. Its provisional inputs include 9.0% WACC, 2.5% terminal growth and approximately 0.02% annual service-revenue growth. The saved standalone value is $23.30 per share, 14.4% below the workbook’s $27.22 reference price labeled September 28, 2026. This is not a validated target or a short recommendation. [2]</w:t>
      </w:r>
    </w:p>
    <w:p>
      <w:r>
        <w:rPr>
          <w:b w:val="0"/>
        </w:rPr>
        <w:t>Terminal value accounts for 73.1% of enterprise value. The cash/debt/share bridge remains provisional and the acquisition-adjusted value is blank. The paper should report tested bear/base/bull assumptions and distinguish present DCF value from the eventual price target. Excel will be submitted separately. [2]</w:t>
      </w:r>
    </w:p>
    <w:p>
      <w:r>
        <w:rPr>
          <w:b w:val="0"/>
          <w:color w:val="895824"/>
        </w:rPr>
        <w:t>[After testing: insert scenario values and returns, changed growth/cost assumptions, WACC sensitivity, verified reference price, and the rationale for the selected investment horizon.]</w:t>
      </w:r>
    </w:p>
    <w:p>
      <w:pPr>
        <w:pStyle w:val="Heading1"/>
      </w:pPr>
      <w:r>
        <w:t>Catalysts and risks</w:t>
      </w:r>
    </w:p>
    <w:p>
      <w:r>
        <w:rPr>
          <w:b w:val="0"/>
          <w:color w:val="895824"/>
        </w:rPr>
        <w:t>[Steven: Add two dated catalysts, the operating metric each should reveal, and a clear thesis-invalidating observation.]</w:t>
      </w:r>
    </w:p>
    <w:p>
      <w:r>
        <w:rPr>
          <w:b w:val="0"/>
        </w:rPr>
        <w:t>Test persistent service-revenue weakness, higher costs and greater capital needs. The workbook excludes the pending ACV transaction from standalone value; any transaction case must incorporate both consideration paid and supported value received, including integration costs. If recommending a short, address borrow and squeeze risk. [2]</w:t>
      </w:r>
    </w:p>
    <w:p>
      <w:r>
        <w:rPr>
          <w:b w:val="0"/>
          <w:sz w:val="16"/>
        </w:rPr>
        <w:t>Sources: [1] CopartDCFValuationModeL.xlsx, Historical Data D6:E13; Forecast E37:E38. [2] Same workbook, Assumptions F6:J35; Forecast F43:J47; Valuation B5:B11, B20:B32, B37:B53. Values are saved workbook results, not a fresh Excel recalculation or independently verified market quote.</w:t>
      </w:r>
    </w:p>
    <w:p>
      <w:r>
        <w:br w:type="page"/>
      </w:r>
    </w:p>
    <w:p>
      <w:pPr>
        <w:pStyle w:val="Heading1"/>
      </w:pPr>
      <w:r>
        <w:t>Historical evidence and forward weather forecast</w:t>
      </w:r>
    </w:p>
    <w:p>
      <w:r>
        <w:rPr>
          <w:b w:val="0"/>
          <w:sz w:val="18"/>
        </w:rPr>
        <w:t>Proposed Copart connection: damaging weather may increase insured total-loss vehicles, some of which may be assigned to Copart and subsequently sold. Assignment share, auction timing, fees and handling costs determine the financial effect. This is a hypothesis to test, not an estimated relationship.</w:t>
      </w:r>
    </w:p>
    <w:p>
      <w:r>
        <w:rPr>
          <w:b w:val="0"/>
          <w:sz w:val="18"/>
        </w:rPr>
        <w:t>Historical context: FY2025 flash-flood records exceeded the seasonal median in all four quarters, while hail and flood records were below median in three quarters. The forward forecast below estimates U.S. event-record counts for FY2027 Q2–Q4 as of September 30, 2026. It does not estimate Copart revenue or insured losses and is not weighted by vehicle exposure or Copart’s footprint.</w:t>
      </w:r>
    </w:p>
    <w:p>
      <w:pPr>
        <w:spacing w:after="20"/>
        <w:jc w:val="center"/>
      </w:pPr>
      <w:r>
        <w:drawing>
          <wp:inline xmlns:a="http://schemas.openxmlformats.org/drawingml/2006/main" xmlns:pic="http://schemas.openxmlformats.org/drawingml/2006/picture">
            <wp:extent cx="6400800" cy="3316778"/>
            <wp:docPr id="1" name="Picture 1" descr="Three panels forecast hail, flash-flood and flood records for FY2027 Q2 through Q4. Blue dots show point forecasts and vertical lines show historical error ranges. Seasonal median forecasts are selected for all categories."/>
            <wp:cNvGraphicFramePr>
              <a:graphicFrameLocks noChangeAspect="1"/>
            </wp:cNvGraphicFramePr>
            <a:graphic>
              <a:graphicData uri="http://schemas.openxmlformats.org/drawingml/2006/picture">
                <pic:pic>
                  <pic:nvPicPr>
                    <pic:cNvPr id="0" name="06-predictive-weather.png"/>
                    <pic:cNvPicPr/>
                  </pic:nvPicPr>
                  <pic:blipFill>
                    <a:blip r:embed="rId9"/>
                    <a:stretch>
                      <a:fillRect/>
                    </a:stretch>
                  </pic:blipFill>
                  <pic:spPr>
                    <a:xfrm>
                      <a:off x="0" y="0"/>
                      <a:ext cx="6400800" cy="3316778"/>
                    </a:xfrm>
                    <a:prstGeom prst="rect"/>
                  </pic:spPr>
                </pic:pic>
              </a:graphicData>
            </a:graphic>
          </wp:inline>
        </w:drawing>
      </w:r>
    </w:p>
    <w:p>
      <w:r>
        <w:rPr>
          <w:b w:val="0"/>
          <w:sz w:val="16"/>
        </w:rPr>
        <w:t>Figure 1. Forward forecasts with historical error ranges. Dots are forecasts; vertical whiskers show uncertainty estimated from development-period errors. Panel scales differ.</w:t>
      </w:r>
    </w:p>
    <w:p>
      <w:pPr>
        <w:pStyle w:val="Heading1"/>
      </w:pPr>
      <w:r>
        <w:t>Methodology</w:t>
      </w:r>
    </w:p>
    <w:p>
      <w:r>
        <w:rPr>
          <w:b w:val="0"/>
          <w:sz w:val="18"/>
        </w:rPr>
        <w:t>We compare a seasonal-median forecast with fixed-penalty ridge regression using seasonal indicators and a time trend. Each September forecast uses data only through the previous December, matching the current data gap. Model selection uses 21 predictions per category from September 2015–2021 origins. The September 2022 origin is excluded from selection to keep its outcomes out of the first holdout information set. September 2023 and 2024 origins provide six held-out quarters per category, spanning FY2024 and FY2025 Q2–Q4. Revised NOAA data prevent a true historical-vintage test.</w:t>
      </w:r>
    </w:p>
    <w:p>
      <w:r>
        <w:rPr>
          <w:b w:val="0"/>
          <w:sz w:val="18"/>
        </w:rPr>
        <w:t>The seasonal median wins model selection for all three categories. Held-out mean absolute errors are 307 hail records, 449 flash-flood records and 187 flood records, versus 1,297, 535 and 145 for ridge regression. Ridge improves the flood holdout result but was not selected using that holdout. Historical error ranges target 80% coverage; observed coverage is 100%, 67% and 100%, respectively, on only six tests each. Forward coverage is not guaranteed.</w:t>
      </w:r>
    </w:p>
    <w:p>
      <w:pPr>
        <w:pStyle w:val="Heading1"/>
      </w:pPr>
      <w:r>
        <w:t>Implication for the investment thesis</w:t>
      </w:r>
    </w:p>
    <w:p>
      <w:r>
        <w:rPr>
          <w:b w:val="0"/>
          <w:sz w:val="18"/>
        </w:rPr>
        <w:t>This adds a genuine forward weather component, but it does not establish predictive support for the stock recommendation. The evidence favors a seasonal weather baseline, not a demonstrated ML advantage or revenue uplift. Keep weather effects out of the base-case revenue forecast until lagged weather improves out-of-sample Copart forecasts. Test service revenue or assignments against a financial-only baseline, then translate supported changes through the separate Excel model’s costs, cash flows and valuation. Four annual financial observations cannot validate that relationship.</w:t>
      </w:r>
    </w:p>
    <w:p>
      <w:r>
        <w:rPr>
          <w:b w:val="0"/>
          <w:color w:val="895824"/>
          <w:sz w:val="16"/>
        </w:rPr>
        <w:t>[Team completion: state the operating forecast, forecast period, evidence for the assumption, difference from a sourced market expectation, and resulting valuation/return. Without this financial link, the weather forecast alone is insufficient evidence for the investment thesis.]</w:t>
      </w:r>
    </w:p>
    <w:p>
      <w:r>
        <w:rPr>
          <w:b w:val="0"/>
          <w:sz w:val="16"/>
        </w:rPr>
        <w:t>Source: NOAA Storm Events revised 2010–2025 snapshots, U.S. states/DC; ncei.noaa.gov/pub/data/swdi/stormevents/csvfiles/. Latest complete training quarter ends October 2025; no 2026 weather is used. Original Python PNG embedded. Reproducible forecast values and test results: docs/figures/06-weather-forecast.csv and 06-weather-forecast-report.json. Counts are records, not unique storms or losses.</w:t>
      </w:r>
    </w:p>
    <w:p>
      <w:r>
        <w:rPr>
          <w:b w:val="0"/>
          <w:sz w:val="16"/>
        </w:rPr>
        <w:t>Submission format: final team-authored memorandum must be PDF, at most two pages including any appendix, with a separate Excel valuation model. DOCX is an editing format. Pagination has not been verified. All sources must be cited and initial AI research disclosed to the sponsor.</w:t>
      </w:r>
    </w:p>
    <w:sectPr w:rsidR="00FC693F" w:rsidRPr="0006063C" w:rsidSect="00034616">
      <w:footerReference w:type="default" r:id="rId10"/>
      <w:pgSz w:w="12240" w:h="15840"/>
      <w:pgMar w:top="864" w:right="1008" w:bottom="864"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253F52"/>
      <w:sz w:val="2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53F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Cambria" w:hAnsi="Cambria"/>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Copart investment research report</dc:title>
  <dc:subject>Research draft with separate Excel model references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