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2F4858"/>
          <w:sz w:val="56"/>
          <w:szCs w:val="56"/>
        </w:rPr>
        <w:t xml:space="preserve">AVAIA</w:t>
      </w:r>
    </w:p>
    <w:p>
      <w:pPr>
        <w:spacing w:after="40"/>
      </w:pPr>
      <w:r>
        <w:rPr>
          <w:rFonts w:ascii="Arial" w:cs="Arial" w:eastAsia="Arial" w:hAnsi="Arial"/>
          <w:b/>
          <w:bCs/>
          <w:color w:val="6B6459"/>
          <w:sz w:val="22"/>
          <w:szCs w:val="22"/>
        </w:rPr>
        <w:t xml:space="preserve">BUILD WORKING DOCUMENT — QUESTIONS &amp; GAPS</w:t>
      </w:r>
    </w:p>
    <w:p>
      <w:pPr>
        <w:pBdr>
          <w:bottom w:val="single" w:color="2F4858" w:sz="6" w:space="4"/>
        </w:pBdr>
        <w:spacing w:after="200"/>
      </w:pPr>
      <w:r>
        <w:t xml:space="preserve"/>
      </w:r>
    </w:p>
    <w:p>
      <w:pPr>
        <w:spacing w:after="120"/>
      </w:pPr>
      <w:r>
        <w:rPr>
          <w:b w:val="false"/>
          <w:bCs w:val="false"/>
          <w:i w:val="false"/>
          <w:iCs w:val="false"/>
        </w:rPr>
        <w:t xml:space="preserve">This is a working document. Its purpose is to close every gap between the 17 specification documents you provided and a complete, buildable program — so that the AVAIA platform flows and makes sense end to end, with nothing missing and nothing invented on your behalf.</w:t>
      </w:r>
    </w:p>
    <w:p>
      <w:pPr>
        <w:spacing w:after="120"/>
      </w:pPr>
      <w:r>
        <w:rPr>
          <w:b/>
          <w:bCs/>
          <w:i w:val="false"/>
          <w:iCs w:val="false"/>
        </w:rPr>
        <w:t xml:space="preserve">How to use it:</w:t>
      </w:r>
    </w:p>
    <w:p>
      <w:pPr>
        <w:pStyle w:val="ListParagraph"/>
        <w:numPr>
          <w:ilvl w:val="0"/>
          <w:numId w:val="2"/>
        </w:numPr>
        <w:spacing w:after="40"/>
      </w:pPr>
      <w:r>
        <w:t xml:space="preserve">Answer directly in the shaded boxes. Short is fine; more is better where you have it.</w:t>
      </w:r>
    </w:p>
    <w:p>
      <w:pPr>
        <w:pStyle w:val="ListParagraph"/>
        <w:numPr>
          <w:ilvl w:val="0"/>
          <w:numId w:val="2"/>
        </w:numPr>
        <w:spacing w:after="40"/>
      </w:pPr>
      <w:r>
        <w:t xml:space="preserve">If a question doesn’t apply, write “N/A” so we know it was seen, not skipped.</w:t>
      </w:r>
    </w:p>
    <w:p>
      <w:pPr>
        <w:pStyle w:val="ListParagraph"/>
        <w:numPr>
          <w:ilvl w:val="0"/>
          <w:numId w:val="2"/>
        </w:numPr>
        <w:spacing w:after="40"/>
      </w:pPr>
      <w:r>
        <w:t xml:space="preserve">If you already have a document that answers a section (a Constitution, a virtue list, a program outline), just say “see attached — [filename]” and send it along.</w:t>
      </w:r>
    </w:p>
    <w:p>
      <w:pPr>
        <w:pStyle w:val="ListParagraph"/>
        <w:numPr>
          <w:ilvl w:val="0"/>
          <w:numId w:val="2"/>
        </w:numPr>
        <w:spacing w:after="40"/>
      </w:pPr>
      <w:r>
        <w:t xml:space="preserve">Anything marked “GAP” is something the current specs reference but do not define — we cannot build it faithfully until you fill it in.</w:t>
      </w:r>
    </w:p>
    <w:p>
      <w:r>
        <w:t xml:space="preserve"/>
      </w:r>
    </w:p>
    <w:p>
      <w:pPr>
        <w:spacing w:after="120"/>
      </w:pPr>
      <w:r>
        <w:rPr>
          <w:b w:val="false"/>
          <w:bCs w:val="false"/>
          <w:i/>
          <w:iCs/>
          <w:color w:val="6B6459"/>
        </w:rPr>
        <w:t xml:space="preserve">A note on method: where your own documents say “do not invent” or “use the official AVAIA source materials,” we have honored that. Nothing has been fabricated in your voice. The blanks below are deliberate.</w:t>
      </w:r>
    </w:p>
    <w:p>
      <w:r>
        <w:br w:type="page"/>
      </w:r>
    </w:p>
    <w:p>
      <w:pPr>
        <w:pStyle w:val="Heading1"/>
      </w:pPr>
      <w:r>
        <w:t xml:space="preserve">1.  Orientation &amp; Vision</w:t>
      </w:r>
    </w:p>
    <w:p>
      <w:pPr>
        <w:spacing w:after="160"/>
      </w:pPr>
      <w:r>
        <w:rPr>
          <w:i/>
          <w:iCs/>
          <w:color w:val="6B6459"/>
        </w:rPr>
        <w:t xml:space="preserve">Before the details — the big picture in your own words, so every smaller decision has something to line up against.</w:t>
      </w:r>
    </w:p>
    <w:p>
      <w:pPr>
        <w:spacing w:after="40" w:before="200"/>
      </w:pPr>
      <w:r>
        <w:rPr>
          <w:b/>
          <w:bCs/>
          <w:color w:val="2F4858"/>
        </w:rPr>
        <w:t xml:space="preserve">Q1.  </w:t>
      </w:r>
      <w:r>
        <w:rPr>
          <w:b/>
          <w:bCs/>
        </w:rPr>
        <w:t xml:space="preserve">In two or three sentences, what is AVAIA — in your words?</w:t>
      </w:r>
    </w:p>
    <w:p>
      <w:pPr>
        <w:spacing w:after="100"/>
      </w:pPr>
      <w:r>
        <w:rPr>
          <w:i/>
          <w:iCs/>
          <w:color w:val="6B6459"/>
          <w:sz w:val="20"/>
          <w:szCs w:val="20"/>
        </w:rPr>
        <w:t xml:space="preserve">The specs describe an “institution” and an “operating system for guided conversations.” Say it the way you would say it to a person who’d benefit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spacing w:after="40" w:before="200"/>
      </w:pPr>
      <w:r>
        <w:rPr>
          <w:b/>
          <w:bCs/>
          <w:color w:val="2F4858"/>
        </w:rPr>
        <w:t xml:space="preserve">Q2.  </w:t>
      </w:r>
      <w:r>
        <w:rPr>
          <w:b/>
          <w:bCs/>
        </w:rPr>
        <w:t xml:space="preserve">Who is AVAIA for, and what has usually happened to them before they arrive?</w:t>
      </w:r>
    </w:p>
    <w:p>
      <w:pPr>
        <w:spacing w:after="100"/>
      </w:pPr>
      <w:r>
        <w:rPr>
          <w:i/>
          <w:iCs/>
          <w:color w:val="6B6459"/>
          <w:sz w:val="20"/>
          <w:szCs w:val="20"/>
        </w:rPr>
        <w:t xml:space="preserve">e.g., people carrying grief or major loss; counselors; students; leaders. Name the primary person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spacing w:after="100" w:before="200"/>
      </w:pPr>
      <w:r>
        <w:rPr>
          <w:b/>
          <w:bCs/>
          <w:color w:val="2F4858"/>
        </w:rPr>
        <w:t xml:space="preserve">Q3.  </w:t>
      </w:r>
      <w:r>
        <w:rPr>
          <w:b/>
          <w:bCs/>
        </w:rPr>
        <w:t xml:space="preserve">When a person (a “Host”) completes the full journey, what has changed for them? What does success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spacing w:after="40" w:before="200"/>
      </w:pPr>
      <w:r>
        <w:rPr>
          <w:b/>
          <w:bCs/>
          <w:color w:val="2F4858"/>
        </w:rPr>
        <w:t xml:space="preserve">Q4.  </w:t>
      </w:r>
      <w:r>
        <w:rPr>
          <w:b/>
          <w:bCs/>
        </w:rPr>
        <w:t xml:space="preserve">What does the name AVAIA mean or stand for? Is it an acronym, a word, a reference?</w:t>
      </w:r>
    </w:p>
    <w:p>
      <w:pPr>
        <w:spacing w:after="100"/>
      </w:pPr>
      <w:r>
        <w:rPr>
          <w:i/>
          <w:iCs/>
          <w:color w:val="6B6459"/>
          <w:sz w:val="20"/>
          <w:szCs w:val="20"/>
        </w:rPr>
        <w:t xml:space="preserve">This shapes branding and how we introduce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tc>
      </w:tr>
    </w:tbl>
    <w:p>
      <w:r>
        <w:t xml:space="preserve"/>
      </w:r>
    </w:p>
    <w:p>
      <w:pPr>
        <w:spacing w:after="40" w:before="200"/>
      </w:pPr>
      <w:r>
        <w:rPr>
          <w:b/>
          <w:bCs/>
          <w:color w:val="2F4858"/>
        </w:rPr>
        <w:t xml:space="preserve">Q5.  </w:t>
      </w:r>
      <w:r>
        <w:rPr>
          <w:b/>
          <w:bCs/>
        </w:rPr>
        <w:t xml:space="preserve">Is AVAIA faith-based, secular, or configurable to either? </w:t>
      </w:r>
    </w:p>
    <w:p>
      <w:pPr>
        <w:spacing w:after="100"/>
      </w:pPr>
      <w:r>
        <w:rPr>
          <w:i/>
          <w:iCs/>
          <w:color w:val="6B6459"/>
          <w:sz w:val="20"/>
          <w:szCs w:val="20"/>
        </w:rPr>
        <w:t xml:space="preserve">The specs list both “Faith Communities” and “Universities / Businesses.” We need to know whether the core language is spiritual, neutral, or switchable per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r>
        <w:br w:type="page"/>
      </w:r>
    </w:p>
    <w:p>
      <w:pPr>
        <w:pStyle w:val="Heading1"/>
      </w:pPr>
      <w:r>
        <w:t xml:space="preserve">2.  The Missing Canon  (GAP)</w:t>
      </w:r>
    </w:p>
    <w:p>
      <w:pPr>
        <w:spacing w:after="160"/>
      </w:pPr>
      <w:r>
        <w:rPr>
          <w:i/>
          <w:iCs/>
          <w:color w:val="6B6459"/>
        </w:rPr>
        <w:t xml:space="preserve">These are referenced throughout your 17 documents but never defined in them. They are the load-bearing pieces — we cannot complete the platform without them. If any already exist on paper, attaching them answers the whole question.</w:t>
      </w:r>
    </w:p>
    <w:p>
      <w:pPr>
        <w:pStyle w:val="Heading2"/>
      </w:pPr>
      <w:r>
        <w:t xml:space="preserve">2a.  The GIVE Method</w:t>
      </w:r>
    </w:p>
    <w:p>
      <w:pPr>
        <w:spacing w:after="120"/>
      </w:pPr>
      <w:r>
        <w:rPr>
          <w:b w:val="false"/>
          <w:bCs w:val="false"/>
          <w:i/>
          <w:iCs/>
          <w:color w:val="6B6459"/>
        </w:rPr>
        <w:t xml:space="preserve">Referenced in the Workflow and the Guide Operating System as the method every Guide implements — but it is never spelled out.</w:t>
      </w:r>
    </w:p>
    <w:p>
      <w:pPr>
        <w:spacing w:after="40" w:before="200"/>
      </w:pPr>
      <w:r>
        <w:rPr>
          <w:b/>
          <w:bCs/>
          <w:color w:val="2F4858"/>
        </w:rPr>
        <w:t xml:space="preserve">Q6.  </w:t>
      </w:r>
      <w:r>
        <w:rPr>
          <w:b/>
          <w:bCs/>
        </w:rPr>
        <w:t xml:space="preserve">What does G-I-V-E stand for? Define each letter.</w:t>
      </w:r>
    </w:p>
    <w:p>
      <w:pPr>
        <w:spacing w:after="100"/>
      </w:pPr>
      <w:r>
        <w:rPr>
          <w:i/>
          <w:iCs/>
          <w:color w:val="6B6459"/>
          <w:sz w:val="20"/>
          <w:szCs w:val="20"/>
        </w:rPr>
        <w:t xml:space="preserve">One line per letter is plenty. e.g., G = …, I = …, V = …, 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p>
            <w:r>
              <w:t xml:space="preserve"/>
            </w:r>
          </w:p>
          <w:p>
            <w:r>
              <w:t xml:space="preserve"/>
            </w:r>
          </w:p>
        </w:tc>
      </w:tr>
    </w:tbl>
    <w:p>
      <w:r>
        <w:t xml:space="preserve"/>
      </w:r>
    </w:p>
    <w:p>
      <w:pPr>
        <w:spacing w:after="100" w:before="200"/>
      </w:pPr>
      <w:r>
        <w:rPr>
          <w:b/>
          <w:bCs/>
          <w:color w:val="2F4858"/>
        </w:rPr>
        <w:t xml:space="preserve">Q7.  </w:t>
      </w:r>
      <w:r>
        <w:rPr>
          <w:b/>
          <w:bCs/>
        </w:rPr>
        <w:t xml:space="preserve">How does a Guide actually apply the GIVE Method during a conversation? Walk through it briefly.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pStyle w:val="Heading2"/>
      </w:pPr>
      <w:r>
        <w:t xml:space="preserve">2b.  The AVAIA Constitution &amp; Journey</w:t>
      </w:r>
    </w:p>
    <w:p>
      <w:pPr>
        <w:spacing w:after="40" w:before="200"/>
      </w:pPr>
      <w:r>
        <w:rPr>
          <w:b/>
          <w:bCs/>
          <w:color w:val="2F4858"/>
        </w:rPr>
        <w:t xml:space="preserve">Q8.  </w:t>
      </w:r>
      <w:r>
        <w:rPr>
          <w:b/>
          <w:bCs/>
        </w:rPr>
        <w:t xml:space="preserve">What is the AVAIA Constitution? Please provide its text, tenets, or core principles.</w:t>
      </w:r>
    </w:p>
    <w:p>
      <w:pPr>
        <w:spacing w:after="100"/>
      </w:pPr>
      <w:r>
        <w:rPr>
          <w:i/>
          <w:iCs/>
          <w:color w:val="6B6459"/>
          <w:sz w:val="20"/>
          <w:szCs w:val="20"/>
        </w:rPr>
        <w:t xml:space="preserve">Layer I lists “AVAIA Constitution,” “AVAIA Journey,” and “Fundamental Operating Principles” as fixed — but none are written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p>
            <w:r>
              <w:t xml:space="preserve"/>
            </w:r>
          </w:p>
        </w:tc>
      </w:tr>
    </w:tbl>
    <w:p>
      <w:r>
        <w:t xml:space="preserve"/>
      </w:r>
    </w:p>
    <w:p>
      <w:pPr>
        <w:spacing w:after="100" w:before="200"/>
      </w:pPr>
      <w:r>
        <w:rPr>
          <w:b/>
          <w:bCs/>
          <w:color w:val="2F4858"/>
        </w:rPr>
        <w:t xml:space="preserve">Q9.  </w:t>
      </w:r>
      <w:r>
        <w:rPr>
          <w:b/>
          <w:bCs/>
        </w:rPr>
        <w:t xml:space="preserve">Describe the “AVAIA Journey” as a narrative — the arc a Host travels from beginning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spacing w:after="40" w:before="200"/>
      </w:pPr>
      <w:r>
        <w:rPr>
          <w:b/>
          <w:bCs/>
          <w:color w:val="2F4858"/>
        </w:rPr>
        <w:t xml:space="preserve">Q10.  </w:t>
      </w:r>
      <w:r>
        <w:rPr>
          <w:b/>
          <w:bCs/>
        </w:rPr>
        <w:t xml:space="preserve">List the Fundamental Operating Principles.</w:t>
      </w:r>
    </w:p>
    <w:p>
      <w:pPr>
        <w:spacing w:after="100"/>
      </w:pPr>
      <w:r>
        <w:rPr>
          <w:i/>
          <w:iCs/>
          <w:color w:val="6B6459"/>
          <w:sz w:val="20"/>
          <w:szCs w:val="20"/>
        </w:rPr>
        <w:t xml:space="preserve">We’ve inferred five recurring ones from your docs: preserve continuity, understanding before action, Host ownership, referral-driven progression, increase visibility. Confirm, correct, or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p>
            <w:r>
              <w:t xml:space="preserve"/>
            </w:r>
          </w:p>
        </w:tc>
      </w:tr>
    </w:tbl>
    <w:p>
      <w:r>
        <w:t xml:space="preserve"/>
      </w:r>
    </w:p>
    <w:p>
      <w:pPr>
        <w:pStyle w:val="Heading2"/>
      </w:pPr>
      <w:r>
        <w:t xml:space="preserve">2c.  The Secondary Loss Framework</w:t>
      </w:r>
    </w:p>
    <w:p>
      <w:pPr>
        <w:spacing w:after="120"/>
      </w:pPr>
      <w:r>
        <w:rPr>
          <w:b w:val="false"/>
          <w:bCs w:val="false"/>
          <w:i/>
          <w:iCs/>
          <w:color w:val="6B6459"/>
        </w:rPr>
        <w:t xml:space="preserve">The Secondary Loss Engine says to “use the official AVAIA Secondary Loss framework” — but the categories aren’t listed.</w:t>
      </w:r>
    </w:p>
    <w:p>
      <w:pPr>
        <w:spacing w:after="40" w:before="200"/>
      </w:pPr>
      <w:r>
        <w:rPr>
          <w:b/>
          <w:bCs/>
          <w:color w:val="2F4858"/>
        </w:rPr>
        <w:t xml:space="preserve">Q11.  </w:t>
      </w:r>
      <w:r>
        <w:rPr>
          <w:b/>
          <w:bCs/>
        </w:rPr>
        <w:t xml:space="preserve">What are the categories of Secondary Loss?</w:t>
      </w:r>
    </w:p>
    <w:p>
      <w:pPr>
        <w:spacing w:after="100"/>
      </w:pPr>
      <w:r>
        <w:rPr>
          <w:i/>
          <w:iCs/>
          <w:color w:val="6B6459"/>
          <w:sz w:val="20"/>
          <w:szCs w:val="20"/>
        </w:rPr>
        <w:t xml:space="preserve">e.g., following a death or divorce, the secondary losses might include identity, security, community, routine, faith… Give us your official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p>
            <w:r>
              <w:t xml:space="preserve"/>
            </w:r>
          </w:p>
          <w:p>
            <w:r>
              <w:t xml:space="preserve"/>
            </w:r>
          </w:p>
        </w:tc>
      </w:tr>
    </w:tbl>
    <w:p>
      <w:r>
        <w:t xml:space="preserve"/>
      </w:r>
    </w:p>
    <w:p>
      <w:r>
        <w:br w:type="page"/>
      </w:r>
    </w:p>
    <w:p>
      <w:pPr>
        <w:pStyle w:val="Heading1"/>
      </w:pPr>
      <w:r>
        <w:t xml:space="preserve">3.  The Chemistry of Virtue</w:t>
      </w:r>
    </w:p>
    <w:p>
      <w:pPr>
        <w:spacing w:after="160"/>
      </w:pPr>
      <w:r>
        <w:rPr>
          <w:i/>
          <w:iCs/>
          <w:color w:val="6B6459"/>
        </w:rPr>
        <w:t xml:space="preserve">Your periodic-table artwork is beautiful and clearly central. We transcribed it directly — but we found some things we need you to confirm before we lock it in. Your doc 10 explicitly says “do not invent virtue definitions,” which we’ve obeyed.</w:t>
      </w:r>
    </w:p>
    <w:p>
      <w:pPr>
        <w:pStyle w:val="Heading2"/>
      </w:pPr>
      <w:r>
        <w:t xml:space="preserve">3a.  The count doesn’t reconcile</w:t>
      </w:r>
    </w:p>
    <w:p>
      <w:pPr>
        <w:spacing w:after="120"/>
      </w:pPr>
      <w:r>
        <w:rPr>
          <w:b w:val="false"/>
          <w:bCs w:val="false"/>
          <w:i w:val="false"/>
          <w:iCs w:val="false"/>
        </w:rPr>
        <w:t xml:space="preserve">Reading the artwork tile by tile, we counted 111 virtues. The concept is usually described as roughly 100. So we’ve either mis-read a few tiles or mis-sorted them. Here is our per-family count — please correct any that are wrong:</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tblGrid>
      <w:tr>
        <w:tc>
          <w:tcPr>
            <w:tcW w:type="dxa" w:w="3600"/>
            <w:tcBorders>
              <w:top w:val="single" w:color="D8D3C8" w:sz="4"/>
              <w:left w:val="single" w:color="D8D3C8" w:sz="4"/>
              <w:bottom w:val="single" w:color="D8D3C8" w:sz="4"/>
              <w:right w:val="single" w:color="D8D3C8" w:sz="4"/>
            </w:tcBorders>
            <w:shd w:fill="F4F2EC" w:val="clear"/>
            <w:tcMar>
              <w:top w:type="dxa" w:w="40"/>
              <w:left w:type="dxa" w:w="120"/>
              <w:bottom w:type="dxa" w:w="40"/>
              <w:right w:type="dxa" w:w="120"/>
            </w:tcMar>
          </w:tcPr>
          <w:p>
            <w:r>
              <w:rPr>
                <w:b/>
                <w:bCs/>
              </w:rPr>
              <w:t xml:space="preserve">Family</w:t>
            </w:r>
          </w:p>
        </w:tc>
        <w:tc>
          <w:tcPr>
            <w:tcW w:type="dxa" w:w="1800"/>
            <w:tcBorders>
              <w:top w:val="single" w:color="D8D3C8" w:sz="4"/>
              <w:left w:val="single" w:color="D8D3C8" w:sz="4"/>
              <w:bottom w:val="single" w:color="D8D3C8" w:sz="4"/>
              <w:right w:val="single" w:color="D8D3C8" w:sz="4"/>
            </w:tcBorders>
            <w:shd w:fill="F4F2EC" w:val="clear"/>
            <w:tcMar>
              <w:top w:type="dxa" w:w="40"/>
              <w:left w:type="dxa" w:w="120"/>
              <w:bottom w:type="dxa" w:w="40"/>
              <w:right w:type="dxa" w:w="120"/>
            </w:tcMar>
          </w:tcPr>
          <w:p>
            <w:r>
              <w:rPr>
                <w:b/>
                <w:bCs/>
              </w:rPr>
              <w:t xml:space="preserve">We counted</w:t>
            </w:r>
          </w:p>
        </w:tc>
      </w:tr>
      <w:tr>
        <w:tc>
          <w:tcPr>
            <w:tcW w:type="dxa" w:w="36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Wisdom</w:t>
            </w:r>
          </w:p>
        </w:tc>
        <w:tc>
          <w:tcPr>
            <w:tcW w:type="dxa" w:w="18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23</w:t>
            </w:r>
          </w:p>
        </w:tc>
      </w:tr>
      <w:tr>
        <w:tc>
          <w:tcPr>
            <w:tcW w:type="dxa" w:w="36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Justice</w:t>
            </w:r>
          </w:p>
        </w:tc>
        <w:tc>
          <w:tcPr>
            <w:tcW w:type="dxa" w:w="18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15</w:t>
            </w:r>
          </w:p>
        </w:tc>
      </w:tr>
      <w:tr>
        <w:tc>
          <w:tcPr>
            <w:tcW w:type="dxa" w:w="36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Fortitude</w:t>
            </w:r>
          </w:p>
        </w:tc>
        <w:tc>
          <w:tcPr>
            <w:tcW w:type="dxa" w:w="18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10</w:t>
            </w:r>
          </w:p>
        </w:tc>
      </w:tr>
      <w:tr>
        <w:tc>
          <w:tcPr>
            <w:tcW w:type="dxa" w:w="36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Self-Control</w:t>
            </w:r>
          </w:p>
        </w:tc>
        <w:tc>
          <w:tcPr>
            <w:tcW w:type="dxa" w:w="18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8</w:t>
            </w:r>
          </w:p>
        </w:tc>
      </w:tr>
      <w:tr>
        <w:tc>
          <w:tcPr>
            <w:tcW w:type="dxa" w:w="36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Love</w:t>
            </w:r>
          </w:p>
        </w:tc>
        <w:tc>
          <w:tcPr>
            <w:tcW w:type="dxa" w:w="18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13</w:t>
            </w:r>
          </w:p>
        </w:tc>
      </w:tr>
      <w:tr>
        <w:tc>
          <w:tcPr>
            <w:tcW w:type="dxa" w:w="36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Attitude</w:t>
            </w:r>
          </w:p>
        </w:tc>
        <w:tc>
          <w:tcPr>
            <w:tcW w:type="dxa" w:w="18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8</w:t>
            </w:r>
          </w:p>
        </w:tc>
      </w:tr>
      <w:tr>
        <w:tc>
          <w:tcPr>
            <w:tcW w:type="dxa" w:w="36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Hard Work</w:t>
            </w:r>
          </w:p>
        </w:tc>
        <w:tc>
          <w:tcPr>
            <w:tcW w:type="dxa" w:w="18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14</w:t>
            </w:r>
          </w:p>
        </w:tc>
      </w:tr>
      <w:tr>
        <w:tc>
          <w:tcPr>
            <w:tcW w:type="dxa" w:w="36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Integrity</w:t>
            </w:r>
          </w:p>
        </w:tc>
        <w:tc>
          <w:tcPr>
            <w:tcW w:type="dxa" w:w="18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13</w:t>
            </w:r>
          </w:p>
        </w:tc>
      </w:tr>
      <w:tr>
        <w:tc>
          <w:tcPr>
            <w:tcW w:type="dxa" w:w="36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Gratitude</w:t>
            </w:r>
          </w:p>
        </w:tc>
        <w:tc>
          <w:tcPr>
            <w:tcW w:type="dxa" w:w="18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3</w:t>
            </w:r>
          </w:p>
        </w:tc>
      </w:tr>
      <w:tr>
        <w:tc>
          <w:tcPr>
            <w:tcW w:type="dxa" w:w="36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Humility</w:t>
            </w:r>
          </w:p>
        </w:tc>
        <w:tc>
          <w:tcPr>
            <w:tcW w:type="dxa" w:w="18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rPr>
              <w:t xml:space="preserve">4</w:t>
            </w:r>
          </w:p>
        </w:tc>
      </w:tr>
      <w:tr>
        <w:tc>
          <w:tcPr>
            <w:tcW w:type="dxa" w:w="3600"/>
            <w:tcBorders>
              <w:top w:val="single" w:color="D8D3C8" w:sz="4"/>
              <w:left w:val="single" w:color="D8D3C8" w:sz="4"/>
              <w:bottom w:val="single" w:color="D8D3C8" w:sz="4"/>
              <w:right w:val="single" w:color="D8D3C8" w:sz="4"/>
            </w:tcBorders>
            <w:shd w:fill="F4F2EC" w:val="clear"/>
            <w:tcMar>
              <w:top w:type="dxa" w:w="40"/>
              <w:left w:type="dxa" w:w="120"/>
              <w:bottom w:type="dxa" w:w="40"/>
              <w:right w:type="dxa" w:w="120"/>
            </w:tcMar>
          </w:tcPr>
          <w:p>
            <w:r>
              <w:rPr>
                <w:b/>
                <w:bCs/>
              </w:rPr>
              <w:t xml:space="preserve">TOTAL</w:t>
            </w:r>
          </w:p>
        </w:tc>
        <w:tc>
          <w:tcPr>
            <w:tcW w:type="dxa" w:w="1800"/>
            <w:tcBorders>
              <w:top w:val="single" w:color="D8D3C8" w:sz="4"/>
              <w:left w:val="single" w:color="D8D3C8" w:sz="4"/>
              <w:bottom w:val="single" w:color="D8D3C8" w:sz="4"/>
              <w:right w:val="single" w:color="D8D3C8" w:sz="4"/>
            </w:tcBorders>
            <w:shd w:fill="F4F2EC" w:val="clear"/>
            <w:tcMar>
              <w:top w:type="dxa" w:w="40"/>
              <w:left w:type="dxa" w:w="120"/>
              <w:bottom w:type="dxa" w:w="40"/>
              <w:right w:type="dxa" w:w="120"/>
            </w:tcMar>
          </w:tcPr>
          <w:p>
            <w:r>
              <w:rPr>
                <w:b/>
                <w:bCs/>
              </w:rPr>
              <w:t xml:space="preserve">111</w:t>
            </w:r>
          </w:p>
        </w:tc>
      </w:tr>
    </w:tbl>
    <w:p>
      <w:r>
        <w:t xml:space="preserve"/>
      </w:r>
    </w:p>
    <w:p>
      <w:pPr>
        <w:spacing w:after="40" w:before="200"/>
      </w:pPr>
      <w:r>
        <w:rPr>
          <w:b/>
          <w:bCs/>
          <w:color w:val="2F4858"/>
        </w:rPr>
        <w:t xml:space="preserve">Q12.  </w:t>
      </w:r>
      <w:r>
        <w:rPr>
          <w:b/>
          <w:bCs/>
        </w:rPr>
        <w:t xml:space="preserve">What is the correct total number of virtues, and are the per-family counts above right?</w:t>
      </w:r>
    </w:p>
    <w:p>
      <w:pPr>
        <w:spacing w:after="100"/>
      </w:pPr>
      <w:r>
        <w:rPr>
          <w:i/>
          <w:iCs/>
          <w:color w:val="6B6459"/>
          <w:sz w:val="20"/>
          <w:szCs w:val="20"/>
        </w:rPr>
        <w:t xml:space="preserve">If it’s easier, just send us the definitive list and we’ll match ours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pStyle w:val="Heading2"/>
      </w:pPr>
      <w:r>
        <w:t xml:space="preserve">3b.  Duplicate symbols we had to guess at</w:t>
      </w:r>
    </w:p>
    <w:p>
      <w:pPr>
        <w:spacing w:after="120"/>
      </w:pPr>
      <w:r>
        <w:rPr>
          <w:b w:val="false"/>
          <w:bCs w:val="false"/>
          <w:i w:val="false"/>
          <w:iCs w:val="false"/>
        </w:rPr>
        <w:t xml:space="preserve">Several virtues share the same two-letter symbol on the artwork. To keep them distinct in code we invented temporary symbols (marked * below). Please give us the correct/official symbol for each:</w:t>
      </w:r>
    </w:p>
    <w:p>
      <w:pPr>
        <w:pStyle w:val="ListParagraph"/>
        <w:numPr>
          <w:ilvl w:val="0"/>
          <w:numId w:val="2"/>
        </w:numPr>
        <w:spacing w:after="40"/>
      </w:pPr>
      <w:r>
        <w:t xml:space="preserve">Adaptability vs Adoration — both read “Ad”. (We temporarily used Ap2* for Adaptability.)</w:t>
      </w:r>
    </w:p>
    <w:p>
      <w:pPr>
        <w:pStyle w:val="ListParagraph"/>
        <w:numPr>
          <w:ilvl w:val="0"/>
          <w:numId w:val="2"/>
        </w:numPr>
        <w:spacing w:after="40"/>
      </w:pPr>
      <w:r>
        <w:t xml:space="preserve">Hope vs Helpfulness — both read “Hp”. (We temporarily used Ho* for Hope.)</w:t>
      </w:r>
    </w:p>
    <w:p>
      <w:pPr>
        <w:pStyle w:val="ListParagraph"/>
        <w:numPr>
          <w:ilvl w:val="0"/>
          <w:numId w:val="2"/>
        </w:numPr>
        <w:spacing w:after="40"/>
      </w:pPr>
      <w:r>
        <w:t xml:space="preserve">Individuality vs Independent — both read “Id”. (We temporarily used Iy* for Individuality.)</w:t>
      </w:r>
    </w:p>
    <w:p>
      <w:pPr>
        <w:pStyle w:val="ListParagraph"/>
        <w:numPr>
          <w:ilvl w:val="0"/>
          <w:numId w:val="2"/>
        </w:numPr>
        <w:spacing w:after="40"/>
      </w:pPr>
      <w:r>
        <w:t xml:space="preserve">Morality vs Moderation — both read “Mo”. (We temporarily used My* for Morality.)</w:t>
      </w:r>
    </w:p>
    <w:p>
      <w:r>
        <w:t xml:space="preserve"/>
      </w:r>
    </w:p>
    <w:p>
      <w:pPr>
        <w:spacing w:after="40" w:before="200"/>
      </w:pPr>
      <w:r>
        <w:rPr>
          <w:b/>
          <w:bCs/>
          <w:color w:val="2F4858"/>
        </w:rPr>
        <w:t xml:space="preserve">Q13.  </w:t>
      </w:r>
      <w:r>
        <w:rPr>
          <w:b/>
          <w:bCs/>
        </w:rPr>
        <w:t xml:space="preserve">What are the official symbols for each virtue where duplicates occur?</w:t>
      </w:r>
    </w:p>
    <w:p>
      <w:pPr>
        <w:spacing w:after="100"/>
      </w:pPr>
      <w:r>
        <w:rPr>
          <w:i/>
          <w:iCs/>
          <w:color w:val="6B6459"/>
          <w:sz w:val="20"/>
          <w:szCs w:val="20"/>
        </w:rPr>
        <w:t xml:space="preserve">Or confirm that duplicate symbols are fine and we should distinguish by family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p>
            <w:r>
              <w:t xml:space="preserve"/>
            </w:r>
          </w:p>
        </w:tc>
      </w:tr>
    </w:tbl>
    <w:p>
      <w:r>
        <w:t xml:space="preserve"/>
      </w:r>
    </w:p>
    <w:p>
      <w:pPr>
        <w:pStyle w:val="Heading2"/>
      </w:pPr>
      <w:r>
        <w:t xml:space="preserve">3c.  How the chemistry actually works</w:t>
      </w:r>
    </w:p>
    <w:p>
      <w:pPr>
        <w:spacing w:after="40" w:before="200"/>
      </w:pPr>
      <w:r>
        <w:rPr>
          <w:b/>
          <w:bCs/>
          <w:color w:val="2F4858"/>
        </w:rPr>
        <w:t xml:space="preserve">Q14.  </w:t>
      </w:r>
      <w:r>
        <w:rPr>
          <w:b/>
          <w:bCs/>
        </w:rPr>
        <w:t xml:space="preserve">Do written definitions exist for each virtue? If so, can you provide them (or the source)?</w:t>
      </w:r>
    </w:p>
    <w:p>
      <w:pPr>
        <w:spacing w:after="100"/>
      </w:pPr>
      <w:r>
        <w:rPr>
          <w:i/>
          <w:iCs/>
          <w:color w:val="6B6459"/>
          <w:sz w:val="20"/>
          <w:szCs w:val="20"/>
        </w:rPr>
        <w:t xml:space="preserve">Right now the platform shows names only, marked “awaiting source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tc>
      </w:tr>
    </w:tbl>
    <w:p>
      <w:r>
        <w:t xml:space="preserve"/>
      </w:r>
    </w:p>
    <w:p>
      <w:pPr>
        <w:spacing w:after="40" w:before="200"/>
      </w:pPr>
      <w:r>
        <w:rPr>
          <w:b/>
          <w:bCs/>
          <w:color w:val="2F4858"/>
        </w:rPr>
        <w:t xml:space="preserve">Q15.  </w:t>
      </w:r>
      <w:r>
        <w:rPr>
          <w:b/>
          <w:bCs/>
        </w:rPr>
        <w:t xml:space="preserve">What is a “virtue formula”? Doc 10 says the Chemistry supports “virtue formulas” — give an example.</w:t>
      </w:r>
    </w:p>
    <w:p>
      <w:pPr>
        <w:spacing w:after="100"/>
      </w:pPr>
      <w:r>
        <w:rPr>
          <w:i/>
          <w:iCs/>
          <w:color w:val="6B6459"/>
          <w:sz w:val="20"/>
          <w:szCs w:val="20"/>
        </w:rPr>
        <w:t xml:space="preserve">e.g., does a certain situation call for a specific combination of virtues, like a chemical compound?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spacing w:after="100" w:before="200"/>
      </w:pPr>
      <w:r>
        <w:rPr>
          <w:b/>
          <w:bCs/>
          <w:color w:val="2F4858"/>
        </w:rPr>
        <w:t xml:space="preserve">Q16.  </w:t>
      </w:r>
      <w:r>
        <w:rPr>
          <w:b/>
          <w:bCs/>
        </w:rPr>
        <w:t xml:space="preserve">How do virtues enter a conversation in practice? What is a “Virtue Seat” at the Table, and who fills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r>
        <w:br w:type="page"/>
      </w:r>
    </w:p>
    <w:p>
      <w:pPr>
        <w:pStyle w:val="Heading1"/>
      </w:pPr>
      <w:r>
        <w:t xml:space="preserve">4.  Roles &amp; the Table</w:t>
      </w:r>
    </w:p>
    <w:p>
      <w:pPr>
        <w:spacing w:after="160"/>
      </w:pPr>
      <w:r>
        <w:rPr>
          <w:i/>
          <w:iCs/>
          <w:color w:val="6B6459"/>
        </w:rPr>
        <w:t xml:space="preserve">The Table Formation Engine names four roles and several “seats.” We understand the intent but not the mechanics.</w:t>
      </w:r>
    </w:p>
    <w:p>
      <w:pPr>
        <w:spacing w:after="40" w:before="200"/>
      </w:pPr>
      <w:r>
        <w:rPr>
          <w:b/>
          <w:bCs/>
          <w:color w:val="2F4858"/>
        </w:rPr>
        <w:t xml:space="preserve">Q17.  </w:t>
      </w:r>
      <w:r>
        <w:rPr>
          <w:b/>
          <w:bCs/>
        </w:rPr>
        <w:t xml:space="preserve">The four roles — Host, Guide, Witness, Council — who or what plays each one? Is a Guide a trained human, an AI, or both? Is the Witness a person, or the system’s record-keeping? Is the Council a group of people, a set of perspectives, or an AI function?</w:t>
      </w:r>
    </w:p>
    <w:p>
      <w:pPr>
        <w:spacing w:after="100"/>
      </w:pPr>
      <w:r>
        <w:rPr>
          <w:i/>
          <w:iCs/>
          <w:color w:val="6B6459"/>
          <w:sz w:val="20"/>
          <w:szCs w:val="20"/>
        </w:rPr>
        <w:t xml:space="preserve">This is the single biggest thing that determines what we build. Please be as concrete as you 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p>
            <w:r>
              <w:t xml:space="preserve"/>
            </w:r>
          </w:p>
          <w:p>
            <w:r>
              <w:t xml:space="preserve"/>
            </w:r>
          </w:p>
        </w:tc>
      </w:tr>
    </w:tbl>
    <w:p>
      <w:r>
        <w:t xml:space="preserve"/>
      </w:r>
    </w:p>
    <w:p>
      <w:pPr>
        <w:spacing w:after="100" w:before="200"/>
      </w:pPr>
      <w:r>
        <w:rPr>
          <w:b/>
          <w:bCs/>
          <w:color w:val="2F4858"/>
        </w:rPr>
        <w:t xml:space="preserve">Q18.  </w:t>
      </w:r>
      <w:r>
        <w:rPr>
          <w:b/>
          <w:bCs/>
        </w:rPr>
        <w:t xml:space="preserve">Is “the Table” a literal session format (people/roles gathered) or a metaphor for how a conversation is structured?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spacing w:after="40" w:before="200"/>
      </w:pPr>
      <w:r>
        <w:rPr>
          <w:b/>
          <w:bCs/>
          <w:color w:val="2F4858"/>
        </w:rPr>
        <w:t xml:space="preserve">Q19.  </w:t>
      </w:r>
      <w:r>
        <w:rPr>
          <w:b/>
          <w:bCs/>
        </w:rPr>
        <w:t xml:space="preserve">Explain each seat and how it’s used: Self Seats, Relationship Seats, Virtue Seats, Secondary Loss Seats, and the Empty Chair.</w:t>
      </w:r>
    </w:p>
    <w:p>
      <w:pPr>
        <w:spacing w:after="100"/>
      </w:pPr>
      <w:r>
        <w:rPr>
          <w:i/>
          <w:iCs/>
          <w:color w:val="6B6459"/>
          <w:sz w:val="20"/>
          <w:szCs w:val="20"/>
        </w:rPr>
        <w:t xml:space="preserve">One line each is fine. We especially want to understand the Empty Chair — who or what it holds space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p>
            <w:r>
              <w:t xml:space="preserve"/>
            </w:r>
          </w:p>
          <w:p>
            <w:r>
              <w:t xml:space="preserve"/>
            </w:r>
          </w:p>
          <w:p>
            <w:r>
              <w:t xml:space="preserve"/>
            </w:r>
          </w:p>
        </w:tc>
      </w:tr>
    </w:tbl>
    <w:p>
      <w:r>
        <w:t xml:space="preserve"/>
      </w:r>
    </w:p>
    <w:p>
      <w:r>
        <w:br w:type="page"/>
      </w:r>
    </w:p>
    <w:p>
      <w:pPr>
        <w:pStyle w:val="Heading1"/>
      </w:pPr>
      <w:r>
        <w:t xml:space="preserve">5.  The Conversation Flow</w:t>
      </w:r>
    </w:p>
    <w:p>
      <w:pPr>
        <w:spacing w:after="160"/>
      </w:pPr>
      <w:r>
        <w:rPr>
          <w:i/>
          <w:iCs/>
          <w:color w:val="6B6459"/>
        </w:rPr>
        <w:t xml:space="preserve">Your core flow is Preparation → IAP → CAT → InnerCompass → Workbook → Continued Participation. We need to know how each step actually runs.</w:t>
      </w:r>
    </w:p>
    <w:p>
      <w:pPr>
        <w:spacing w:after="40" w:before="200"/>
      </w:pPr>
      <w:r>
        <w:rPr>
          <w:b/>
          <w:bCs/>
          <w:color w:val="2F4858"/>
        </w:rPr>
        <w:t xml:space="preserve">Q20.  </w:t>
      </w:r>
      <w:r>
        <w:rPr>
          <w:b/>
          <w:bCs/>
        </w:rPr>
        <w:t xml:space="preserve">Is “GPT” literal? Were Preparation, IAP, CAT, and InnerCompass built (or meant to be built) as actual AI assistants — or is “GPT” just the name for each conversation stage?</w:t>
      </w:r>
    </w:p>
    <w:p>
      <w:pPr>
        <w:spacing w:after="100"/>
      </w:pPr>
      <w:r>
        <w:rPr>
          <w:i/>
          <w:iCs/>
          <w:color w:val="6B6459"/>
          <w:sz w:val="20"/>
          <w:szCs w:val="20"/>
        </w:rPr>
        <w:t xml:space="preserve">You confirmed we’re building a web platform, not ChatGPT GPTs. But we need to know whether AI conducts the conversation inside that platform, or whether a human Guide does, with the platform supporting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p>
            <w:r>
              <w:t xml:space="preserve"/>
            </w:r>
          </w:p>
        </w:tc>
      </w:tr>
    </w:tbl>
    <w:p>
      <w:r>
        <w:t xml:space="preserve"/>
      </w:r>
    </w:p>
    <w:p>
      <w:pPr>
        <w:spacing w:after="40" w:before="200"/>
      </w:pPr>
      <w:r>
        <w:rPr>
          <w:b/>
          <w:bCs/>
          <w:color w:val="2F4858"/>
        </w:rPr>
        <w:t xml:space="preserve">Q21.  </w:t>
      </w:r>
      <w:r>
        <w:rPr>
          <w:b/>
          <w:bCs/>
        </w:rPr>
        <w:t xml:space="preserve">For each stage, who conducts it and in what form? (live session, self-guided by the Host, written exercise, AI chat?) Roughly how long does each take?</w:t>
      </w:r>
    </w:p>
    <w:p>
      <w:pPr>
        <w:spacing w:after="100"/>
      </w:pPr>
      <w:r>
        <w:rPr>
          <w:i/>
          <w:iCs/>
          <w:color w:val="6B6459"/>
          <w:sz w:val="20"/>
          <w:szCs w:val="20"/>
        </w:rPr>
        <w:t xml:space="preserve">IAP (awareness), CAT (understanding), InnerCompass (discernment) — a sentence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p>
            <w:r>
              <w:t xml:space="preserve"/>
            </w:r>
          </w:p>
          <w:p>
            <w:r>
              <w:t xml:space="preserve"/>
            </w:r>
          </w:p>
        </w:tc>
      </w:tr>
    </w:tbl>
    <w:p>
      <w:r>
        <w:t xml:space="preserve"/>
      </w:r>
    </w:p>
    <w:p>
      <w:pPr>
        <w:spacing w:after="40" w:before="200"/>
      </w:pPr>
      <w:r>
        <w:rPr>
          <w:b/>
          <w:bCs/>
          <w:color w:val="2F4858"/>
        </w:rPr>
        <w:t xml:space="preserve">Q22.  </w:t>
      </w:r>
      <w:r>
        <w:rPr>
          <w:b/>
          <w:bCs/>
        </w:rPr>
        <w:t xml:space="preserve">What does the Host actually DO in each stage? Give one concrete example of a question asked or an exercise done in each.</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spacing w:after="40" w:before="200"/>
      </w:pPr>
      <w:r>
        <w:rPr>
          <w:b/>
          <w:bCs/>
          <w:color w:val="2F4858"/>
        </w:rPr>
        <w:t xml:space="preserve">Q23.  </w:t>
      </w:r>
      <w:r>
        <w:rPr>
          <w:b/>
          <w:bCs/>
        </w:rPr>
        <w:t xml:space="preserve">The Referral Engine “transfers structured information” between stages. What specifically carries forward from one stage to the next?</w:t>
      </w:r>
    </w:p>
    <w:p>
      <w:pPr>
        <w:spacing w:after="100"/>
      </w:pPr>
      <w:r>
        <w:rPr>
          <w:i/>
          <w:iCs/>
          <w:color w:val="6B6459"/>
          <w:sz w:val="20"/>
          <w:szCs w:val="20"/>
        </w:rPr>
        <w:t xml:space="preserve">e.g., themes from IAP feed CAT; what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r>
        <w:br w:type="page"/>
      </w:r>
    </w:p>
    <w:p>
      <w:pPr>
        <w:pStyle w:val="Heading1"/>
      </w:pPr>
      <w:r>
        <w:t xml:space="preserve">6.  Workbook, Reports &amp; Privacy</w:t>
      </w:r>
    </w:p>
    <w:p>
      <w:pPr>
        <w:spacing w:after="160"/>
      </w:pPr>
      <w:r>
        <w:rPr>
          <w:i/>
          <w:iCs/>
          <w:color w:val="6B6459"/>
        </w:rPr>
        <w:t xml:space="preserve">The Workbook is the memory of the system, and the Report Engine turns one conversation into many outputs. These raise real questions about ownership and confidentiality.</w:t>
      </w:r>
    </w:p>
    <w:p>
      <w:pPr>
        <w:spacing w:after="100" w:before="200"/>
      </w:pPr>
      <w:r>
        <w:rPr>
          <w:b/>
          <w:bCs/>
          <w:color w:val="2F4858"/>
        </w:rPr>
        <w:t xml:space="preserve">Q24.  </w:t>
      </w:r>
      <w:r>
        <w:rPr>
          <w:b/>
          <w:bCs/>
        </w:rPr>
        <w:t xml:space="preserve">Who owns and who can see a Host’s Workbook? The Host? The Guide? The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spacing w:after="40" w:before="200"/>
      </w:pPr>
      <w:r>
        <w:rPr>
          <w:b/>
          <w:bCs/>
          <w:color w:val="2F4858"/>
        </w:rPr>
        <w:t xml:space="preserve">Q25.  </w:t>
      </w:r>
      <w:r>
        <w:rPr>
          <w:b/>
          <w:bCs/>
        </w:rPr>
        <w:t xml:space="preserve">The Report Engine lists Guide, Counselor, Student Success, Leadership, and Organizational reports. For each, who receives it and what does it contain?</w:t>
      </w:r>
    </w:p>
    <w:p>
      <w:pPr>
        <w:spacing w:after="100"/>
      </w:pPr>
      <w:r>
        <w:rPr>
          <w:i/>
          <w:iCs/>
          <w:color w:val="6B6459"/>
          <w:sz w:val="20"/>
          <w:szCs w:val="20"/>
        </w:rPr>
        <w:t xml:space="preserve">Crucially: does a Leadership or Organizational report expose anything the Host said privately? What’s the confidentiality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p>
            <w:r>
              <w:t xml:space="preserve"/>
            </w:r>
          </w:p>
          <w:p>
            <w:r>
              <w:t xml:space="preserve"/>
            </w:r>
          </w:p>
        </w:tc>
      </w:tr>
    </w:tbl>
    <w:p>
      <w:r>
        <w:t xml:space="preserve"/>
      </w:r>
    </w:p>
    <w:p>
      <w:pPr>
        <w:spacing w:after="40" w:before="200"/>
      </w:pPr>
      <w:r>
        <w:rPr>
          <w:b/>
          <w:bCs/>
          <w:color w:val="2F4858"/>
        </w:rPr>
        <w:t xml:space="preserve">Q26.  </w:t>
      </w:r>
      <w:r>
        <w:rPr>
          <w:b/>
          <w:bCs/>
        </w:rPr>
        <w:t xml:space="preserve">Is there a consent step — where the Host agrees to what’s recorded and who sees which report?</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r>
        <w:br w:type="page"/>
      </w:r>
    </w:p>
    <w:p>
      <w:pPr>
        <w:pStyle w:val="Heading1"/>
      </w:pPr>
      <w:r>
        <w:t xml:space="preserve">7.  Programs  (Layer III)</w:t>
      </w:r>
    </w:p>
    <w:p>
      <w:pPr>
        <w:spacing w:after="160"/>
      </w:pPr>
      <w:r>
        <w:rPr>
          <w:i/>
          <w:iCs/>
          <w:color w:val="6B6459"/>
        </w:rPr>
        <w:t xml:space="preserve">Layer III lists Defying Grief, a Certification Program, and Workshops &amp; Speaking. These are where the institution meets real people.</w:t>
      </w:r>
    </w:p>
    <w:p>
      <w:pPr>
        <w:spacing w:after="40" w:before="200"/>
      </w:pPr>
      <w:r>
        <w:rPr>
          <w:b/>
          <w:bCs/>
          <w:color w:val="2F4858"/>
        </w:rPr>
        <w:t xml:space="preserve">Q27.  </w:t>
      </w:r>
      <w:r>
        <w:rPr>
          <w:b/>
          <w:bCs/>
        </w:rPr>
        <w:t xml:space="preserve">Describe “Defying Grief.” Is it the flagship program? What is its shape — length, sessions, who leads it?</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spacing w:after="100" w:before="200"/>
      </w:pPr>
      <w:r>
        <w:rPr>
          <w:b/>
          <w:bCs/>
          <w:color w:val="2F4858"/>
        </w:rPr>
        <w:t xml:space="preserve">Q28.  </w:t>
      </w:r>
      <w:r>
        <w:rPr>
          <w:b/>
          <w:bCs/>
        </w:rPr>
        <w:t xml:space="preserve">The Certification Program — who gets certified, as what? Are you training and certifying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spacing w:after="40" w:before="200"/>
      </w:pPr>
      <w:r>
        <w:rPr>
          <w:b/>
          <w:bCs/>
          <w:color w:val="2F4858"/>
        </w:rPr>
        <w:t xml:space="preserve">Q29.  </w:t>
      </w:r>
      <w:r>
        <w:rPr>
          <w:b/>
          <w:bCs/>
        </w:rPr>
        <w:t xml:space="preserve">Which program should we build FIRST inside the platform?</w:t>
      </w:r>
    </w:p>
    <w:p>
      <w:pPr>
        <w:spacing w:after="100"/>
      </w:pPr>
      <w:r>
        <w:rPr>
          <w:i/>
          <w:iCs/>
          <w:color w:val="6B6459"/>
          <w:sz w:val="20"/>
          <w:szCs w:val="20"/>
        </w:rPr>
        <w:t xml:space="preserve">We can build the browsable institution, a live guided journey, a specific program like Defying Grief, or the certification track. Rank them if you 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r>
        <w:br w:type="page"/>
      </w:r>
    </w:p>
    <w:p>
      <w:pPr>
        <w:pStyle w:val="Heading1"/>
      </w:pPr>
      <w:r>
        <w:t xml:space="preserve">8.  Organization Configuration</w:t>
      </w:r>
    </w:p>
    <w:p>
      <w:pPr>
        <w:spacing w:after="160"/>
      </w:pPr>
      <w:r>
        <w:rPr>
          <w:i/>
          <w:iCs/>
          <w:color w:val="6B6459"/>
        </w:rPr>
        <w:t xml:space="preserve">Doc 17’s promise is that an organization adopts AVAIA without changing it — only configuration changes. We want to make that real.</w:t>
      </w:r>
    </w:p>
    <w:p>
      <w:pPr>
        <w:spacing w:after="40" w:before="200"/>
      </w:pPr>
      <w:r>
        <w:rPr>
          <w:b/>
          <w:bCs/>
          <w:color w:val="2F4858"/>
        </w:rPr>
        <w:t xml:space="preserve">Q30.  </w:t>
      </w:r>
      <w:r>
        <w:rPr>
          <w:b/>
          <w:bCs/>
        </w:rPr>
        <w:t xml:space="preserve">Walk us through one concrete example: how would a single grief organization (or a church, or a university) set up and use AVAIA day to day?</w:t>
      </w:r>
    </w:p>
    <w:p>
      <w:pPr>
        <w:spacing w:after="100"/>
      </w:pPr>
      <w:r>
        <w:rPr>
          <w:i/>
          <w:iCs/>
          <w:color w:val="6B6459"/>
          <w:sz w:val="20"/>
          <w:szCs w:val="20"/>
        </w:rPr>
        <w:t xml:space="preserve">This story helps us design the actual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p>
            <w:r>
              <w:t xml:space="preserve"/>
            </w:r>
          </w:p>
          <w:p>
            <w:r>
              <w:t xml:space="preserve"/>
            </w:r>
          </w:p>
        </w:tc>
      </w:tr>
    </w:tbl>
    <w:p>
      <w:r>
        <w:t xml:space="preserve"/>
      </w:r>
    </w:p>
    <w:p>
      <w:pPr>
        <w:spacing w:after="100" w:before="200"/>
      </w:pPr>
      <w:r>
        <w:rPr>
          <w:b/>
          <w:bCs/>
          <w:color w:val="2F4858"/>
        </w:rPr>
        <w:t xml:space="preserve">Q31.  </w:t>
      </w:r>
      <w:r>
        <w:rPr>
          <w:b/>
          <w:bCs/>
        </w:rPr>
        <w:t xml:space="preserve">Is AVAIA meant to serve many organizations at once (each with its own branding and users), or one organization to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spacing w:after="40" w:before="200"/>
      </w:pPr>
      <w:r>
        <w:rPr>
          <w:b/>
          <w:bCs/>
          <w:color w:val="2F4858"/>
        </w:rPr>
        <w:t xml:space="preserve">Q32.  </w:t>
      </w:r>
      <w:r>
        <w:rPr>
          <w:b/>
          <w:bCs/>
        </w:rPr>
        <w:t xml:space="preserve">What user roles and permissions exist? (e.g., Admin, Guide, Host — who can do and see what?)</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r>
        <w:br w:type="page"/>
      </w:r>
    </w:p>
    <w:p>
      <w:pPr>
        <w:pStyle w:val="Heading1"/>
      </w:pPr>
      <w:r>
        <w:t xml:space="preserve">9.  Build Direction, Branding &amp; Ownership</w:t>
      </w:r>
    </w:p>
    <w:p>
      <w:pPr>
        <w:spacing w:after="160"/>
      </w:pPr>
      <w:r>
        <w:rPr>
          <w:i/>
          <w:iCs/>
          <w:color w:val="6B6459"/>
        </w:rPr>
        <w:t xml:space="preserve">Finally, the practical decisions that let us keep moving.</w:t>
      </w:r>
    </w:p>
    <w:p>
      <w:pPr>
        <w:spacing w:after="40" w:before="200"/>
      </w:pPr>
      <w:r>
        <w:rPr>
          <w:b/>
          <w:bCs/>
          <w:color w:val="2F4858"/>
        </w:rPr>
        <w:t xml:space="preserve">Q33.  </w:t>
      </w:r>
      <w:r>
        <w:rPr>
          <w:b/>
          <w:bCs/>
        </w:rPr>
        <w:t xml:space="preserve">What is the very next thing you want to see working? </w:t>
      </w:r>
    </w:p>
    <w:p>
      <w:pPr>
        <w:spacing w:after="100"/>
      </w:pPr>
      <w:r>
        <w:rPr>
          <w:i/>
          <w:iCs/>
          <w:color w:val="6B6459"/>
          <w:sz w:val="20"/>
          <w:szCs w:val="20"/>
        </w:rPr>
        <w:t xml:space="preserve">Options: (a) the browsable reference platform is enough for now; (b) a live, clickable guided journey a Host can walk through; (c) a specific program (e.g., Defying Grief); (d) Workbook + accounts; (e) the Report Engine. Pick one to aim at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spacing w:after="40" w:before="200"/>
      </w:pPr>
      <w:r>
        <w:rPr>
          <w:b/>
          <w:bCs/>
          <w:color w:val="2F4858"/>
        </w:rPr>
        <w:t xml:space="preserve">Q34.  </w:t>
      </w:r>
      <w:r>
        <w:rPr>
          <w:b/>
          <w:bCs/>
        </w:rPr>
        <w:t xml:space="preserve">Does AVAIA need user accounts, logins, and saved data — or should it start as an open, no-login experience?</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spacing w:after="40" w:before="200"/>
      </w:pPr>
      <w:r>
        <w:rPr>
          <w:b/>
          <w:bCs/>
          <w:color w:val="2F4858"/>
        </w:rPr>
        <w:t xml:space="preserve">Q35.  </w:t>
      </w:r>
      <w:r>
        <w:rPr>
          <w:b/>
          <w:bCs/>
        </w:rPr>
        <w:t xml:space="preserve">Branding: do you have a logo, colors, fonts, or a look in mind? Any words that capture the feeling you want?</w:t>
      </w:r>
    </w:p>
    <w:p>
      <w:pPr>
        <w:spacing w:after="100"/>
      </w:pPr>
      <w:r>
        <w:rPr>
          <w:i/>
          <w:iCs/>
          <w:color w:val="6B6459"/>
          <w:sz w:val="20"/>
          <w:szCs w:val="20"/>
        </w:rPr>
        <w:t xml:space="preserve">We’ve used a quiet slate-and-parchment “institutional / archival” look as a placeholder. Keep, adjust, or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spacing w:after="40" w:before="200"/>
      </w:pPr>
      <w:r>
        <w:rPr>
          <w:b/>
          <w:bCs/>
          <w:color w:val="2F4858"/>
        </w:rPr>
        <w:t xml:space="preserve">Q36.  </w:t>
      </w:r>
      <w:r>
        <w:rPr>
          <w:b/>
          <w:bCs/>
        </w:rPr>
        <w:t xml:space="preserve">Who owns AVAIA, and how should it be attributed? Is there existing IP, trademark, or licensing we should respect?</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spacing w:after="40" w:before="200"/>
      </w:pPr>
      <w:r>
        <w:rPr>
          <w:b/>
          <w:bCs/>
          <w:color w:val="2F4858"/>
        </w:rPr>
        <w:t xml:space="preserve">Q37.  </w:t>
      </w:r>
      <w:r>
        <w:rPr>
          <w:b/>
          <w:bCs/>
        </w:rPr>
        <w:t xml:space="preserve">Do you have any other existing materials — documents, decks, a website, notes, recordings — that describe AVAIA more fully than these 17 specs?</w:t>
      </w:r>
    </w:p>
    <w:p>
      <w:pPr>
        <w:spacing w:after="100"/>
      </w:pPr>
      <w:r>
        <w:rPr>
          <w:i/>
          <w:iCs/>
          <w:color w:val="6B6459"/>
          <w:sz w:val="20"/>
          <w:szCs w:val="20"/>
        </w:rPr>
        <w:t xml:space="preserve">Anything you send shortcuts a lot of these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tc>
      </w:tr>
    </w:tbl>
    <w:p>
      <w:r>
        <w:t xml:space="preserve"/>
      </w:r>
    </w:p>
    <w:p>
      <w:r>
        <w:br w:type="page"/>
      </w:r>
    </w:p>
    <w:p>
      <w:pPr>
        <w:pStyle w:val="Heading1"/>
      </w:pPr>
      <w:r>
        <w:t xml:space="preserve">10.  Anything We Missed</w:t>
      </w:r>
    </w:p>
    <w:p>
      <w:pPr>
        <w:spacing w:after="160"/>
      </w:pPr>
      <w:r>
        <w:rPr>
          <w:i/>
          <w:iCs/>
          <w:color w:val="6B6459"/>
        </w:rPr>
        <w:t xml:space="preserve">The specs are a skeleton by design. You know what’s in the marrow that isn’t on paper yet. Put anything here — pieces of the vision, non-negotiables, things you’re still deciding, or parts of the system we haven’t named.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NOTES</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3C8" w:sz="4" w:space="6"/>
      </w:pBdr>
      <w:jc w:val="center"/>
    </w:pPr>
    <w:r>
      <w:rPr>
        <w:rFonts w:ascii="Arial" w:cs="Arial" w:eastAsia="Arial" w:hAnsi="Arial"/>
        <w:color w:val="6B6459"/>
        <w:sz w:val="16"/>
        <w:szCs w:val="16"/>
      </w:rPr>
      <w:t xml:space="preserve">AVAIA — Build Working Document      ·      Page </w:t>
    </w:r>
    <w:r>
      <w:rPr>
        <w:rFonts w:ascii="Arial" w:cs="Arial" w:eastAsia="Arial" w:hAnsi="Arial"/>
        <w:color w:val="6B64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D3C8" w:sz="4" w:space="6"/>
      </w:pBdr>
      <w:spacing w:after="160" w:before="240"/>
      <w:outlineLvl w:val="0"/>
    </w:pPr>
    <w:rPr>
      <w:rFonts w:ascii="Georgia" w:cs="Georgia" w:eastAsia="Georgia" w:hAnsi="Georgia"/>
      <w:b/>
      <w:bCs/>
      <w:color w:val="2F4858"/>
      <w:sz w:val="30"/>
      <w:szCs w:val="30"/>
    </w:rPr>
  </w:style>
  <w:style w:type="paragraph" w:styleId="Heading2">
    <w:name w:val="Heading 2"/>
    <w:basedOn w:val="Normal"/>
    <w:next w:val="Normal"/>
    <w:qFormat/>
    <w:pPr>
      <w:spacing w:after="100" w:before="200"/>
      <w:outlineLvl w:val="1"/>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AVAIA — Build Working Document</dc:title>
  <dc:creator>AVAIA build</dc:creator>
  <cp:lastModifiedBy>Un-named</cp:lastModifiedBy>
  <cp:revision>1</cp:revision>
  <dcterms:created xsi:type="dcterms:W3CDTF">2026-07-07T14:13:07.463Z</dcterms:created>
  <dcterms:modified xsi:type="dcterms:W3CDTF">2026-07-07T14:13:07.465Z</dcterms:modified>
</cp:coreProperties>
</file>

<file path=docProps/custom.xml><?xml version="1.0" encoding="utf-8"?>
<Properties xmlns="http://schemas.openxmlformats.org/officeDocument/2006/custom-properties" xmlns:vt="http://schemas.openxmlformats.org/officeDocument/2006/docPropsVTypes"/>
</file>