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Georgia" w:cs="Georgia" w:eastAsia="Georgia" w:hAnsi="Georgia"/>
          <w:b/>
          <w:bCs/>
          <w:color w:val="2F4858"/>
          <w:sz w:val="56"/>
          <w:szCs w:val="56"/>
        </w:rPr>
        <w:t xml:space="preserve">AVAIA</w:t>
      </w:r>
    </w:p>
    <w:p>
      <w:pPr>
        <w:spacing w:after="40"/>
      </w:pPr>
      <w:r>
        <w:rPr>
          <w:rFonts w:ascii="Arial" w:cs="Arial" w:eastAsia="Arial" w:hAnsi="Arial"/>
          <w:b/>
          <w:bCs/>
          <w:color w:val="6B6459"/>
          <w:sz w:val="22"/>
          <w:szCs w:val="22"/>
        </w:rPr>
        <w:t xml:space="preserve">BUILD WORKING DOCUMENT — ROUND 2 (REMAINING GAPS)</w:t>
      </w:r>
    </w:p>
    <w:p>
      <w:pPr>
        <w:pBdr>
          <w:bottom w:val="single" w:color="2F4858" w:sz="6" w:space="4"/>
        </w:pBdr>
        <w:spacing w:after="200"/>
      </w:pPr>
      <w:r>
        <w:t xml:space="preserve"/>
      </w:r>
    </w:p>
    <w:p>
      <w:pPr>
        <w:spacing w:after="120"/>
      </w:pPr>
      <w:r>
        <w:rPr>
          <w:b w:val="false"/>
          <w:bCs w:val="false"/>
          <w:i w:val="false"/>
          <w:iCs w:val="false"/>
        </w:rPr>
        <w:t xml:space="preserve">Thank you, Dorian. Your answers and the AVAIA Institutional Manual together resolved the large majority of open questions — the Constitution, the GIVE Method, the Journey, the Fundamental Operating Principles, the Secondary Loss framework, the roles and seats, reports, consent, and the full Chemistry of Virtue list with definitions are all now in hand. We are building from the Manual as the source of truth and inventing nothing.</w:t>
      </w:r>
    </w:p>
    <w:p>
      <w:pPr>
        <w:spacing w:after="160"/>
      </w:pPr>
      <w:r>
        <w:rPr>
          <w:b w:val="false"/>
          <w:bCs w:val="false"/>
          <w:i w:val="false"/>
          <w:iCs w:val="false"/>
        </w:rPr>
        <w:t xml:space="preserve">What follows is the short list of what still needs a decision or a file before the next stage of the build. It is intentionally brief.</w:t>
      </w:r>
    </w:p>
    <w:p>
      <w:pPr>
        <w:pBdr>
          <w:top w:val="single" w:color="1C7A4A" w:sz="4"/>
          <w:bottom w:val="single" w:color="1C7A4A" w:sz="4"/>
          <w:left w:val="single" w:color="1C7A4A" w:sz="4"/>
          <w:right w:val="single" w:color="1C7A4A" w:sz="4"/>
        </w:pBdr>
        <w:shd w:fill="EAF2EC" w:val="clear"/>
        <w:spacing w:after="60" w:before="60"/>
        <w:ind w:left="120" w:right="120"/>
      </w:pPr>
      <w:r>
        <w:rPr>
          <w:rFonts w:ascii="Arial" w:cs="Arial" w:eastAsia="Arial" w:hAnsi="Arial"/>
          <w:b/>
          <w:bCs/>
          <w:color w:val="1C7A4A"/>
          <w:sz w:val="16"/>
          <w:szCs w:val="16"/>
        </w:rPr>
        <w:t xml:space="preserve">RESOLVED — no action needed</w:t>
      </w:r>
    </w:p>
    <w:p>
      <w:pPr>
        <w:spacing w:after="60"/>
      </w:pPr>
      <w:r>
        <w:rPr>
          <w:b w:val="false"/>
          <w:bCs w:val="false"/>
          <w:i/>
          <w:iCs/>
          <w:color w:val="6B6459"/>
        </w:rPr>
        <w:t xml:space="preserve">GIVE Method · Constitution &amp; Articles · AVAIA Journey arc · 18 Fundamental Operating Principles · 10 Secondary Losses (with their matched virtues) · Host / Guide / Witness / Council · all Table seats · report types, recipients &amp; confidentiality · consent step · the full virtue list and definitions.</w:t>
      </w:r>
    </w:p>
    <w:p>
      <w:r>
        <w:t xml:space="preserve"/>
      </w:r>
    </w:p>
    <w:p>
      <w:r>
        <w:br w:type="page"/>
      </w:r>
    </w:p>
    <w:p>
      <w:pPr>
        <w:pStyle w:val="Heading1"/>
      </w:pPr>
      <w:r>
        <w:t xml:space="preserve">A.  One Number to Settle</w:t>
      </w:r>
    </w:p>
    <w:p>
      <w:pPr>
        <w:spacing w:after="160"/>
      </w:pPr>
      <w:r>
        <w:rPr>
          <w:i/>
          <w:iCs/>
          <w:color w:val="6B6459"/>
        </w:rPr>
        <w:t xml:space="preserve">The only place your two documents disagree with each other.</w:t>
      </w:r>
    </w:p>
    <w:p>
      <w:pPr>
        <w:spacing w:after="120"/>
      </w:pPr>
      <w:r>
        <w:rPr>
          <w:b w:val="false"/>
          <w:bCs w:val="false"/>
          <w:i w:val="false"/>
          <w:iCs w:val="false"/>
        </w:rPr>
        <w:t xml:space="preserve">In your answers (Q12) you said our count of 111 virtues was correct. But the Institutional Manual’s own family lists — which you told us to treat as the source — add up to 123. The difference is in three families where the Manual lists more than the earlier artwork showed: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5760"/>
      </w:tblGrid>
      <w:tr>
        <w:tc>
          <w:tcPr>
            <w:tcW w:type="dxa" w:w="2400"/>
            <w:tcBorders>
              <w:top w:val="single" w:color="D8D3C8" w:sz="4"/>
              <w:left w:val="single" w:color="D8D3C8" w:sz="4"/>
              <w:bottom w:val="single" w:color="D8D3C8" w:sz="4"/>
              <w:right w:val="single" w:color="D8D3C8" w:sz="4"/>
            </w:tcBorders>
            <w:shd w:fill="F4F2EC" w:val="clear"/>
            <w:tcMar>
              <w:top w:type="dxa" w:w="40"/>
              <w:left w:type="dxa" w:w="120"/>
              <w:bottom w:type="dxa" w:w="40"/>
              <w:right w:type="dxa" w:w="120"/>
            </w:tcMar>
          </w:tcPr>
          <w:p>
            <w:r>
              <w:rPr>
                <w:b/>
                <w:bCs/>
                <w:sz w:val="22"/>
                <w:szCs w:val="22"/>
              </w:rPr>
              <w:t xml:space="preserve">Family</w:t>
            </w:r>
          </w:p>
        </w:tc>
        <w:tc>
          <w:tcPr>
            <w:tcW w:type="dxa" w:w="1200"/>
            <w:tcBorders>
              <w:top w:val="single" w:color="D8D3C8" w:sz="4"/>
              <w:left w:val="single" w:color="D8D3C8" w:sz="4"/>
              <w:bottom w:val="single" w:color="D8D3C8" w:sz="4"/>
              <w:right w:val="single" w:color="D8D3C8" w:sz="4"/>
            </w:tcBorders>
            <w:shd w:fill="F4F2EC" w:val="clear"/>
            <w:tcMar>
              <w:top w:type="dxa" w:w="40"/>
              <w:left w:type="dxa" w:w="120"/>
              <w:bottom w:type="dxa" w:w="40"/>
              <w:right w:type="dxa" w:w="120"/>
            </w:tcMar>
          </w:tcPr>
          <w:p>
            <w:r>
              <w:rPr>
                <w:b/>
                <w:bCs/>
                <w:sz w:val="22"/>
                <w:szCs w:val="22"/>
              </w:rPr>
              <w:t xml:space="preserve">Manual</w:t>
            </w:r>
          </w:p>
        </w:tc>
        <w:tc>
          <w:tcPr>
            <w:tcW w:type="dxa" w:w="5760"/>
            <w:tcBorders>
              <w:top w:val="single" w:color="D8D3C8" w:sz="4"/>
              <w:left w:val="single" w:color="D8D3C8" w:sz="4"/>
              <w:bottom w:val="single" w:color="D8D3C8" w:sz="4"/>
              <w:right w:val="single" w:color="D8D3C8" w:sz="4"/>
            </w:tcBorders>
            <w:shd w:fill="F4F2EC" w:val="clear"/>
            <w:tcMar>
              <w:top w:type="dxa" w:w="40"/>
              <w:left w:type="dxa" w:w="120"/>
              <w:bottom w:type="dxa" w:w="40"/>
              <w:right w:type="dxa" w:w="120"/>
            </w:tcMar>
          </w:tcPr>
          <w:p>
            <w:r>
              <w:rPr>
                <w:b/>
                <w:bCs/>
                <w:sz w:val="18"/>
                <w:szCs w:val="18"/>
              </w:rPr>
              <w:t xml:space="preserve">Our first read</w:t>
            </w:r>
          </w:p>
        </w:tc>
      </w:tr>
      <w:tr>
        <w:tc>
          <w:tcPr>
            <w:tcW w:type="dxa" w:w="2400"/>
            <w:tcBorders>
              <w:top w:val="single" w:color="D8D3C8" w:sz="4"/>
              <w:left w:val="single" w:color="D8D3C8" w:sz="4"/>
              <w:bottom w:val="single" w:color="D8D3C8" w:sz="4"/>
              <w:right w:val="single" w:color="D8D3C8" w:sz="4"/>
            </w:tcBorders>
            <w:shd w:fill="FFFFFF" w:val="clear"/>
            <w:tcMar>
              <w:top w:type="dxa" w:w="40"/>
              <w:left w:type="dxa" w:w="120"/>
              <w:bottom w:type="dxa" w:w="40"/>
              <w:right w:type="dxa" w:w="120"/>
            </w:tcMar>
          </w:tcPr>
          <w:p>
            <w:r>
              <w:rPr>
                <w:b w:val="false"/>
                <w:bCs w:val="false"/>
                <w:sz w:val="22"/>
                <w:szCs w:val="22"/>
              </w:rPr>
              <w:t xml:space="preserve">Wisdom</w:t>
            </w:r>
          </w:p>
        </w:tc>
        <w:tc>
          <w:tcPr>
            <w:tcW w:type="dxa" w:w="1200"/>
            <w:tcBorders>
              <w:top w:val="single" w:color="D8D3C8" w:sz="4"/>
              <w:left w:val="single" w:color="D8D3C8" w:sz="4"/>
              <w:bottom w:val="single" w:color="D8D3C8" w:sz="4"/>
              <w:right w:val="single" w:color="D8D3C8" w:sz="4"/>
            </w:tcBorders>
            <w:shd w:fill="FFFFFF" w:val="clear"/>
            <w:tcMar>
              <w:top w:type="dxa" w:w="40"/>
              <w:left w:type="dxa" w:w="120"/>
              <w:bottom w:type="dxa" w:w="40"/>
              <w:right w:type="dxa" w:w="120"/>
            </w:tcMar>
          </w:tcPr>
          <w:p>
            <w:r>
              <w:rPr>
                <w:b w:val="false"/>
                <w:bCs w:val="false"/>
                <w:sz w:val="22"/>
                <w:szCs w:val="22"/>
              </w:rPr>
              <w:t xml:space="preserve">23</w:t>
            </w:r>
          </w:p>
        </w:tc>
        <w:tc>
          <w:tcPr>
            <w:tcW w:type="dxa" w:w="5760"/>
            <w:tcBorders>
              <w:top w:val="single" w:color="D8D3C8" w:sz="4"/>
              <w:left w:val="single" w:color="D8D3C8" w:sz="4"/>
              <w:bottom w:val="single" w:color="D8D3C8" w:sz="4"/>
              <w:right w:val="single" w:color="D8D3C8" w:sz="4"/>
            </w:tcBorders>
            <w:shd w:fill="FFFFFF" w:val="clear"/>
            <w:tcMar>
              <w:top w:type="dxa" w:w="40"/>
              <w:left w:type="dxa" w:w="120"/>
              <w:bottom w:type="dxa" w:w="40"/>
              <w:right w:type="dxa" w:w="120"/>
            </w:tcMar>
          </w:tcPr>
          <w:p>
            <w:r>
              <w:rPr>
                <w:b w:val="false"/>
                <w:bCs w:val="false"/>
                <w:sz w:val="18"/>
                <w:szCs w:val="18"/>
              </w:rPr>
              <w:t xml:space="preserve">23</w:t>
            </w:r>
          </w:p>
        </w:tc>
      </w:tr>
      <w:tr>
        <w:tc>
          <w:tcPr>
            <w:tcW w:type="dxa" w:w="2400"/>
            <w:tcBorders>
              <w:top w:val="single" w:color="D8D3C8" w:sz="4"/>
              <w:left w:val="single" w:color="D8D3C8" w:sz="4"/>
              <w:bottom w:val="single" w:color="D8D3C8" w:sz="4"/>
              <w:right w:val="single" w:color="D8D3C8" w:sz="4"/>
            </w:tcBorders>
            <w:shd w:fill="FFFFFF" w:val="clear"/>
            <w:tcMar>
              <w:top w:type="dxa" w:w="40"/>
              <w:left w:type="dxa" w:w="120"/>
              <w:bottom w:type="dxa" w:w="40"/>
              <w:right w:type="dxa" w:w="120"/>
            </w:tcMar>
          </w:tcPr>
          <w:p>
            <w:r>
              <w:rPr>
                <w:b w:val="false"/>
                <w:bCs w:val="false"/>
                <w:sz w:val="22"/>
                <w:szCs w:val="22"/>
              </w:rPr>
              <w:t xml:space="preserve">Justice</w:t>
            </w:r>
          </w:p>
        </w:tc>
        <w:tc>
          <w:tcPr>
            <w:tcW w:type="dxa" w:w="1200"/>
            <w:tcBorders>
              <w:top w:val="single" w:color="D8D3C8" w:sz="4"/>
              <w:left w:val="single" w:color="D8D3C8" w:sz="4"/>
              <w:bottom w:val="single" w:color="D8D3C8" w:sz="4"/>
              <w:right w:val="single" w:color="D8D3C8" w:sz="4"/>
            </w:tcBorders>
            <w:shd w:fill="FFFFFF" w:val="clear"/>
            <w:tcMar>
              <w:top w:type="dxa" w:w="40"/>
              <w:left w:type="dxa" w:w="120"/>
              <w:bottom w:type="dxa" w:w="40"/>
              <w:right w:type="dxa" w:w="120"/>
            </w:tcMar>
          </w:tcPr>
          <w:p>
            <w:r>
              <w:rPr>
                <w:b w:val="false"/>
                <w:bCs w:val="false"/>
                <w:sz w:val="22"/>
                <w:szCs w:val="22"/>
              </w:rPr>
              <w:t xml:space="preserve">15</w:t>
            </w:r>
          </w:p>
        </w:tc>
        <w:tc>
          <w:tcPr>
            <w:tcW w:type="dxa" w:w="5760"/>
            <w:tcBorders>
              <w:top w:val="single" w:color="D8D3C8" w:sz="4"/>
              <w:left w:val="single" w:color="D8D3C8" w:sz="4"/>
              <w:bottom w:val="single" w:color="D8D3C8" w:sz="4"/>
              <w:right w:val="single" w:color="D8D3C8" w:sz="4"/>
            </w:tcBorders>
            <w:shd w:fill="FFFFFF" w:val="clear"/>
            <w:tcMar>
              <w:top w:type="dxa" w:w="40"/>
              <w:left w:type="dxa" w:w="120"/>
              <w:bottom w:type="dxa" w:w="40"/>
              <w:right w:type="dxa" w:w="120"/>
            </w:tcMar>
          </w:tcPr>
          <w:p>
            <w:r>
              <w:rPr>
                <w:b w:val="false"/>
                <w:bCs w:val="false"/>
                <w:sz w:val="18"/>
                <w:szCs w:val="18"/>
              </w:rPr>
              <w:t xml:space="preserve">15</w:t>
            </w:r>
          </w:p>
        </w:tc>
      </w:tr>
      <w:tr>
        <w:tc>
          <w:tcPr>
            <w:tcW w:type="dxa" w:w="2400"/>
            <w:tcBorders>
              <w:top w:val="single" w:color="D8D3C8" w:sz="4"/>
              <w:left w:val="single" w:color="D8D3C8" w:sz="4"/>
              <w:bottom w:val="single" w:color="D8D3C8" w:sz="4"/>
              <w:right w:val="single" w:color="D8D3C8" w:sz="4"/>
            </w:tcBorders>
            <w:shd w:fill="FFFFFF" w:val="clear"/>
            <w:tcMar>
              <w:top w:type="dxa" w:w="40"/>
              <w:left w:type="dxa" w:w="120"/>
              <w:bottom w:type="dxa" w:w="40"/>
              <w:right w:type="dxa" w:w="120"/>
            </w:tcMar>
          </w:tcPr>
          <w:p>
            <w:r>
              <w:rPr>
                <w:b w:val="false"/>
                <w:bCs w:val="false"/>
                <w:sz w:val="22"/>
                <w:szCs w:val="22"/>
              </w:rPr>
              <w:t xml:space="preserve">Fortitude</w:t>
            </w:r>
          </w:p>
        </w:tc>
        <w:tc>
          <w:tcPr>
            <w:tcW w:type="dxa" w:w="1200"/>
            <w:tcBorders>
              <w:top w:val="single" w:color="D8D3C8" w:sz="4"/>
              <w:left w:val="single" w:color="D8D3C8" w:sz="4"/>
              <w:bottom w:val="single" w:color="D8D3C8" w:sz="4"/>
              <w:right w:val="single" w:color="D8D3C8" w:sz="4"/>
            </w:tcBorders>
            <w:shd w:fill="FFFFFF" w:val="clear"/>
            <w:tcMar>
              <w:top w:type="dxa" w:w="40"/>
              <w:left w:type="dxa" w:w="120"/>
              <w:bottom w:type="dxa" w:w="40"/>
              <w:right w:type="dxa" w:w="120"/>
            </w:tcMar>
          </w:tcPr>
          <w:p>
            <w:r>
              <w:rPr>
                <w:b w:val="false"/>
                <w:bCs w:val="false"/>
                <w:sz w:val="22"/>
                <w:szCs w:val="22"/>
              </w:rPr>
              <w:t xml:space="preserve">10</w:t>
            </w:r>
          </w:p>
        </w:tc>
        <w:tc>
          <w:tcPr>
            <w:tcW w:type="dxa" w:w="5760"/>
            <w:tcBorders>
              <w:top w:val="single" w:color="D8D3C8" w:sz="4"/>
              <w:left w:val="single" w:color="D8D3C8" w:sz="4"/>
              <w:bottom w:val="single" w:color="D8D3C8" w:sz="4"/>
              <w:right w:val="single" w:color="D8D3C8" w:sz="4"/>
            </w:tcBorders>
            <w:shd w:fill="FFFFFF" w:val="clear"/>
            <w:tcMar>
              <w:top w:type="dxa" w:w="40"/>
              <w:left w:type="dxa" w:w="120"/>
              <w:bottom w:type="dxa" w:w="40"/>
              <w:right w:type="dxa" w:w="120"/>
            </w:tcMar>
          </w:tcPr>
          <w:p>
            <w:r>
              <w:rPr>
                <w:b w:val="false"/>
                <w:bCs w:val="false"/>
                <w:sz w:val="18"/>
                <w:szCs w:val="18"/>
              </w:rPr>
              <w:t xml:space="preserve">10</w:t>
            </w:r>
          </w:p>
        </w:tc>
      </w:tr>
      <w:tr>
        <w:tc>
          <w:tcPr>
            <w:tcW w:type="dxa" w:w="2400"/>
            <w:tcBorders>
              <w:top w:val="single" w:color="D8D3C8" w:sz="4"/>
              <w:left w:val="single" w:color="D8D3C8" w:sz="4"/>
              <w:bottom w:val="single" w:color="D8D3C8" w:sz="4"/>
              <w:right w:val="single" w:color="D8D3C8" w:sz="4"/>
            </w:tcBorders>
            <w:shd w:fill="FFFFFF" w:val="clear"/>
            <w:tcMar>
              <w:top w:type="dxa" w:w="40"/>
              <w:left w:type="dxa" w:w="120"/>
              <w:bottom w:type="dxa" w:w="40"/>
              <w:right w:type="dxa" w:w="120"/>
            </w:tcMar>
          </w:tcPr>
          <w:p>
            <w:r>
              <w:rPr>
                <w:b w:val="false"/>
                <w:bCs w:val="false"/>
                <w:sz w:val="22"/>
                <w:szCs w:val="22"/>
              </w:rPr>
              <w:t xml:space="preserve">Self-Control</w:t>
            </w:r>
          </w:p>
        </w:tc>
        <w:tc>
          <w:tcPr>
            <w:tcW w:type="dxa" w:w="1200"/>
            <w:tcBorders>
              <w:top w:val="single" w:color="D8D3C8" w:sz="4"/>
              <w:left w:val="single" w:color="D8D3C8" w:sz="4"/>
              <w:bottom w:val="single" w:color="D8D3C8" w:sz="4"/>
              <w:right w:val="single" w:color="D8D3C8" w:sz="4"/>
            </w:tcBorders>
            <w:shd w:fill="FFFFFF" w:val="clear"/>
            <w:tcMar>
              <w:top w:type="dxa" w:w="40"/>
              <w:left w:type="dxa" w:w="120"/>
              <w:bottom w:type="dxa" w:w="40"/>
              <w:right w:type="dxa" w:w="120"/>
            </w:tcMar>
          </w:tcPr>
          <w:p>
            <w:r>
              <w:rPr>
                <w:b w:val="false"/>
                <w:bCs w:val="false"/>
                <w:sz w:val="22"/>
                <w:szCs w:val="22"/>
              </w:rPr>
              <w:t xml:space="preserve">11</w:t>
            </w:r>
          </w:p>
        </w:tc>
        <w:tc>
          <w:tcPr>
            <w:tcW w:type="dxa" w:w="5760"/>
            <w:tcBorders>
              <w:top w:val="single" w:color="D8D3C8" w:sz="4"/>
              <w:left w:val="single" w:color="D8D3C8" w:sz="4"/>
              <w:bottom w:val="single" w:color="D8D3C8" w:sz="4"/>
              <w:right w:val="single" w:color="D8D3C8" w:sz="4"/>
            </w:tcBorders>
            <w:shd w:fill="FFFFFF" w:val="clear"/>
            <w:tcMar>
              <w:top w:type="dxa" w:w="40"/>
              <w:left w:type="dxa" w:w="120"/>
              <w:bottom w:type="dxa" w:w="40"/>
              <w:right w:type="dxa" w:w="120"/>
            </w:tcMar>
          </w:tcPr>
          <w:p>
            <w:r>
              <w:rPr>
                <w:b w:val="false"/>
                <w:bCs w:val="false"/>
                <w:sz w:val="18"/>
                <w:szCs w:val="18"/>
              </w:rPr>
              <w:t xml:space="preserve">8   (missed Purity, Obedience, Peace)</w:t>
            </w:r>
          </w:p>
        </w:tc>
      </w:tr>
      <w:tr>
        <w:tc>
          <w:tcPr>
            <w:tcW w:type="dxa" w:w="2400"/>
            <w:tcBorders>
              <w:top w:val="single" w:color="D8D3C8" w:sz="4"/>
              <w:left w:val="single" w:color="D8D3C8" w:sz="4"/>
              <w:bottom w:val="single" w:color="D8D3C8" w:sz="4"/>
              <w:right w:val="single" w:color="D8D3C8" w:sz="4"/>
            </w:tcBorders>
            <w:shd w:fill="FFFFFF" w:val="clear"/>
            <w:tcMar>
              <w:top w:type="dxa" w:w="40"/>
              <w:left w:type="dxa" w:w="120"/>
              <w:bottom w:type="dxa" w:w="40"/>
              <w:right w:type="dxa" w:w="120"/>
            </w:tcMar>
          </w:tcPr>
          <w:p>
            <w:r>
              <w:rPr>
                <w:b w:val="false"/>
                <w:bCs w:val="false"/>
                <w:sz w:val="22"/>
                <w:szCs w:val="22"/>
              </w:rPr>
              <w:t xml:space="preserve">Love</w:t>
            </w:r>
          </w:p>
        </w:tc>
        <w:tc>
          <w:tcPr>
            <w:tcW w:type="dxa" w:w="1200"/>
            <w:tcBorders>
              <w:top w:val="single" w:color="D8D3C8" w:sz="4"/>
              <w:left w:val="single" w:color="D8D3C8" w:sz="4"/>
              <w:bottom w:val="single" w:color="D8D3C8" w:sz="4"/>
              <w:right w:val="single" w:color="D8D3C8" w:sz="4"/>
            </w:tcBorders>
            <w:shd w:fill="FFFFFF" w:val="clear"/>
            <w:tcMar>
              <w:top w:type="dxa" w:w="40"/>
              <w:left w:type="dxa" w:w="120"/>
              <w:bottom w:type="dxa" w:w="40"/>
              <w:right w:type="dxa" w:w="120"/>
            </w:tcMar>
          </w:tcPr>
          <w:p>
            <w:r>
              <w:rPr>
                <w:b w:val="false"/>
                <w:bCs w:val="false"/>
                <w:sz w:val="22"/>
                <w:szCs w:val="22"/>
              </w:rPr>
              <w:t xml:space="preserve">18</w:t>
            </w:r>
          </w:p>
        </w:tc>
        <w:tc>
          <w:tcPr>
            <w:tcW w:type="dxa" w:w="5760"/>
            <w:tcBorders>
              <w:top w:val="single" w:color="D8D3C8" w:sz="4"/>
              <w:left w:val="single" w:color="D8D3C8" w:sz="4"/>
              <w:bottom w:val="single" w:color="D8D3C8" w:sz="4"/>
              <w:right w:val="single" w:color="D8D3C8" w:sz="4"/>
            </w:tcBorders>
            <w:shd w:fill="FFFFFF" w:val="clear"/>
            <w:tcMar>
              <w:top w:type="dxa" w:w="40"/>
              <w:left w:type="dxa" w:w="120"/>
              <w:bottom w:type="dxa" w:w="40"/>
              <w:right w:type="dxa" w:w="120"/>
            </w:tcMar>
          </w:tcPr>
          <w:p>
            <w:r>
              <w:rPr>
                <w:b w:val="false"/>
                <w:bCs w:val="false"/>
                <w:sz w:val="18"/>
                <w:szCs w:val="18"/>
              </w:rPr>
              <w:t xml:space="preserve">13   (missed Charity, Cherish, Devotion, Sympathy, Thoughtfulness)</w:t>
            </w:r>
          </w:p>
        </w:tc>
      </w:tr>
      <w:tr>
        <w:tc>
          <w:tcPr>
            <w:tcW w:type="dxa" w:w="2400"/>
            <w:tcBorders>
              <w:top w:val="single" w:color="D8D3C8" w:sz="4"/>
              <w:left w:val="single" w:color="D8D3C8" w:sz="4"/>
              <w:bottom w:val="single" w:color="D8D3C8" w:sz="4"/>
              <w:right w:val="single" w:color="D8D3C8" w:sz="4"/>
            </w:tcBorders>
            <w:shd w:fill="FFFFFF" w:val="clear"/>
            <w:tcMar>
              <w:top w:type="dxa" w:w="40"/>
              <w:left w:type="dxa" w:w="120"/>
              <w:bottom w:type="dxa" w:w="40"/>
              <w:right w:type="dxa" w:w="120"/>
            </w:tcMar>
          </w:tcPr>
          <w:p>
            <w:r>
              <w:rPr>
                <w:b w:val="false"/>
                <w:bCs w:val="false"/>
                <w:sz w:val="22"/>
                <w:szCs w:val="22"/>
              </w:rPr>
              <w:t xml:space="preserve">Positive Attitude</w:t>
            </w:r>
          </w:p>
        </w:tc>
        <w:tc>
          <w:tcPr>
            <w:tcW w:type="dxa" w:w="1200"/>
            <w:tcBorders>
              <w:top w:val="single" w:color="D8D3C8" w:sz="4"/>
              <w:left w:val="single" w:color="D8D3C8" w:sz="4"/>
              <w:bottom w:val="single" w:color="D8D3C8" w:sz="4"/>
              <w:right w:val="single" w:color="D8D3C8" w:sz="4"/>
            </w:tcBorders>
            <w:shd w:fill="FFFFFF" w:val="clear"/>
            <w:tcMar>
              <w:top w:type="dxa" w:w="40"/>
              <w:left w:type="dxa" w:w="120"/>
              <w:bottom w:type="dxa" w:w="40"/>
              <w:right w:type="dxa" w:w="120"/>
            </w:tcMar>
          </w:tcPr>
          <w:p>
            <w:r>
              <w:rPr>
                <w:b w:val="false"/>
                <w:bCs w:val="false"/>
                <w:sz w:val="22"/>
                <w:szCs w:val="22"/>
              </w:rPr>
              <w:t xml:space="preserve">12</w:t>
            </w:r>
          </w:p>
        </w:tc>
        <w:tc>
          <w:tcPr>
            <w:tcW w:type="dxa" w:w="5760"/>
            <w:tcBorders>
              <w:top w:val="single" w:color="D8D3C8" w:sz="4"/>
              <w:left w:val="single" w:color="D8D3C8" w:sz="4"/>
              <w:bottom w:val="single" w:color="D8D3C8" w:sz="4"/>
              <w:right w:val="single" w:color="D8D3C8" w:sz="4"/>
            </w:tcBorders>
            <w:shd w:fill="FFFFFF" w:val="clear"/>
            <w:tcMar>
              <w:top w:type="dxa" w:w="40"/>
              <w:left w:type="dxa" w:w="120"/>
              <w:bottom w:type="dxa" w:w="40"/>
              <w:right w:type="dxa" w:w="120"/>
            </w:tcMar>
          </w:tcPr>
          <w:p>
            <w:r>
              <w:rPr>
                <w:b w:val="false"/>
                <w:bCs w:val="false"/>
                <w:sz w:val="18"/>
                <w:szCs w:val="18"/>
              </w:rPr>
              <w:t xml:space="preserve">8   (missed Cheerfulness, Faith, Joy, Reverence)</w:t>
            </w:r>
          </w:p>
        </w:tc>
      </w:tr>
      <w:tr>
        <w:tc>
          <w:tcPr>
            <w:tcW w:type="dxa" w:w="2400"/>
            <w:tcBorders>
              <w:top w:val="single" w:color="D8D3C8" w:sz="4"/>
              <w:left w:val="single" w:color="D8D3C8" w:sz="4"/>
              <w:bottom w:val="single" w:color="D8D3C8" w:sz="4"/>
              <w:right w:val="single" w:color="D8D3C8" w:sz="4"/>
            </w:tcBorders>
            <w:shd w:fill="FFFFFF" w:val="clear"/>
            <w:tcMar>
              <w:top w:type="dxa" w:w="40"/>
              <w:left w:type="dxa" w:w="120"/>
              <w:bottom w:type="dxa" w:w="40"/>
              <w:right w:type="dxa" w:w="120"/>
            </w:tcMar>
          </w:tcPr>
          <w:p>
            <w:r>
              <w:rPr>
                <w:b w:val="false"/>
                <w:bCs w:val="false"/>
                <w:sz w:val="22"/>
                <w:szCs w:val="22"/>
              </w:rPr>
              <w:t xml:space="preserve">Hard Work</w:t>
            </w:r>
          </w:p>
        </w:tc>
        <w:tc>
          <w:tcPr>
            <w:tcW w:type="dxa" w:w="1200"/>
            <w:tcBorders>
              <w:top w:val="single" w:color="D8D3C8" w:sz="4"/>
              <w:left w:val="single" w:color="D8D3C8" w:sz="4"/>
              <w:bottom w:val="single" w:color="D8D3C8" w:sz="4"/>
              <w:right w:val="single" w:color="D8D3C8" w:sz="4"/>
            </w:tcBorders>
            <w:shd w:fill="FFFFFF" w:val="clear"/>
            <w:tcMar>
              <w:top w:type="dxa" w:w="40"/>
              <w:left w:type="dxa" w:w="120"/>
              <w:bottom w:type="dxa" w:w="40"/>
              <w:right w:type="dxa" w:w="120"/>
            </w:tcMar>
          </w:tcPr>
          <w:p>
            <w:r>
              <w:rPr>
                <w:b w:val="false"/>
                <w:bCs w:val="false"/>
                <w:sz w:val="22"/>
                <w:szCs w:val="22"/>
              </w:rPr>
              <w:t xml:space="preserve">14</w:t>
            </w:r>
          </w:p>
        </w:tc>
        <w:tc>
          <w:tcPr>
            <w:tcW w:type="dxa" w:w="5760"/>
            <w:tcBorders>
              <w:top w:val="single" w:color="D8D3C8" w:sz="4"/>
              <w:left w:val="single" w:color="D8D3C8" w:sz="4"/>
              <w:bottom w:val="single" w:color="D8D3C8" w:sz="4"/>
              <w:right w:val="single" w:color="D8D3C8" w:sz="4"/>
            </w:tcBorders>
            <w:shd w:fill="FFFFFF" w:val="clear"/>
            <w:tcMar>
              <w:top w:type="dxa" w:w="40"/>
              <w:left w:type="dxa" w:w="120"/>
              <w:bottom w:type="dxa" w:w="40"/>
              <w:right w:type="dxa" w:w="120"/>
            </w:tcMar>
          </w:tcPr>
          <w:p>
            <w:r>
              <w:rPr>
                <w:b w:val="false"/>
                <w:bCs w:val="false"/>
                <w:sz w:val="18"/>
                <w:szCs w:val="18"/>
              </w:rPr>
              <w:t xml:space="preserve">14</w:t>
            </w:r>
          </w:p>
        </w:tc>
      </w:tr>
      <w:tr>
        <w:tc>
          <w:tcPr>
            <w:tcW w:type="dxa" w:w="2400"/>
            <w:tcBorders>
              <w:top w:val="single" w:color="D8D3C8" w:sz="4"/>
              <w:left w:val="single" w:color="D8D3C8" w:sz="4"/>
              <w:bottom w:val="single" w:color="D8D3C8" w:sz="4"/>
              <w:right w:val="single" w:color="D8D3C8" w:sz="4"/>
            </w:tcBorders>
            <w:shd w:fill="FFFFFF" w:val="clear"/>
            <w:tcMar>
              <w:top w:type="dxa" w:w="40"/>
              <w:left w:type="dxa" w:w="120"/>
              <w:bottom w:type="dxa" w:w="40"/>
              <w:right w:type="dxa" w:w="120"/>
            </w:tcMar>
          </w:tcPr>
          <w:p>
            <w:r>
              <w:rPr>
                <w:b w:val="false"/>
                <w:bCs w:val="false"/>
                <w:sz w:val="22"/>
                <w:szCs w:val="22"/>
              </w:rPr>
              <w:t xml:space="preserve">Integrity</w:t>
            </w:r>
          </w:p>
        </w:tc>
        <w:tc>
          <w:tcPr>
            <w:tcW w:type="dxa" w:w="1200"/>
            <w:tcBorders>
              <w:top w:val="single" w:color="D8D3C8" w:sz="4"/>
              <w:left w:val="single" w:color="D8D3C8" w:sz="4"/>
              <w:bottom w:val="single" w:color="D8D3C8" w:sz="4"/>
              <w:right w:val="single" w:color="D8D3C8" w:sz="4"/>
            </w:tcBorders>
            <w:shd w:fill="FFFFFF" w:val="clear"/>
            <w:tcMar>
              <w:top w:type="dxa" w:w="40"/>
              <w:left w:type="dxa" w:w="120"/>
              <w:bottom w:type="dxa" w:w="40"/>
              <w:right w:type="dxa" w:w="120"/>
            </w:tcMar>
          </w:tcPr>
          <w:p>
            <w:r>
              <w:rPr>
                <w:b w:val="false"/>
                <w:bCs w:val="false"/>
                <w:sz w:val="22"/>
                <w:szCs w:val="22"/>
              </w:rPr>
              <w:t xml:space="preserve">13</w:t>
            </w:r>
          </w:p>
        </w:tc>
        <w:tc>
          <w:tcPr>
            <w:tcW w:type="dxa" w:w="5760"/>
            <w:tcBorders>
              <w:top w:val="single" w:color="D8D3C8" w:sz="4"/>
              <w:left w:val="single" w:color="D8D3C8" w:sz="4"/>
              <w:bottom w:val="single" w:color="D8D3C8" w:sz="4"/>
              <w:right w:val="single" w:color="D8D3C8" w:sz="4"/>
            </w:tcBorders>
            <w:shd w:fill="FFFFFF" w:val="clear"/>
            <w:tcMar>
              <w:top w:type="dxa" w:w="40"/>
              <w:left w:type="dxa" w:w="120"/>
              <w:bottom w:type="dxa" w:w="40"/>
              <w:right w:type="dxa" w:w="120"/>
            </w:tcMar>
          </w:tcPr>
          <w:p>
            <w:r>
              <w:rPr>
                <w:b w:val="false"/>
                <w:bCs w:val="false"/>
                <w:sz w:val="18"/>
                <w:szCs w:val="18"/>
              </w:rPr>
              <w:t xml:space="preserve">13</w:t>
            </w:r>
          </w:p>
        </w:tc>
      </w:tr>
      <w:tr>
        <w:tc>
          <w:tcPr>
            <w:tcW w:type="dxa" w:w="2400"/>
            <w:tcBorders>
              <w:top w:val="single" w:color="D8D3C8" w:sz="4"/>
              <w:left w:val="single" w:color="D8D3C8" w:sz="4"/>
              <w:bottom w:val="single" w:color="D8D3C8" w:sz="4"/>
              <w:right w:val="single" w:color="D8D3C8" w:sz="4"/>
            </w:tcBorders>
            <w:shd w:fill="FFFFFF" w:val="clear"/>
            <w:tcMar>
              <w:top w:type="dxa" w:w="40"/>
              <w:left w:type="dxa" w:w="120"/>
              <w:bottom w:type="dxa" w:w="40"/>
              <w:right w:type="dxa" w:w="120"/>
            </w:tcMar>
          </w:tcPr>
          <w:p>
            <w:r>
              <w:rPr>
                <w:b w:val="false"/>
                <w:bCs w:val="false"/>
                <w:sz w:val="22"/>
                <w:szCs w:val="22"/>
              </w:rPr>
              <w:t xml:space="preserve">Gratitude</w:t>
            </w:r>
          </w:p>
        </w:tc>
        <w:tc>
          <w:tcPr>
            <w:tcW w:type="dxa" w:w="1200"/>
            <w:tcBorders>
              <w:top w:val="single" w:color="D8D3C8" w:sz="4"/>
              <w:left w:val="single" w:color="D8D3C8" w:sz="4"/>
              <w:bottom w:val="single" w:color="D8D3C8" w:sz="4"/>
              <w:right w:val="single" w:color="D8D3C8" w:sz="4"/>
            </w:tcBorders>
            <w:shd w:fill="FFFFFF" w:val="clear"/>
            <w:tcMar>
              <w:top w:type="dxa" w:w="40"/>
              <w:left w:type="dxa" w:w="120"/>
              <w:bottom w:type="dxa" w:w="40"/>
              <w:right w:type="dxa" w:w="120"/>
            </w:tcMar>
          </w:tcPr>
          <w:p>
            <w:r>
              <w:rPr>
                <w:b w:val="false"/>
                <w:bCs w:val="false"/>
                <w:sz w:val="22"/>
                <w:szCs w:val="22"/>
              </w:rPr>
              <w:t xml:space="preserve">3</w:t>
            </w:r>
          </w:p>
        </w:tc>
        <w:tc>
          <w:tcPr>
            <w:tcW w:type="dxa" w:w="5760"/>
            <w:tcBorders>
              <w:top w:val="single" w:color="D8D3C8" w:sz="4"/>
              <w:left w:val="single" w:color="D8D3C8" w:sz="4"/>
              <w:bottom w:val="single" w:color="D8D3C8" w:sz="4"/>
              <w:right w:val="single" w:color="D8D3C8" w:sz="4"/>
            </w:tcBorders>
            <w:shd w:fill="FFFFFF" w:val="clear"/>
            <w:tcMar>
              <w:top w:type="dxa" w:w="40"/>
              <w:left w:type="dxa" w:w="120"/>
              <w:bottom w:type="dxa" w:w="40"/>
              <w:right w:type="dxa" w:w="120"/>
            </w:tcMar>
          </w:tcPr>
          <w:p>
            <w:r>
              <w:rPr>
                <w:b w:val="false"/>
                <w:bCs w:val="false"/>
                <w:sz w:val="18"/>
                <w:szCs w:val="18"/>
              </w:rPr>
              <w:t xml:space="preserve">3</w:t>
            </w:r>
          </w:p>
        </w:tc>
      </w:tr>
      <w:tr>
        <w:tc>
          <w:tcPr>
            <w:tcW w:type="dxa" w:w="2400"/>
            <w:tcBorders>
              <w:top w:val="single" w:color="D8D3C8" w:sz="4"/>
              <w:left w:val="single" w:color="D8D3C8" w:sz="4"/>
              <w:bottom w:val="single" w:color="D8D3C8" w:sz="4"/>
              <w:right w:val="single" w:color="D8D3C8" w:sz="4"/>
            </w:tcBorders>
            <w:shd w:fill="FFFFFF" w:val="clear"/>
            <w:tcMar>
              <w:top w:type="dxa" w:w="40"/>
              <w:left w:type="dxa" w:w="120"/>
              <w:bottom w:type="dxa" w:w="40"/>
              <w:right w:type="dxa" w:w="120"/>
            </w:tcMar>
          </w:tcPr>
          <w:p>
            <w:r>
              <w:rPr>
                <w:b w:val="false"/>
                <w:bCs w:val="false"/>
                <w:sz w:val="22"/>
                <w:szCs w:val="22"/>
              </w:rPr>
              <w:t xml:space="preserve">Humility</w:t>
            </w:r>
          </w:p>
        </w:tc>
        <w:tc>
          <w:tcPr>
            <w:tcW w:type="dxa" w:w="1200"/>
            <w:tcBorders>
              <w:top w:val="single" w:color="D8D3C8" w:sz="4"/>
              <w:left w:val="single" w:color="D8D3C8" w:sz="4"/>
              <w:bottom w:val="single" w:color="D8D3C8" w:sz="4"/>
              <w:right w:val="single" w:color="D8D3C8" w:sz="4"/>
            </w:tcBorders>
            <w:shd w:fill="FFFFFF" w:val="clear"/>
            <w:tcMar>
              <w:top w:type="dxa" w:w="40"/>
              <w:left w:type="dxa" w:w="120"/>
              <w:bottom w:type="dxa" w:w="40"/>
              <w:right w:type="dxa" w:w="120"/>
            </w:tcMar>
          </w:tcPr>
          <w:p>
            <w:r>
              <w:rPr>
                <w:b w:val="false"/>
                <w:bCs w:val="false"/>
                <w:sz w:val="22"/>
                <w:szCs w:val="22"/>
              </w:rPr>
              <w:t xml:space="preserve">4</w:t>
            </w:r>
          </w:p>
        </w:tc>
        <w:tc>
          <w:tcPr>
            <w:tcW w:type="dxa" w:w="5760"/>
            <w:tcBorders>
              <w:top w:val="single" w:color="D8D3C8" w:sz="4"/>
              <w:left w:val="single" w:color="D8D3C8" w:sz="4"/>
              <w:bottom w:val="single" w:color="D8D3C8" w:sz="4"/>
              <w:right w:val="single" w:color="D8D3C8" w:sz="4"/>
            </w:tcBorders>
            <w:shd w:fill="FFFFFF" w:val="clear"/>
            <w:tcMar>
              <w:top w:type="dxa" w:w="40"/>
              <w:left w:type="dxa" w:w="120"/>
              <w:bottom w:type="dxa" w:w="40"/>
              <w:right w:type="dxa" w:w="120"/>
            </w:tcMar>
          </w:tcPr>
          <w:p>
            <w:r>
              <w:rPr>
                <w:b w:val="false"/>
                <w:bCs w:val="false"/>
                <w:sz w:val="18"/>
                <w:szCs w:val="18"/>
              </w:rPr>
              <w:t xml:space="preserve">4</w:t>
            </w:r>
          </w:p>
        </w:tc>
      </w:tr>
      <w:tr>
        <w:tc>
          <w:tcPr>
            <w:tcW w:type="dxa" w:w="2400"/>
            <w:tcBorders>
              <w:top w:val="single" w:color="D8D3C8" w:sz="4"/>
              <w:left w:val="single" w:color="D8D3C8" w:sz="4"/>
              <w:bottom w:val="single" w:color="D8D3C8" w:sz="4"/>
              <w:right w:val="single" w:color="D8D3C8" w:sz="4"/>
            </w:tcBorders>
            <w:shd w:fill="F4F2EC" w:val="clear"/>
            <w:tcMar>
              <w:top w:type="dxa" w:w="40"/>
              <w:left w:type="dxa" w:w="120"/>
              <w:bottom w:type="dxa" w:w="40"/>
              <w:right w:type="dxa" w:w="120"/>
            </w:tcMar>
          </w:tcPr>
          <w:p>
            <w:r>
              <w:rPr>
                <w:b/>
                <w:bCs/>
                <w:sz w:val="22"/>
                <w:szCs w:val="22"/>
              </w:rPr>
              <w:t xml:space="preserve">TOTAL</w:t>
            </w:r>
          </w:p>
        </w:tc>
        <w:tc>
          <w:tcPr>
            <w:tcW w:type="dxa" w:w="1200"/>
            <w:tcBorders>
              <w:top w:val="single" w:color="D8D3C8" w:sz="4"/>
              <w:left w:val="single" w:color="D8D3C8" w:sz="4"/>
              <w:bottom w:val="single" w:color="D8D3C8" w:sz="4"/>
              <w:right w:val="single" w:color="D8D3C8" w:sz="4"/>
            </w:tcBorders>
            <w:shd w:fill="F4F2EC" w:val="clear"/>
            <w:tcMar>
              <w:top w:type="dxa" w:w="40"/>
              <w:left w:type="dxa" w:w="120"/>
              <w:bottom w:type="dxa" w:w="40"/>
              <w:right w:type="dxa" w:w="120"/>
            </w:tcMar>
          </w:tcPr>
          <w:p>
            <w:r>
              <w:rPr>
                <w:b/>
                <w:bCs/>
                <w:sz w:val="22"/>
                <w:szCs w:val="22"/>
              </w:rPr>
              <w:t xml:space="preserve">123</w:t>
            </w:r>
          </w:p>
        </w:tc>
        <w:tc>
          <w:tcPr>
            <w:tcW w:type="dxa" w:w="5760"/>
            <w:tcBorders>
              <w:top w:val="single" w:color="D8D3C8" w:sz="4"/>
              <w:left w:val="single" w:color="D8D3C8" w:sz="4"/>
              <w:bottom w:val="single" w:color="D8D3C8" w:sz="4"/>
              <w:right w:val="single" w:color="D8D3C8" w:sz="4"/>
            </w:tcBorders>
            <w:shd w:fill="F4F2EC" w:val="clear"/>
            <w:tcMar>
              <w:top w:type="dxa" w:w="40"/>
              <w:left w:type="dxa" w:w="120"/>
              <w:bottom w:type="dxa" w:w="40"/>
              <w:right w:type="dxa" w:w="120"/>
            </w:tcMar>
          </w:tcPr>
          <w:p>
            <w:r>
              <w:rPr>
                <w:b/>
                <w:bCs/>
                <w:sz w:val="18"/>
                <w:szCs w:val="18"/>
              </w:rPr>
              <w:t xml:space="preserve">111</w:t>
            </w:r>
          </w:p>
        </w:tc>
      </w:tr>
    </w:tbl>
    <w:p>
      <w:r>
        <w:t xml:space="preserve"/>
      </w:r>
    </w:p>
    <w:p>
      <w:pPr>
        <w:spacing w:after="40" w:before="200"/>
      </w:pPr>
      <w:r>
        <w:rPr>
          <w:b/>
          <w:bCs/>
          <w:color w:val="2F4858"/>
        </w:rPr>
        <w:t xml:space="preserve">Q1.  </w:t>
      </w:r>
      <w:r>
        <w:rPr>
          <w:b/>
          <w:bCs/>
        </w:rPr>
        <w:t xml:space="preserve">Please confirm: the definitive Chemistry of Virtue contains 123 elements across the 10 families, as listed in the Manual. (Unless you tell us otherwise, we will build the 123-element list straight from the Manual.)</w:t>
      </w:r>
    </w:p>
    <w:p>
      <w:pPr>
        <w:spacing w:after="100"/>
      </w:pPr>
      <w:r>
        <w:rPr>
          <w:i/>
          <w:iCs/>
          <w:color w:val="6B6459"/>
          <w:sz w:val="20"/>
          <w:szCs w:val="20"/>
        </w:rPr>
        <w:t xml:space="preserve">This is really just a yes. It reconciles the one discrepancy between your two documents.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3C8" w:sz="4"/>
              <w:left w:val="single" w:color="D8D3C8" w:sz="4"/>
              <w:bottom w:val="single" w:color="D8D3C8" w:sz="4"/>
              <w:right w:val="single" w:color="D8D3C8" w:sz="4"/>
            </w:tcBorders>
            <w:shd w:fill="F4F2EC" w:val="clear"/>
            <w:tcMar>
              <w:top w:type="dxa" w:w="120"/>
              <w:left w:type="dxa" w:w="160"/>
              <w:bottom w:type="dxa" w:w="160"/>
              <w:right w:type="dxa" w:w="160"/>
            </w:tcMar>
          </w:tcPr>
          <w:p>
            <w:pPr>
              <w:spacing w:after="40"/>
            </w:pPr>
            <w:r>
              <w:rPr>
                <w:rFonts w:ascii="Arial" w:cs="Arial" w:eastAsia="Arial" w:hAnsi="Arial"/>
                <w:b/>
                <w:bCs/>
                <w:color w:val="2F4858"/>
                <w:sz w:val="15"/>
                <w:szCs w:val="15"/>
              </w:rPr>
              <w:t xml:space="preserve">ANSWER</w:t>
            </w:r>
          </w:p>
          <w:p>
            <w:r>
              <w:t xml:space="preserve"/>
            </w:r>
          </w:p>
          <w:p>
            <w:r>
              <w:t xml:space="preserve"/>
            </w:r>
          </w:p>
        </w:tc>
      </w:tr>
    </w:tbl>
    <w:p>
      <w:r>
        <w:t xml:space="preserve"/>
      </w:r>
    </w:p>
    <w:p>
      <w:r>
        <w:br w:type="page"/>
      </w:r>
    </w:p>
    <w:p>
      <w:pPr>
        <w:pStyle w:val="Heading1"/>
      </w:pPr>
      <w:r>
        <w:t xml:space="preserve">B.  Chemistry of Virtue — Working Mechanics</w:t>
      </w:r>
    </w:p>
    <w:p>
      <w:pPr>
        <w:spacing w:after="160"/>
      </w:pPr>
      <w:r>
        <w:rPr>
          <w:i/>
          <w:iCs/>
          <w:color w:val="6B6459"/>
        </w:rPr>
        <w:t xml:space="preserve">We have every virtue and its definition. What remains is how the “chemistry” operates in the product — a few pieces the Manual names but does not yet spell out.</w:t>
      </w:r>
    </w:p>
    <w:p>
      <w:pPr>
        <w:spacing w:after="40" w:before="200"/>
      </w:pPr>
      <w:r>
        <w:rPr>
          <w:b/>
          <w:bCs/>
          <w:color w:val="2F4858"/>
        </w:rPr>
        <w:t xml:space="preserve">Q2.  </w:t>
      </w:r>
      <w:r>
        <w:rPr>
          <w:b/>
          <w:bCs/>
        </w:rPr>
        <w:t xml:space="preserve">Symbols: does an official two-letter symbol exist for each of the 123 elements (as on the periodic-table artwork)? If yes, please send that table. If not, may we generate consistent symbols and distinguish duplicates by name + family, as you suggested in Q13?</w:t>
      </w:r>
    </w:p>
    <w:p>
      <w:pPr>
        <w:spacing w:after="100"/>
      </w:pPr>
      <w:r>
        <w:rPr>
          <w:i/>
          <w:iCs/>
          <w:color w:val="6B6459"/>
          <w:sz w:val="20"/>
          <w:szCs w:val="20"/>
        </w:rPr>
        <w:t xml:space="preserve">The Manual’s text lists names only. The artwork has symbols but repeats a few (two “Ad,” two “Mo,” etc.). The official table would settle this in one step.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3C8" w:sz="4"/>
              <w:left w:val="single" w:color="D8D3C8" w:sz="4"/>
              <w:bottom w:val="single" w:color="D8D3C8" w:sz="4"/>
              <w:right w:val="single" w:color="D8D3C8" w:sz="4"/>
            </w:tcBorders>
            <w:shd w:fill="F4F2EC" w:val="clear"/>
            <w:tcMar>
              <w:top w:type="dxa" w:w="120"/>
              <w:left w:type="dxa" w:w="160"/>
              <w:bottom w:type="dxa" w:w="160"/>
              <w:right w:type="dxa" w:w="160"/>
            </w:tcMar>
          </w:tcPr>
          <w:p>
            <w:pPr>
              <w:spacing w:after="40"/>
            </w:pPr>
            <w:r>
              <w:rPr>
                <w:rFonts w:ascii="Arial" w:cs="Arial" w:eastAsia="Arial" w:hAnsi="Arial"/>
                <w:b/>
                <w:bCs/>
                <w:color w:val="2F4858"/>
                <w:sz w:val="15"/>
                <w:szCs w:val="15"/>
              </w:rPr>
              <w:t xml:space="preserve">ANSWER</w:t>
            </w:r>
          </w:p>
          <w:p>
            <w:r>
              <w:t xml:space="preserve"/>
            </w:r>
          </w:p>
          <w:p>
            <w:r>
              <w:t xml:space="preserve"/>
            </w:r>
          </w:p>
          <w:p>
            <w:r>
              <w:t xml:space="preserve"/>
            </w:r>
          </w:p>
        </w:tc>
      </w:tr>
    </w:tbl>
    <w:p>
      <w:r>
        <w:t xml:space="preserve"/>
      </w:r>
    </w:p>
    <w:p>
      <w:pPr>
        <w:spacing w:after="40" w:before="200"/>
      </w:pPr>
      <w:r>
        <w:rPr>
          <w:b/>
          <w:bCs/>
          <w:color w:val="2F4858"/>
        </w:rPr>
        <w:t xml:space="preserve">Q3.  </w:t>
      </w:r>
      <w:r>
        <w:rPr>
          <w:b/>
          <w:bCs/>
        </w:rPr>
        <w:t xml:space="preserve">Virtue formulas: do any actual formulas exist yet (e.g., a documented “Primary + Supporting + Balancing = Outcome” for a given situation), or is the formula concept a future feature? If some exist, please send a few real examples.</w:t>
      </w:r>
    </w:p>
    <w:p>
      <w:pPr>
        <w:spacing w:after="100"/>
      </w:pPr>
      <w:r>
        <w:rPr>
          <w:i/>
          <w:iCs/>
          <w:color w:val="6B6459"/>
          <w:sz w:val="20"/>
          <w:szCs w:val="20"/>
        </w:rPr>
        <w:t xml:space="preserve">You gave us the pattern and said specific formulas must be official or approved by you — so we will not invent any. We just need to know whether to build a place to display existing formulas now, or leave the framework ready for later.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3C8" w:sz="4"/>
              <w:left w:val="single" w:color="D8D3C8" w:sz="4"/>
              <w:bottom w:val="single" w:color="D8D3C8" w:sz="4"/>
              <w:right w:val="single" w:color="D8D3C8" w:sz="4"/>
            </w:tcBorders>
            <w:shd w:fill="F4F2EC" w:val="clear"/>
            <w:tcMar>
              <w:top w:type="dxa" w:w="120"/>
              <w:left w:type="dxa" w:w="160"/>
              <w:bottom w:type="dxa" w:w="160"/>
              <w:right w:type="dxa" w:w="160"/>
            </w:tcMar>
          </w:tcPr>
          <w:p>
            <w:pPr>
              <w:spacing w:after="40"/>
            </w:pPr>
            <w:r>
              <w:rPr>
                <w:rFonts w:ascii="Arial" w:cs="Arial" w:eastAsia="Arial" w:hAnsi="Arial"/>
                <w:b/>
                <w:bCs/>
                <w:color w:val="2F4858"/>
                <w:sz w:val="15"/>
                <w:szCs w:val="15"/>
              </w:rPr>
              <w:t xml:space="preserve">ANSWER</w:t>
            </w:r>
          </w:p>
          <w:p>
            <w:r>
              <w:t xml:space="preserve"/>
            </w:r>
          </w:p>
          <w:p>
            <w:r>
              <w:t xml:space="preserve"/>
            </w:r>
          </w:p>
          <w:p>
            <w:r>
              <w:t xml:space="preserve"/>
            </w:r>
          </w:p>
        </w:tc>
      </w:tr>
    </w:tbl>
    <w:p>
      <w:r>
        <w:t xml:space="preserve"/>
      </w:r>
    </w:p>
    <w:p>
      <w:pPr>
        <w:spacing w:after="40" w:before="200"/>
      </w:pPr>
      <w:r>
        <w:rPr>
          <w:b/>
          <w:bCs/>
          <w:color w:val="2F4858"/>
        </w:rPr>
        <w:t xml:space="preserve">Q4.  </w:t>
      </w:r>
      <w:r>
        <w:rPr>
          <w:b/>
          <w:bCs/>
        </w:rPr>
        <w:t xml:space="preserve">The Glossary names virtue “Distortions” and “Observable outcomes.” What is a distortion of a virtue — for example, a virtue in excess or deficiency? Do these exist on paper?</w:t>
      </w:r>
    </w:p>
    <w:p>
      <w:pPr>
        <w:spacing w:after="100"/>
      </w:pPr>
      <w:r>
        <w:rPr>
          <w:i/>
          <w:iCs/>
          <w:color w:val="6B6459"/>
          <w:sz w:val="20"/>
          <w:szCs w:val="20"/>
        </w:rPr>
        <w:t xml:space="preserve">If these aren’t defined yet, just say “future” and we’ll leave room for them without inventing content.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3C8" w:sz="4"/>
              <w:left w:val="single" w:color="D8D3C8" w:sz="4"/>
              <w:bottom w:val="single" w:color="D8D3C8" w:sz="4"/>
              <w:right w:val="single" w:color="D8D3C8" w:sz="4"/>
            </w:tcBorders>
            <w:shd w:fill="F4F2EC" w:val="clear"/>
            <w:tcMar>
              <w:top w:type="dxa" w:w="120"/>
              <w:left w:type="dxa" w:w="160"/>
              <w:bottom w:type="dxa" w:w="160"/>
              <w:right w:type="dxa" w:w="160"/>
            </w:tcMar>
          </w:tcPr>
          <w:p>
            <w:pPr>
              <w:spacing w:after="40"/>
            </w:pPr>
            <w:r>
              <w:rPr>
                <w:rFonts w:ascii="Arial" w:cs="Arial" w:eastAsia="Arial" w:hAnsi="Arial"/>
                <w:b/>
                <w:bCs/>
                <w:color w:val="2F4858"/>
                <w:sz w:val="15"/>
                <w:szCs w:val="15"/>
              </w:rPr>
              <w:t xml:space="preserve">ANSWER</w:t>
            </w:r>
          </w:p>
          <w:p>
            <w:r>
              <w:t xml:space="preserve"/>
            </w:r>
          </w:p>
          <w:p>
            <w:r>
              <w:t xml:space="preserve"/>
            </w:r>
          </w:p>
        </w:tc>
      </w:tr>
    </w:tbl>
    <w:p>
      <w:r>
        <w:t xml:space="preserve"/>
      </w:r>
    </w:p>
    <w:p>
      <w:pPr>
        <w:spacing w:after="40" w:before="200"/>
      </w:pPr>
      <w:r>
        <w:rPr>
          <w:b/>
          <w:bCs/>
          <w:color w:val="2F4858"/>
        </w:rPr>
        <w:t xml:space="preserve">Q5.  </w:t>
      </w:r>
      <w:r>
        <w:rPr>
          <w:b/>
          <w:bCs/>
        </w:rPr>
        <w:t xml:space="preserve">The Manual maps each Secondary Loss to a healing virtue family (e.g., Loss of Meaning → Gratitude, Loss of Identity → Integrity). Should the platform surface that pairing to Guides and Hosts as part of the Secondary Loss work?</w:t>
      </w:r>
    </w:p>
    <w:p>
      <w:pPr>
        <w:spacing w:after="100"/>
      </w:pPr>
      <w:r>
        <w:rPr>
          <w:i/>
          <w:iCs/>
          <w:color w:val="6B6459"/>
          <w:sz w:val="20"/>
          <w:szCs w:val="20"/>
        </w:rPr>
        <w:t xml:space="defaul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3C8" w:sz="4"/>
              <w:left w:val="single" w:color="D8D3C8" w:sz="4"/>
              <w:bottom w:val="single" w:color="D8D3C8" w:sz="4"/>
              <w:right w:val="single" w:color="D8D3C8" w:sz="4"/>
            </w:tcBorders>
            <w:shd w:fill="F4F2EC" w:val="clear"/>
            <w:tcMar>
              <w:top w:type="dxa" w:w="120"/>
              <w:left w:type="dxa" w:w="160"/>
              <w:bottom w:type="dxa" w:w="160"/>
              <w:right w:type="dxa" w:w="160"/>
            </w:tcMar>
          </w:tcPr>
          <w:p>
            <w:pPr>
              <w:spacing w:after="40"/>
            </w:pPr>
            <w:r>
              <w:rPr>
                <w:rFonts w:ascii="Arial" w:cs="Arial" w:eastAsia="Arial" w:hAnsi="Arial"/>
                <w:b/>
                <w:bCs/>
                <w:color w:val="2F4858"/>
                <w:sz w:val="15"/>
                <w:szCs w:val="15"/>
              </w:rPr>
              <w:t xml:space="preserve">ANSWER</w:t>
            </w:r>
          </w:p>
          <w:p>
            <w:r>
              <w:t xml:space="preserve"/>
            </w:r>
          </w:p>
          <w:p>
            <w:r>
              <w:t xml:space="preserve"/>
            </w:r>
          </w:p>
          <w:p>
            <w:r>
              <w:t xml:space="preserve"/>
            </w:r>
          </w:p>
        </w:tc>
      </w:tr>
    </w:tbl>
    <w:p>
      <w:r>
        <w:t xml:space="preserve"/>
      </w:r>
    </w:p>
    <w:p>
      <w:r>
        <w:br w:type="page"/>
      </w:r>
    </w:p>
    <w:p>
      <w:pPr>
        <w:pStyle w:val="Heading1"/>
      </w:pPr>
      <w:r>
        <w:t xml:space="preserve">C.  The First Build — The One Big Decision</w:t>
      </w:r>
    </w:p>
    <w:p>
      <w:pPr>
        <w:spacing w:after="160"/>
      </w:pPr>
      <w:r>
        <w:rPr>
          <w:i/>
          <w:iCs/>
          <w:color w:val="6B6459"/>
        </w:rPr>
        <w:t xml:space="preserve">You chose (Q33) a live, clickable guided journey — IAP → CAT → InnerCompass → Workbook Summary — as the next thing to see working. To build it, we need to know what actually runs the conversation.</w:t>
      </w:r>
    </w:p>
    <w:p>
      <w:pPr>
        <w:spacing w:after="40" w:before="200"/>
      </w:pPr>
      <w:r>
        <w:rPr>
          <w:b/>
          <w:bCs/>
          <w:color w:val="2F4858"/>
        </w:rPr>
        <w:t xml:space="preserve">Q6.  </w:t>
      </w:r>
      <w:r>
        <w:rPr>
          <w:b/>
          <w:bCs/>
        </w:rPr>
        <w:t xml:space="preserve">In this first version, who conducts the conversation? Please pick the closest option (or describe your own):</w:t>
      </w:r>
    </w:p>
    <w:p>
      <w:pPr>
        <w:spacing w:after="100"/>
      </w:pPr>
      <w:r>
        <w:rPr>
          <w:i/>
          <w:iCs/>
          <w:color w:val="6B6459"/>
          <w:sz w:val="20"/>
          <w:szCs w:val="20"/>
        </w:rPr>
        <w:t xml:space="preserve">(a) AI-guided — the platform itself talks with the Host, asking questions and producing the referral/summary, following the AVAIA method. (b) Self-guided — the Host moves through structured prompts and writes their own reflections; no AI conversation. (c) Guide-assisted — a human Guide runs the session and the platform organizes and records it. We recommend starting with (a) or (b); (c) can layer on later.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3C8" w:sz="4"/>
              <w:left w:val="single" w:color="D8D3C8" w:sz="4"/>
              <w:bottom w:val="single" w:color="D8D3C8" w:sz="4"/>
              <w:right w:val="single" w:color="D8D3C8" w:sz="4"/>
            </w:tcBorders>
            <w:shd w:fill="F4F2EC" w:val="clear"/>
            <w:tcMar>
              <w:top w:type="dxa" w:w="120"/>
              <w:left w:type="dxa" w:w="160"/>
              <w:bottom w:type="dxa" w:w="160"/>
              <w:right w:type="dxa" w:w="160"/>
            </w:tcMar>
          </w:tcPr>
          <w:p>
            <w:pPr>
              <w:spacing w:after="40"/>
            </w:pPr>
            <w:r>
              <w:rPr>
                <w:rFonts w:ascii="Arial" w:cs="Arial" w:eastAsia="Arial" w:hAnsi="Arial"/>
                <w:b/>
                <w:bCs/>
                <w:color w:val="2F4858"/>
                <w:sz w:val="15"/>
                <w:szCs w:val="15"/>
              </w:rPr>
              <w:t xml:space="preserve">ANSWER</w:t>
            </w:r>
          </w:p>
          <w:p>
            <w:r>
              <w:t xml:space="preserve"/>
            </w:r>
          </w:p>
          <w:p>
            <w:r>
              <w:t xml:space="preserve"/>
            </w:r>
          </w:p>
          <w:p>
            <w:r>
              <w:t xml:space="preserve"/>
            </w:r>
          </w:p>
          <w:p>
            <w:r>
              <w:t xml:space="preserve"/>
            </w:r>
          </w:p>
        </w:tc>
      </w:tr>
    </w:tbl>
    <w:p>
      <w:r>
        <w:t xml:space="preserve"/>
      </w:r>
    </w:p>
    <w:p>
      <w:pPr>
        <w:spacing w:after="40" w:before="200"/>
      </w:pPr>
      <w:r>
        <w:rPr>
          <w:b/>
          <w:bCs/>
          <w:color w:val="2F4858"/>
        </w:rPr>
        <w:t xml:space="preserve">Q7.  </w:t>
      </w:r>
      <w:r>
        <w:rPr>
          <w:b/>
          <w:bCs/>
        </w:rPr>
        <w:t xml:space="preserve">If AI-guided: you mentioned original IAP / CAT / InnerCompass GPT materials. Those instruction sets are exactly what we need so the AI behaves like AVAIA and not a generic chatbot. Can you send them?</w:t>
      </w:r>
    </w:p>
    <w:p>
      <w:pPr>
        <w:spacing w:after="100"/>
      </w:pPr>
      <w:r>
        <w:rPr>
          <w:i/>
          <w:iCs/>
          <w:color w:val="6B6459"/>
          <w:sz w:val="20"/>
          <w:szCs w:val="20"/>
        </w:rPr>
        <w:t xml:space="preserve">These become the backbone of the AI’s behavior for each stage. Without them we would be reconstructing your method from the Manual, which we’d rather not do when the real prompts exist.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3C8" w:sz="4"/>
              <w:left w:val="single" w:color="D8D3C8" w:sz="4"/>
              <w:bottom w:val="single" w:color="D8D3C8" w:sz="4"/>
              <w:right w:val="single" w:color="D8D3C8" w:sz="4"/>
            </w:tcBorders>
            <w:shd w:fill="F4F2EC" w:val="clear"/>
            <w:tcMar>
              <w:top w:type="dxa" w:w="120"/>
              <w:left w:type="dxa" w:w="160"/>
              <w:bottom w:type="dxa" w:w="160"/>
              <w:right w:type="dxa" w:w="160"/>
            </w:tcMar>
          </w:tcPr>
          <w:p>
            <w:pPr>
              <w:spacing w:after="40"/>
            </w:pPr>
            <w:r>
              <w:rPr>
                <w:rFonts w:ascii="Arial" w:cs="Arial" w:eastAsia="Arial" w:hAnsi="Arial"/>
                <w:b/>
                <w:bCs/>
                <w:color w:val="2F4858"/>
                <w:sz w:val="15"/>
                <w:szCs w:val="15"/>
              </w:rPr>
              <w:t xml:space="preserve">ANSWER</w:t>
            </w:r>
          </w:p>
          <w:p>
            <w:r>
              <w:t xml:space="preserve"/>
            </w:r>
          </w:p>
          <w:p>
            <w:r>
              <w:t xml:space="preserve"/>
            </w:r>
          </w:p>
        </w:tc>
      </w:tr>
    </w:tbl>
    <w:p>
      <w:r>
        <w:t xml:space="preserve"/>
      </w:r>
    </w:p>
    <w:p>
      <w:pPr>
        <w:spacing w:after="40" w:before="200"/>
      </w:pPr>
      <w:r>
        <w:rPr>
          <w:b/>
          <w:bCs/>
          <w:color w:val="2F4858"/>
        </w:rPr>
        <w:t xml:space="preserve">Q8.  </w:t>
      </w:r>
      <w:r>
        <w:rPr>
          <w:b/>
          <w:bCs/>
        </w:rPr>
        <w:t xml:space="preserve">Is the retirement-Host referral example in the Manual the canonical format for referrals and summaries? Should the platform generate referrals in that exact shape between stages?</w:t>
      </w:r>
    </w:p>
    <w:p>
      <w:pPr>
        <w:spacing w:after="100"/>
      </w:pPr>
      <w:r>
        <w:rPr>
          <w:i/>
          <w:iCs/>
          <w:color w:val="6B6459"/>
          <w:sz w:val="20"/>
          <w:szCs w:val="20"/>
        </w:rPr>
        <w:t xml:space="defaul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3C8" w:sz="4"/>
              <w:left w:val="single" w:color="D8D3C8" w:sz="4"/>
              <w:bottom w:val="single" w:color="D8D3C8" w:sz="4"/>
              <w:right w:val="single" w:color="D8D3C8" w:sz="4"/>
            </w:tcBorders>
            <w:shd w:fill="F4F2EC" w:val="clear"/>
            <w:tcMar>
              <w:top w:type="dxa" w:w="120"/>
              <w:left w:type="dxa" w:w="160"/>
              <w:bottom w:type="dxa" w:w="160"/>
              <w:right w:type="dxa" w:w="160"/>
            </w:tcMar>
          </w:tcPr>
          <w:p>
            <w:pPr>
              <w:spacing w:after="40"/>
            </w:pPr>
            <w:r>
              <w:rPr>
                <w:rFonts w:ascii="Arial" w:cs="Arial" w:eastAsia="Arial" w:hAnsi="Arial"/>
                <w:b/>
                <w:bCs/>
                <w:color w:val="2F4858"/>
                <w:sz w:val="15"/>
                <w:szCs w:val="15"/>
              </w:rPr>
              <w:t xml:space="preserve">ANSWER</w:t>
            </w:r>
          </w:p>
          <w:p>
            <w:r>
              <w:t xml:space="preserve"/>
            </w:r>
          </w:p>
          <w:p>
            <w:r>
              <w:t xml:space="preserve"/>
            </w:r>
          </w:p>
          <w:p>
            <w:r>
              <w:t xml:space="preserve"/>
            </w:r>
          </w:p>
        </w:tc>
      </w:tr>
    </w:tbl>
    <w:p>
      <w:r>
        <w:t xml:space="preserve"/>
      </w:r>
    </w:p>
    <w:p>
      <w:r>
        <w:br w:type="page"/>
      </w:r>
    </w:p>
    <w:p>
      <w:pPr>
        <w:pStyle w:val="Heading1"/>
      </w:pPr>
      <w:r>
        <w:t xml:space="preserve">D.  Accounts, Data &amp; Privacy</w:t>
      </w:r>
    </w:p>
    <w:p>
      <w:pPr>
        <w:spacing w:after="160"/>
      </w:pPr>
      <w:r>
        <w:rPr>
          <w:i/>
          <w:iCs/>
          <w:color w:val="6B6459"/>
        </w:rPr>
        <w:t xml:space="preserve">Hosts share sensitive personal material. How we store it matters from the first line of code.</w:t>
      </w:r>
    </w:p>
    <w:p>
      <w:pPr>
        <w:spacing w:after="40" w:before="200"/>
      </w:pPr>
      <w:r>
        <w:rPr>
          <w:b/>
          <w:bCs/>
          <w:color w:val="2F4858"/>
        </w:rPr>
        <w:t xml:space="preserve">Q9.  </w:t>
      </w:r>
      <w:r>
        <w:rPr>
          <w:b/>
          <w:bCs/>
        </w:rPr>
        <w:t xml:space="preserve">For the first build, do we (a) ship the guided journey with no login yet — nothing saved beyond the session, fastest to see working — or (b) build real accounts and a saved Workbook from the start?</w:t>
      </w:r>
    </w:p>
    <w:p>
      <w:pPr>
        <w:spacing w:after="100"/>
      </w:pPr>
      <w:r>
        <w:rPr>
          <w:i/>
          <w:iCs/>
          <w:color w:val="6B6459"/>
          <w:sz w:val="20"/>
          <w:szCs w:val="20"/>
        </w:rPr>
        <w:t xml:space="preserve">Both lead to the same place. (a) proves the experience in days; (b) is the real platform but takes longer up front.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3C8" w:sz="4"/>
              <w:left w:val="single" w:color="D8D3C8" w:sz="4"/>
              <w:bottom w:val="single" w:color="D8D3C8" w:sz="4"/>
              <w:right w:val="single" w:color="D8D3C8" w:sz="4"/>
            </w:tcBorders>
            <w:shd w:fill="F4F2EC" w:val="clear"/>
            <w:tcMar>
              <w:top w:type="dxa" w:w="120"/>
              <w:left w:type="dxa" w:w="160"/>
              <w:bottom w:type="dxa" w:w="160"/>
              <w:right w:type="dxa" w:w="160"/>
            </w:tcMar>
          </w:tcPr>
          <w:p>
            <w:pPr>
              <w:spacing w:after="40"/>
            </w:pPr>
            <w:r>
              <w:rPr>
                <w:rFonts w:ascii="Arial" w:cs="Arial" w:eastAsia="Arial" w:hAnsi="Arial"/>
                <w:b/>
                <w:bCs/>
                <w:color w:val="2F4858"/>
                <w:sz w:val="15"/>
                <w:szCs w:val="15"/>
              </w:rPr>
              <w:t xml:space="preserve">ANSWER</w:t>
            </w:r>
          </w:p>
          <w:p>
            <w:r>
              <w:t xml:space="preserve"/>
            </w:r>
          </w:p>
          <w:p>
            <w:r>
              <w:t xml:space="preserve"/>
            </w:r>
          </w:p>
          <w:p>
            <w:r>
              <w:t xml:space="preserve"/>
            </w:r>
          </w:p>
        </w:tc>
      </w:tr>
    </w:tbl>
    <w:p>
      <w:r>
        <w:t xml:space="preserve"/>
      </w:r>
    </w:p>
    <w:p>
      <w:pPr>
        <w:spacing w:after="40" w:before="200"/>
      </w:pPr>
      <w:r>
        <w:rPr>
          <w:b/>
          <w:bCs/>
          <w:color w:val="2F4858"/>
        </w:rPr>
        <w:t xml:space="preserve">Q10.  </w:t>
      </w:r>
      <w:r>
        <w:rPr>
          <w:b/>
          <w:bCs/>
        </w:rPr>
        <w:t xml:space="preserve">When we do add saved data: any requirements we should honor now — where data lives, retention, or standards you must meet (for example, if counseling or student settings impose rules)?</w:t>
      </w:r>
    </w:p>
    <w:p>
      <w:pPr>
        <w:spacing w:after="100"/>
      </w:pPr>
      <w:r>
        <w:rPr>
          <w:i/>
          <w:iCs/>
          <w:color w:val="6B6459"/>
          <w:sz w:val="20"/>
          <w:szCs w:val="20"/>
        </w:rPr>
        <w:t xml:space="defaul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3C8" w:sz="4"/>
              <w:left w:val="single" w:color="D8D3C8" w:sz="4"/>
              <w:bottom w:val="single" w:color="D8D3C8" w:sz="4"/>
              <w:right w:val="single" w:color="D8D3C8" w:sz="4"/>
            </w:tcBorders>
            <w:shd w:fill="F4F2EC" w:val="clear"/>
            <w:tcMar>
              <w:top w:type="dxa" w:w="120"/>
              <w:left w:type="dxa" w:w="160"/>
              <w:bottom w:type="dxa" w:w="160"/>
              <w:right w:type="dxa" w:w="160"/>
            </w:tcMar>
          </w:tcPr>
          <w:p>
            <w:pPr>
              <w:spacing w:after="40"/>
            </w:pPr>
            <w:r>
              <w:rPr>
                <w:rFonts w:ascii="Arial" w:cs="Arial" w:eastAsia="Arial" w:hAnsi="Arial"/>
                <w:b/>
                <w:bCs/>
                <w:color w:val="2F4858"/>
                <w:sz w:val="15"/>
                <w:szCs w:val="15"/>
              </w:rPr>
              <w:t xml:space="preserve">ANSWER</w:t>
            </w:r>
          </w:p>
          <w:p>
            <w:r>
              <w:t xml:space="preserve"/>
            </w:r>
          </w:p>
          <w:p>
            <w:r>
              <w:t xml:space="preserve"/>
            </w:r>
          </w:p>
          <w:p>
            <w:r>
              <w:t xml:space="preserve"/>
            </w:r>
          </w:p>
        </w:tc>
      </w:tr>
    </w:tbl>
    <w:p>
      <w:r>
        <w:t xml:space="preserve"/>
      </w:r>
    </w:p>
    <w:p>
      <w:r>
        <w:br w:type="page"/>
      </w:r>
    </w:p>
    <w:p>
      <w:pPr>
        <w:pStyle w:val="Heading1"/>
      </w:pPr>
      <w:r>
        <w:t xml:space="preserve">E.  Home, Branding &amp; Trademark</w:t>
      </w:r>
    </w:p>
    <w:p>
      <w:pPr>
        <w:spacing w:after="160"/>
      </w:pPr>
      <w:r>
        <w:rPr>
          <w:i/>
          <w:iCs/>
          <w:color w:val="6B6459"/>
        </w:rPr>
        <w:t xml:space="preserve">Practical placement and identity.</w:t>
      </w:r>
    </w:p>
    <w:p>
      <w:pPr>
        <w:spacing w:after="40" w:before="200"/>
      </w:pPr>
      <w:r>
        <w:rPr>
          <w:b/>
          <w:bCs/>
          <w:color w:val="2F4858"/>
        </w:rPr>
        <w:t xml:space="preserve">Q11.  </w:t>
      </w:r>
      <w:r>
        <w:rPr>
          <w:b/>
          <w:bCs/>
        </w:rPr>
        <w:t xml:space="preserve">Where should AVAIA live — its own domain and hosting under AVAIA Enterprises, LLC (kept separate from other projects)? Do you have a domain already?</w:t>
      </w:r>
    </w:p>
    <w:p>
      <w:pPr>
        <w:spacing w:after="100"/>
      </w:pPr>
      <w:r>
        <w:rPr>
          <w:i/>
          <w:iCs/>
          <w:color w:val="6B6459"/>
          <w:sz w:val="20"/>
          <w:szCs w:val="20"/>
        </w:rPr>
        <w:t xml:space="defaul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3C8" w:sz="4"/>
              <w:left w:val="single" w:color="D8D3C8" w:sz="4"/>
              <w:bottom w:val="single" w:color="D8D3C8" w:sz="4"/>
              <w:right w:val="single" w:color="D8D3C8" w:sz="4"/>
            </w:tcBorders>
            <w:shd w:fill="F4F2EC" w:val="clear"/>
            <w:tcMar>
              <w:top w:type="dxa" w:w="120"/>
              <w:left w:type="dxa" w:w="160"/>
              <w:bottom w:type="dxa" w:w="160"/>
              <w:right w:type="dxa" w:w="160"/>
            </w:tcMar>
          </w:tcPr>
          <w:p>
            <w:pPr>
              <w:spacing w:after="40"/>
            </w:pPr>
            <w:r>
              <w:rPr>
                <w:rFonts w:ascii="Arial" w:cs="Arial" w:eastAsia="Arial" w:hAnsi="Arial"/>
                <w:b/>
                <w:bCs/>
                <w:color w:val="2F4858"/>
                <w:sz w:val="15"/>
                <w:szCs w:val="15"/>
              </w:rPr>
              <w:t xml:space="preserve">ANSWER</w:t>
            </w:r>
          </w:p>
          <w:p>
            <w:r>
              <w:t xml:space="preserve"/>
            </w:r>
          </w:p>
          <w:p>
            <w:r>
              <w:t xml:space="preserve"/>
            </w:r>
          </w:p>
          <w:p>
            <w:r>
              <w:t xml:space="preserve"/>
            </w:r>
          </w:p>
        </w:tc>
      </w:tr>
    </w:tbl>
    <w:p>
      <w:r>
        <w:t xml:space="preserve"/>
      </w:r>
    </w:p>
    <w:p>
      <w:pPr>
        <w:spacing w:after="40" w:before="200"/>
      </w:pPr>
      <w:r>
        <w:rPr>
          <w:b/>
          <w:bCs/>
          <w:color w:val="2F4858"/>
        </w:rPr>
        <w:t xml:space="preserve">Q12.  </w:t>
      </w:r>
      <w:r>
        <w:rPr>
          <w:b/>
          <w:bCs/>
        </w:rPr>
        <w:t xml:space="preserve">Branding assets: please send whatever exists — logo, color codes, fonts, and your Canva materials. We’ll match the platform to them rather than to our placeholder slate-and-parchment look.</w:t>
      </w:r>
    </w:p>
    <w:p>
      <w:pPr>
        <w:spacing w:after="100"/>
      </w:pPr>
      <w:r>
        <w:rPr>
          <w:i/>
          <w:iCs/>
          <w:color w:val="6B6459"/>
          <w:sz w:val="20"/>
          <w:szCs w:val="20"/>
        </w:rPr>
        <w:t xml:space="preserve">Your Q35 direction (grounded, calm, institutional, forest/stone, warm, trustworthy) is a great start; the actual files let us match it exactly.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3C8" w:sz="4"/>
              <w:left w:val="single" w:color="D8D3C8" w:sz="4"/>
              <w:bottom w:val="single" w:color="D8D3C8" w:sz="4"/>
              <w:right w:val="single" w:color="D8D3C8" w:sz="4"/>
            </w:tcBorders>
            <w:shd w:fill="F4F2EC" w:val="clear"/>
            <w:tcMar>
              <w:top w:type="dxa" w:w="120"/>
              <w:left w:type="dxa" w:w="160"/>
              <w:bottom w:type="dxa" w:w="160"/>
              <w:right w:type="dxa" w:w="160"/>
            </w:tcMar>
          </w:tcPr>
          <w:p>
            <w:pPr>
              <w:spacing w:after="40"/>
            </w:pPr>
            <w:r>
              <w:rPr>
                <w:rFonts w:ascii="Arial" w:cs="Arial" w:eastAsia="Arial" w:hAnsi="Arial"/>
                <w:b/>
                <w:bCs/>
                <w:color w:val="2F4858"/>
                <w:sz w:val="15"/>
                <w:szCs w:val="15"/>
              </w:rPr>
              <w:t xml:space="preserve">ANSWER</w:t>
            </w:r>
          </w:p>
          <w:p>
            <w:r>
              <w:t xml:space="preserve"/>
            </w:r>
          </w:p>
          <w:p>
            <w:r>
              <w:t xml:space="preserve"/>
            </w:r>
          </w:p>
        </w:tc>
      </w:tr>
    </w:tbl>
    <w:p>
      <w:r>
        <w:t xml:space="preserve"/>
      </w:r>
    </w:p>
    <w:p>
      <w:pPr>
        <w:spacing w:after="40" w:before="200"/>
      </w:pPr>
      <w:r>
        <w:rPr>
          <w:b/>
          <w:bCs/>
          <w:color w:val="2F4858"/>
        </w:rPr>
        <w:t xml:space="preserve">Q13.  </w:t>
      </w:r>
      <w:r>
        <w:rPr>
          <w:b/>
          <w:bCs/>
        </w:rPr>
        <w:t xml:space="preserve">Trademarks: the Manual marks “Chemistry of Virtue®.” Are there other trademarked names we should display with ® or ™ (AVAIA, GIVE Method, InnerCompass, etc.)?</w:t>
      </w:r>
    </w:p>
    <w:p>
      <w:pPr>
        <w:spacing w:after="100"/>
      </w:pPr>
      <w:r>
        <w:rPr>
          <w:i/>
          <w:iCs/>
          <w:color w:val="6B6459"/>
          <w:sz w:val="20"/>
          <w:szCs w:val="20"/>
        </w:rPr>
        <w:t xml:space="defaul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3C8" w:sz="4"/>
              <w:left w:val="single" w:color="D8D3C8" w:sz="4"/>
              <w:bottom w:val="single" w:color="D8D3C8" w:sz="4"/>
              <w:right w:val="single" w:color="D8D3C8" w:sz="4"/>
            </w:tcBorders>
            <w:shd w:fill="F4F2EC" w:val="clear"/>
            <w:tcMar>
              <w:top w:type="dxa" w:w="120"/>
              <w:left w:type="dxa" w:w="160"/>
              <w:bottom w:type="dxa" w:w="160"/>
              <w:right w:type="dxa" w:w="160"/>
            </w:tcMar>
          </w:tcPr>
          <w:p>
            <w:pPr>
              <w:spacing w:after="40"/>
            </w:pPr>
            <w:r>
              <w:rPr>
                <w:rFonts w:ascii="Arial" w:cs="Arial" w:eastAsia="Arial" w:hAnsi="Arial"/>
                <w:b/>
                <w:bCs/>
                <w:color w:val="2F4858"/>
                <w:sz w:val="15"/>
                <w:szCs w:val="15"/>
              </w:rPr>
              <w:t xml:space="preserve">ANSWER</w:t>
            </w:r>
          </w:p>
          <w:p>
            <w:r>
              <w:t xml:space="preserve"/>
            </w:r>
          </w:p>
          <w:p>
            <w:r>
              <w:t xml:space="preserve"/>
            </w:r>
          </w:p>
          <w:p>
            <w:r>
              <w:t xml:space="preserve"/>
            </w:r>
          </w:p>
        </w:tc>
      </w:tr>
    </w:tbl>
    <w:p>
      <w:r>
        <w:t xml:space="preserve"/>
      </w:r>
    </w:p>
    <w:p>
      <w:r>
        <w:br w:type="page"/>
      </w:r>
    </w:p>
    <w:p>
      <w:pPr>
        <w:pStyle w:val="Heading1"/>
      </w:pPr>
      <w:r>
        <w:t xml:space="preserve">F.  Materials to Send (Checklist)</w:t>
      </w:r>
    </w:p>
    <w:p>
      <w:pPr>
        <w:spacing w:after="160"/>
      </w:pPr>
      <w:r>
        <w:rPr>
          <w:i/>
          <w:iCs/>
          <w:color w:val="6B6459"/>
        </w:rPr>
        <w:t xml:space="preserve">Anything here shortcuts the questions above. Check off what you can send; note what doesn’t exist yet.</w:t>
      </w:r>
    </w:p>
    <w:p>
      <w:pPr>
        <w:pStyle w:val="ListParagraph"/>
        <w:numPr>
          <w:ilvl w:val="0"/>
          <w:numId w:val="2"/>
        </w:numPr>
        <w:spacing w:after="40"/>
      </w:pPr>
      <w:r>
        <w:rPr>
          <w:b w:val="false"/>
          <w:bCs w:val="false"/>
        </w:rPr>
        <w:t xml:space="preserve">Original IAP / CAT / InnerCompass GPT instruction sets (the prompts behind the tools)</w:t>
      </w:r>
    </w:p>
    <w:p>
      <w:pPr>
        <w:pStyle w:val="ListParagraph"/>
        <w:numPr>
          <w:ilvl w:val="0"/>
          <w:numId w:val="2"/>
        </w:numPr>
        <w:spacing w:after="40"/>
      </w:pPr>
      <w:r>
        <w:rPr>
          <w:b w:val="false"/>
          <w:bCs w:val="false"/>
        </w:rPr>
        <w:t xml:space="preserve">The official Chemistry of Virtue table with symbols (Canva or spreadsheet)</w:t>
      </w:r>
    </w:p>
    <w:p>
      <w:pPr>
        <w:pStyle w:val="ListParagraph"/>
        <w:numPr>
          <w:ilvl w:val="0"/>
          <w:numId w:val="2"/>
        </w:numPr>
        <w:spacing w:after="40"/>
      </w:pPr>
      <w:r>
        <w:rPr>
          <w:b w:val="false"/>
          <w:bCs w:val="false"/>
        </w:rPr>
        <w:t xml:space="preserve">Any existing virtue formulas (real examples)</w:t>
      </w:r>
    </w:p>
    <w:p>
      <w:pPr>
        <w:pStyle w:val="ListParagraph"/>
        <w:numPr>
          <w:ilvl w:val="0"/>
          <w:numId w:val="2"/>
        </w:numPr>
        <w:spacing w:after="40"/>
      </w:pPr>
      <w:r>
        <w:rPr>
          <w:b w:val="false"/>
          <w:bCs w:val="false"/>
        </w:rPr>
        <w:t xml:space="preserve">Logo, brand colors, fonts, and Canva brand assets</w:t>
      </w:r>
    </w:p>
    <w:p>
      <w:pPr>
        <w:pStyle w:val="ListParagraph"/>
        <w:numPr>
          <w:ilvl w:val="0"/>
          <w:numId w:val="2"/>
        </w:numPr>
        <w:spacing w:after="40"/>
      </w:pPr>
      <w:r>
        <w:rPr>
          <w:b w:val="false"/>
          <w:bCs w:val="false"/>
        </w:rPr>
        <w:t xml:space="preserve">Defying Grief program materials (lessons / structure), when ready</w:t>
      </w:r>
    </w:p>
    <w:p>
      <w:pPr>
        <w:pStyle w:val="ListParagraph"/>
        <w:numPr>
          <w:ilvl w:val="0"/>
          <w:numId w:val="2"/>
        </w:numPr>
        <w:spacing w:after="40"/>
      </w:pPr>
      <w:r>
        <w:rPr>
          <w:b w:val="false"/>
          <w:bCs w:val="false"/>
        </w:rPr>
        <w:t xml:space="preserve">Any referral, session-summary, or report templates you already use</w:t>
      </w:r>
    </w:p>
    <w:p>
      <w:pPr>
        <w:pStyle w:val="ListParagraph"/>
        <w:numPr>
          <w:ilvl w:val="0"/>
          <w:numId w:val="2"/>
        </w:numPr>
        <w:spacing w:after="40"/>
      </w:pPr>
      <w:r>
        <w:rPr>
          <w:b w:val="false"/>
          <w:bCs w:val="false"/>
        </w:rPr>
        <w:t xml:space="preserve">Trademark / legal notes on names to protect</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3C8" w:sz="4"/>
              <w:left w:val="single" w:color="D8D3C8" w:sz="4"/>
              <w:bottom w:val="single" w:color="D8D3C8" w:sz="4"/>
              <w:right w:val="single" w:color="D8D3C8" w:sz="4"/>
            </w:tcBorders>
            <w:shd w:fill="F4F2EC" w:val="clear"/>
            <w:tcMar>
              <w:top w:type="dxa" w:w="120"/>
              <w:left w:type="dxa" w:w="160"/>
              <w:bottom w:type="dxa" w:w="160"/>
              <w:right w:type="dxa" w:w="160"/>
            </w:tcMar>
          </w:tcPr>
          <w:p>
            <w:pPr>
              <w:spacing w:after="40"/>
            </w:pPr>
            <w:r>
              <w:rPr>
                <w:rFonts w:ascii="Arial" w:cs="Arial" w:eastAsia="Arial" w:hAnsi="Arial"/>
                <w:b/>
                <w:bCs/>
                <w:color w:val="2F4858"/>
                <w:sz w:val="15"/>
                <w:szCs w:val="15"/>
              </w:rPr>
              <w:t xml:space="preserve">NOTES ON MATERIALS</w:t>
            </w:r>
          </w:p>
          <w:p>
            <w:r>
              <w:t xml:space="preserve"/>
            </w:r>
          </w:p>
          <w:p>
            <w:r>
              <w:t xml:space="preserve"/>
            </w:r>
          </w:p>
          <w:p>
            <w:r>
              <w:t xml:space="preserve"/>
            </w:r>
          </w:p>
          <w:p>
            <w:r>
              <w:t xml:space="preserve"/>
            </w:r>
          </w:p>
        </w:tc>
      </w:tr>
    </w:tbl>
    <w:p>
      <w:r>
        <w:br w:type="page"/>
      </w:r>
    </w:p>
    <w:p>
      <w:pPr>
        <w:pStyle w:val="Heading1"/>
      </w:pPr>
      <w:r>
        <w:t xml:space="preserve">G.  Anything Else</w:t>
      </w:r>
    </w:p>
    <w:p>
      <w:pPr>
        <w:spacing w:after="160"/>
      </w:pPr>
      <w:r>
        <w:rPr>
          <w:i/>
          <w:iCs/>
          <w:color w:val="6B6459"/>
        </w:rPr>
        <w:t xml:space="preserve">Corrections to anything we’ve assumed, priorities we should know, or parts of the vision still forming.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3C8" w:sz="4"/>
              <w:left w:val="single" w:color="D8D3C8" w:sz="4"/>
              <w:bottom w:val="single" w:color="D8D3C8" w:sz="4"/>
              <w:right w:val="single" w:color="D8D3C8" w:sz="4"/>
            </w:tcBorders>
            <w:shd w:fill="F4F2EC" w:val="clear"/>
            <w:tcMar>
              <w:top w:type="dxa" w:w="120"/>
              <w:left w:type="dxa" w:w="160"/>
              <w:bottom w:type="dxa" w:w="160"/>
              <w:right w:type="dxa" w:w="160"/>
            </w:tcMar>
          </w:tcPr>
          <w:p>
            <w:pPr>
              <w:spacing w:after="40"/>
            </w:pPr>
            <w:r>
              <w:rPr>
                <w:rFonts w:ascii="Arial" w:cs="Arial" w:eastAsia="Arial" w:hAnsi="Arial"/>
                <w:b/>
                <w:bCs/>
                <w:color w:val="2F4858"/>
                <w:sz w:val="15"/>
                <w:szCs w:val="15"/>
              </w:rPr>
              <w:t xml:space="preserve">NOTES</w:t>
            </w:r>
          </w:p>
          <w:p>
            <w:r>
              <w:t xml:space="preserve"/>
            </w:r>
          </w:p>
          <w:p>
            <w:r>
              <w:t xml:space="preserve"/>
            </w:r>
          </w:p>
          <w:p>
            <w:r>
              <w:t xml:space="preserve"/>
            </w:r>
          </w:p>
          <w:p>
            <w:r>
              <w:t xml:space="preserve"/>
            </w:r>
          </w:p>
          <w:p>
            <w:r>
              <w:t xml:space="preserve"/>
            </w:r>
          </w:p>
          <w:p>
            <w:r>
              <w:t xml:space="preserve"/>
            </w:r>
          </w:p>
          <w:p>
            <w:r>
              <w:t xml:space="preserve"/>
            </w:r>
          </w:p>
          <w:p>
            <w:r>
              <w:t xml:space="preserve"/>
            </w:r>
          </w:p>
        </w:tc>
      </w:tr>
    </w:tbl>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8D3C8" w:sz="4" w:space="6"/>
      </w:pBdr>
      <w:jc w:val="center"/>
    </w:pPr>
    <w:r>
      <w:rPr>
        <w:rFonts w:ascii="Arial" w:cs="Arial" w:eastAsia="Arial" w:hAnsi="Arial"/>
        <w:color w:val="6B6459"/>
        <w:sz w:val="16"/>
        <w:szCs w:val="16"/>
      </w:rPr>
      <w:t xml:space="preserve">AVAIA — Build Working Document · Round 2      ·      Page </w:t>
    </w:r>
    <w:r>
      <w:rPr>
        <w:rFonts w:ascii="Arial" w:cs="Arial" w:eastAsia="Arial" w:hAnsi="Arial"/>
        <w:color w:val="6B64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D8D3C8" w:sz="4" w:space="6"/>
      </w:pBdr>
      <w:spacing w:after="160" w:before="240"/>
      <w:outlineLvl w:val="0"/>
    </w:pPr>
    <w:rPr>
      <w:rFonts w:ascii="Georgia" w:cs="Georgia" w:eastAsia="Georgia" w:hAnsi="Georgia"/>
      <w:b/>
      <w:bCs/>
      <w:color w:val="2F4858"/>
      <w:sz w:val="30"/>
      <w:szCs w:val="30"/>
    </w:rPr>
  </w:style>
  <w:style w:type="paragraph" w:styleId="Heading2">
    <w:name w:val="Heading 2"/>
    <w:basedOn w:val="Normal"/>
    <w:next w:val="Normal"/>
    <w:qFormat/>
    <w:pPr>
      <w:spacing w:after="100" w:before="200"/>
      <w:outlineLvl w:val="1"/>
    </w:pPr>
    <w:rPr>
      <w:rFonts w:ascii="Georgia" w:cs="Georgia" w:eastAsia="Georgia" w:hAnsi="Georgia"/>
      <w:b/>
      <w:bCs/>
      <w:color w:val="1A1A1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AVAIA — Build Working Document — Round 2</dc:title>
  <dc:creator>AVAIA build</dc:creator>
  <cp:lastModifiedBy>Un-named</cp:lastModifiedBy>
  <cp:revision>1</cp:revision>
  <dcterms:created xsi:type="dcterms:W3CDTF">2026-07-08T12:37:37.162Z</dcterms:created>
  <dcterms:modified xsi:type="dcterms:W3CDTF">2026-07-08T12:37:37.332Z</dcterms:modified>
</cp:coreProperties>
</file>

<file path=docProps/custom.xml><?xml version="1.0" encoding="utf-8"?>
<Properties xmlns="http://schemas.openxmlformats.org/officeDocument/2006/custom-properties" xmlns:vt="http://schemas.openxmlformats.org/officeDocument/2006/docPropsVTypes"/>
</file>