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Georgia" w:cs="Georgia" w:eastAsia="Georgia" w:hAnsi="Georgia"/>
          <w:b/>
          <w:bCs/>
          <w:color w:val="2B2622"/>
          <w:sz w:val="56"/>
          <w:szCs w:val="56"/>
        </w:rPr>
        <w:t xml:space="preserve">Avaia</w:t>
      </w:r>
    </w:p>
    <w:p>
      <w:pPr>
        <w:spacing w:after="40"/>
      </w:pPr>
      <w:r>
        <w:rPr>
          <w:rFonts w:ascii="Georgia" w:cs="Georgia" w:eastAsia="Georgia" w:hAnsi="Georgia"/>
          <w:i/>
          <w:iCs/>
          <w:color w:val="A9822F"/>
          <w:sz w:val="22"/>
          <w:szCs w:val="22"/>
        </w:rPr>
        <w:t xml:space="preserve">Clarity starts with integrity</w:t>
      </w:r>
    </w:p>
    <w:p>
      <w:pPr>
        <w:spacing w:after="40"/>
      </w:pPr>
      <w:r>
        <w:rPr>
          <w:rFonts w:ascii="Arial" w:cs="Arial" w:eastAsia="Arial" w:hAnsi="Arial"/>
          <w:b/>
          <w:bCs/>
          <w:color w:val="6B6459"/>
          <w:sz w:val="22"/>
          <w:szCs w:val="22"/>
        </w:rPr>
        <w:t xml:space="preserve">BUILD WORKING DOCUMENT — ROUND 3</w:t>
      </w:r>
    </w:p>
    <w:p>
      <w:pPr>
        <w:pBdr>
          <w:bottom w:val="single" w:color="6B4F1D" w:sz="6" w:space="4"/>
        </w:pBdr>
        <w:spacing w:after="200"/>
      </w:pPr>
      <w:r>
        <w:t xml:space="preserve"/>
      </w:r>
    </w:p>
    <w:p>
      <w:pPr>
        <w:spacing w:after="120"/>
      </w:pPr>
      <w:r>
        <w:rPr>
          <w:b w:val="false"/>
          <w:bCs w:val="false"/>
          <w:i w:val="false"/>
          <w:iCs w:val="false"/>
        </w:rPr>
        <w:t xml:space="preserve">Thank you, Dorian — this last batch moved us a long way. Your Round 2 answers, the three conversation instruction sets (IAP, CAT, InnerCompass), the Standard Referral Format, the official Chemistry of Virtue table, and the Avaia logo together let us lock the platform's foundation and point clearly at the first real build: an AI-guided journey with accounts and a saved Workbook.</w:t>
      </w:r>
    </w:p>
    <w:p>
      <w:pPr>
        <w:spacing w:after="160"/>
      </w:pPr>
      <w:r>
        <w:rPr>
          <w:b w:val="false"/>
          <w:bCs w:val="false"/>
          <w:i w:val="false"/>
          <w:iCs w:val="false"/>
        </w:rPr>
        <w:t xml:space="preserve">This round is mostly about three things: a few small content confirmations, the safety and consent questions that matter before any real person uses an AI that discusses grief and loss, and confirming the exact shape of the first build so we can begin.</w:t>
      </w:r>
    </w:p>
    <w:p>
      <w:pPr>
        <w:pBdr>
          <w:top w:val="single" w:color="1C7A4A" w:sz="4"/>
          <w:bottom w:val="single" w:color="1C7A4A" w:sz="4"/>
          <w:left w:val="single" w:color="1C7A4A" w:sz="4"/>
          <w:right w:val="single" w:color="1C7A4A" w:sz="4"/>
        </w:pBdr>
        <w:shd w:fill="EAF2EC" w:val="clear"/>
        <w:spacing w:after="60" w:before="60"/>
        <w:ind w:left="120" w:right="120"/>
      </w:pPr>
      <w:r>
        <w:rPr>
          <w:rFonts w:ascii="Arial" w:cs="Arial" w:eastAsia="Arial" w:hAnsi="Arial"/>
          <w:b/>
          <w:bCs/>
          <w:color w:val="1C7A4A"/>
          <w:sz w:val="16"/>
          <w:szCs w:val="16"/>
        </w:rPr>
        <w:t xml:space="preserve">RESOLVED THIS ROUND — already applied to the platform</w:t>
      </w:r>
    </w:p>
    <w:p>
      <w:pPr>
        <w:spacing w:after="60"/>
      </w:pPr>
      <w:r>
        <w:rPr>
          <w:b w:val="false"/>
          <w:bCs w:val="false"/>
          <w:i/>
          <w:iCs/>
          <w:color w:val="6B6459"/>
        </w:rPr>
        <w:t xml:space="preserve">123 elements with official 2-letter symbols (unchanged) · virtue-formula framework reserved &amp; shown · distortions reserved as a future capability · Secondary-Loss ↔ Virtue pairing surfaced as reflection · Avaia branding (charcoal + gold, tagline) · Chemistry of Virtue® mark · direction set to AI-guided with accounts + Workbook.</w:t>
      </w:r>
    </w:p>
    <w:p>
      <w:r>
        <w:t xml:space="preserve"/>
      </w:r>
    </w:p>
    <w:p>
      <w:r>
        <w:br w:type="page"/>
      </w:r>
    </w:p>
    <w:p>
      <w:pPr>
        <w:pStyle w:val="Heading1"/>
      </w:pPr>
      <w:r>
        <w:t xml:space="preserve">A.  Small Confirmations &amp; Two Possible Typos</w:t>
      </w:r>
    </w:p>
    <w:p>
      <w:pPr>
        <w:spacing w:after="160"/>
      </w:pPr>
      <w:r>
        <w:rPr>
          <w:i/>
          <w:iCs/>
          <w:color w:val="6B6459"/>
        </w:rPr>
        <w:t xml:space="preserve">Quick items so we don't carry a small error into the whole build.</w:t>
      </w:r>
    </w:p>
    <w:p>
      <w:pPr>
        <w:spacing w:after="40" w:before="200"/>
      </w:pPr>
      <w:r>
        <w:rPr>
          <w:b/>
          <w:bCs/>
          <w:color w:val="6B4F1D"/>
        </w:rPr>
        <w:t xml:space="preserve">Q1.  </w:t>
      </w:r>
      <w:r>
        <w:rPr>
          <w:b/>
          <w:bCs/>
        </w:rPr>
        <w:t xml:space="preserve">Spelling of the name: the logo reads “Avaia,” but every manual and instruction set writes “AVAIA.” Which is correct for on-screen text — “Avaia,” “AVAIA,” or both (e.g., logo styled ‘Avaia,’ prose ‘AVAIA’)?</w:t>
      </w:r>
    </w:p>
    <w:p>
      <w:pPr>
        <w:spacing w:after="100"/>
      </w:pPr>
      <w:r>
        <w:rPr>
          <w:i/>
          <w:iCs/>
          <w:color w:val="6B6459"/>
          <w:sz w:val="20"/>
          <w:szCs w:val="20"/>
        </w:rPr>
        <w:t xml:space="preserve">We’ve used the logo spelling “Avaia” for the wordmark. Just want the canonical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C6" w:sz="4"/>
              <w:left w:val="single" w:color="DDD6C6" w:sz="4"/>
              <w:bottom w:val="single" w:color="DDD6C6" w:sz="4"/>
              <w:right w:val="single" w:color="DDD6C6" w:sz="4"/>
            </w:tcBorders>
            <w:shd w:fill="F4F2EC" w:val="clear"/>
            <w:tcMar>
              <w:top w:type="dxa" w:w="120"/>
              <w:left w:type="dxa" w:w="160"/>
              <w:bottom w:type="dxa" w:w="160"/>
              <w:right w:type="dxa" w:w="160"/>
            </w:tcMar>
          </w:tcPr>
          <w:p>
            <w:pPr>
              <w:spacing w:after="40"/>
            </w:pPr>
            <w:r>
              <w:rPr>
                <w:rFonts w:ascii="Arial" w:cs="Arial" w:eastAsia="Arial" w:hAnsi="Arial"/>
                <w:b/>
                <w:bCs/>
                <w:color w:val="6B4F1D"/>
                <w:sz w:val="15"/>
                <w:szCs w:val="15"/>
              </w:rPr>
              <w:t xml:space="preserve">ANSWER</w:t>
            </w:r>
          </w:p>
          <w:p>
            <w:r>
              <w:t xml:space="preserve"/>
            </w:r>
          </w:p>
          <w:p>
            <w:r>
              <w:t xml:space="preserve"/>
            </w:r>
          </w:p>
        </w:tc>
      </w:tr>
    </w:tbl>
    <w:p>
      <w:r>
        <w:t xml:space="preserve"/>
      </w:r>
    </w:p>
    <w:p>
      <w:pPr>
        <w:spacing w:after="40" w:before="200"/>
      </w:pPr>
      <w:r>
        <w:rPr>
          <w:b/>
          <w:bCs/>
          <w:color w:val="6B4F1D"/>
        </w:rPr>
        <w:t xml:space="preserve">Q2.  </w:t>
      </w:r>
      <w:r>
        <w:rPr>
          <w:b/>
          <w:bCs/>
        </w:rPr>
        <w:t xml:space="preserve">On the official Chemistry of Virtue table, one Love-family tile reads “Sy / Percipience.” Percipience already appears in Wisdom (Pc), and the Love family lists “Sympathy.” Should that tile be “Sy / Sympathy”?</w:t>
      </w:r>
    </w:p>
    <w:p>
      <w:pPr>
        <w:spacing w:after="100"/>
      </w:pPr>
      <w:r>
        <w:rPr>
          <w:i/>
          <w:iCs/>
          <w:color w:val="6B6459"/>
          <w:sz w:val="20"/>
          <w:szCs w:val="20"/>
        </w:rPr>
        <w:t xml:space="preserve">We’ve treated it as Sympathy (Sy) for now. Please confirm or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C6" w:sz="4"/>
              <w:left w:val="single" w:color="DDD6C6" w:sz="4"/>
              <w:bottom w:val="single" w:color="DDD6C6" w:sz="4"/>
              <w:right w:val="single" w:color="DDD6C6" w:sz="4"/>
            </w:tcBorders>
            <w:shd w:fill="F4F2EC" w:val="clear"/>
            <w:tcMar>
              <w:top w:type="dxa" w:w="120"/>
              <w:left w:type="dxa" w:w="160"/>
              <w:bottom w:type="dxa" w:w="160"/>
              <w:right w:type="dxa" w:w="160"/>
            </w:tcMar>
          </w:tcPr>
          <w:p>
            <w:pPr>
              <w:spacing w:after="40"/>
            </w:pPr>
            <w:r>
              <w:rPr>
                <w:rFonts w:ascii="Arial" w:cs="Arial" w:eastAsia="Arial" w:hAnsi="Arial"/>
                <w:b/>
                <w:bCs/>
                <w:color w:val="6B4F1D"/>
                <w:sz w:val="15"/>
                <w:szCs w:val="15"/>
              </w:rPr>
              <w:t xml:space="preserve">ANSWER</w:t>
            </w:r>
          </w:p>
          <w:p>
            <w:r>
              <w:t xml:space="preserve"/>
            </w:r>
          </w:p>
          <w:p>
            <w:r>
              <w:t xml:space="preserve"/>
            </w:r>
          </w:p>
        </w:tc>
      </w:tr>
    </w:tbl>
    <w:p>
      <w:r>
        <w:t xml:space="preserve"/>
      </w:r>
    </w:p>
    <w:p>
      <w:pPr>
        <w:spacing w:after="40" w:before="200"/>
      </w:pPr>
      <w:r>
        <w:rPr>
          <w:b/>
          <w:bCs/>
          <w:color w:val="6B4F1D"/>
        </w:rPr>
        <w:t xml:space="preserve">Q3.  </w:t>
      </w:r>
      <w:r>
        <w:rPr>
          <w:b/>
          <w:bCs/>
        </w:rPr>
        <w:t xml:space="preserve">The IAP instructions have a heading “Secondary Loss and Audacity Identification.” Is “Audacity” the intended term, or a typo (for example, for identifying claims / governing narratives)? What word did you intend?</w:t>
      </w:r>
    </w:p>
    <w:p>
      <w:pPr>
        <w:spacing w:after="100"/>
      </w:pPr>
      <w:r>
        <w:rPr>
          <w:i/>
          <w:iCs/>
          <w:color w:val="6B6459"/>
          <w:sz w:val="20"/>
          <w:szCs w:val="20"/>
        </w:rPr>
        <w:t xml:space="defaul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C6" w:sz="4"/>
              <w:left w:val="single" w:color="DDD6C6" w:sz="4"/>
              <w:bottom w:val="single" w:color="DDD6C6" w:sz="4"/>
              <w:right w:val="single" w:color="DDD6C6" w:sz="4"/>
            </w:tcBorders>
            <w:shd w:fill="F4F2EC" w:val="clear"/>
            <w:tcMar>
              <w:top w:type="dxa" w:w="120"/>
              <w:left w:type="dxa" w:w="160"/>
              <w:bottom w:type="dxa" w:w="160"/>
              <w:right w:type="dxa" w:w="160"/>
            </w:tcMar>
          </w:tcPr>
          <w:p>
            <w:pPr>
              <w:spacing w:after="40"/>
            </w:pPr>
            <w:r>
              <w:rPr>
                <w:rFonts w:ascii="Arial" w:cs="Arial" w:eastAsia="Arial" w:hAnsi="Arial"/>
                <w:b/>
                <w:bCs/>
                <w:color w:val="6B4F1D"/>
                <w:sz w:val="15"/>
                <w:szCs w:val="15"/>
              </w:rPr>
              <w:t xml:space="preserve">ANSWER</w:t>
            </w:r>
          </w:p>
          <w:p>
            <w:r>
              <w:t xml:space="preserve"/>
            </w:r>
          </w:p>
          <w:p>
            <w:r>
              <w:t xml:space="preserve"/>
            </w:r>
          </w:p>
          <w:p>
            <w:r>
              <w:t xml:space="preserve"/>
            </w:r>
          </w:p>
        </w:tc>
      </w:tr>
    </w:tbl>
    <w:p>
      <w:r>
        <w:t xml:space="preserve"/>
      </w:r>
    </w:p>
    <w:p>
      <w:pPr>
        <w:spacing w:after="40" w:before="200"/>
      </w:pPr>
      <w:r>
        <w:rPr>
          <w:b/>
          <w:bCs/>
          <w:color w:val="6B4F1D"/>
        </w:rPr>
        <w:t xml:space="preserve">Q4.  </w:t>
      </w:r>
      <w:r>
        <w:rPr>
          <w:b/>
          <w:bCs/>
        </w:rPr>
        <w:t xml:space="preserve">The Chemistry of Virtue® mark: you noted registration may have lapsed. Should we keep showing the ® on it for now, switch to ™, or show no mark until it’s re-registered?</w:t>
      </w:r>
    </w:p>
    <w:p>
      <w:pPr>
        <w:spacing w:after="100"/>
      </w:pPr>
      <w:r>
        <w:rPr>
          <w:i/>
          <w:iCs/>
          <w:color w:val="6B6459"/>
          <w:sz w:val="20"/>
          <w:szCs w:val="20"/>
        </w:rPr>
        <w:t xml:space="defaul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C6" w:sz="4"/>
              <w:left w:val="single" w:color="DDD6C6" w:sz="4"/>
              <w:bottom w:val="single" w:color="DDD6C6" w:sz="4"/>
              <w:right w:val="single" w:color="DDD6C6" w:sz="4"/>
            </w:tcBorders>
            <w:shd w:fill="F4F2EC" w:val="clear"/>
            <w:tcMar>
              <w:top w:type="dxa" w:w="120"/>
              <w:left w:type="dxa" w:w="160"/>
              <w:bottom w:type="dxa" w:w="160"/>
              <w:right w:type="dxa" w:w="160"/>
            </w:tcMar>
          </w:tcPr>
          <w:p>
            <w:pPr>
              <w:spacing w:after="40"/>
            </w:pPr>
            <w:r>
              <w:rPr>
                <w:rFonts w:ascii="Arial" w:cs="Arial" w:eastAsia="Arial" w:hAnsi="Arial"/>
                <w:b/>
                <w:bCs/>
                <w:color w:val="6B4F1D"/>
                <w:sz w:val="15"/>
                <w:szCs w:val="15"/>
              </w:rPr>
              <w:t xml:space="preserve">ANSWER</w:t>
            </w:r>
          </w:p>
          <w:p>
            <w:r>
              <w:t xml:space="preserve"/>
            </w:r>
          </w:p>
          <w:p>
            <w:r>
              <w:t xml:space="preserve"/>
            </w:r>
          </w:p>
          <w:p>
            <w:r>
              <w:t xml:space="preserve"/>
            </w:r>
          </w:p>
        </w:tc>
      </w:tr>
    </w:tbl>
    <w:p>
      <w:r>
        <w:t xml:space="preserve"/>
      </w:r>
    </w:p>
    <w:p>
      <w:r>
        <w:br w:type="page"/>
      </w:r>
    </w:p>
    <w:p>
      <w:pPr>
        <w:pStyle w:val="Heading1"/>
      </w:pPr>
      <w:r>
        <w:t xml:space="preserve">B.  The “Continuity” Stage</w:t>
      </w:r>
    </w:p>
    <w:p>
      <w:pPr>
        <w:spacing w:after="160"/>
      </w:pPr>
      <w:r>
        <w:rPr>
          <w:i/>
          <w:iCs/>
          <w:color w:val="6B6459"/>
        </w:rPr>
        <w:t xml:space="preserve">The instruction sets and referral format point to a stage after InnerCompass called Continuity (“IAP → CAT → InnerCompass → Continuity,” “Continuity preserves Wisdom,” “InnerCompass → Continuity”). We modeled Workbook + Continued Participation, but Continuity may be its own thing.</w:t>
      </w:r>
    </w:p>
    <w:p>
      <w:pPr>
        <w:spacing w:after="40" w:before="200"/>
      </w:pPr>
      <w:r>
        <w:rPr>
          <w:b/>
          <w:bCs/>
          <w:color w:val="6B4F1D"/>
        </w:rPr>
        <w:t xml:space="preserve">Q5.  </w:t>
      </w:r>
      <w:r>
        <w:rPr>
          <w:b/>
          <w:bCs/>
        </w:rPr>
        <w:t xml:space="preserve">What is Continuity? Is it (a) a fifth conversation module with its own instruction set, or (b) the Workbook + ongoing-participation layer that preserves wisdom and lets a Host return later?</w:t>
      </w:r>
    </w:p>
    <w:p>
      <w:pPr>
        <w:spacing w:after="100"/>
      </w:pPr>
      <w:r>
        <w:rPr>
          <w:i/>
          <w:iCs/>
          <w:color w:val="6B6459"/>
          <w:sz w:val="20"/>
          <w:szCs w:val="20"/>
        </w:rPr>
        <w:t xml:space="preserve">If (a), please send the Continuity instruction set when you can. If (b), describe how a Host “continues” — a later check-in, a fresh IAP down the road, a periodic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C6" w:sz="4"/>
              <w:left w:val="single" w:color="DDD6C6" w:sz="4"/>
              <w:bottom w:val="single" w:color="DDD6C6" w:sz="4"/>
              <w:right w:val="single" w:color="DDD6C6" w:sz="4"/>
            </w:tcBorders>
            <w:shd w:fill="F4F2EC" w:val="clear"/>
            <w:tcMar>
              <w:top w:type="dxa" w:w="120"/>
              <w:left w:type="dxa" w:w="160"/>
              <w:bottom w:type="dxa" w:w="160"/>
              <w:right w:type="dxa" w:w="160"/>
            </w:tcMar>
          </w:tcPr>
          <w:p>
            <w:pPr>
              <w:spacing w:after="40"/>
            </w:pPr>
            <w:r>
              <w:rPr>
                <w:rFonts w:ascii="Arial" w:cs="Arial" w:eastAsia="Arial" w:hAnsi="Arial"/>
                <w:b/>
                <w:bCs/>
                <w:color w:val="6B4F1D"/>
                <w:sz w:val="15"/>
                <w:szCs w:val="15"/>
              </w:rPr>
              <w:t xml:space="preserve">ANSWER</w:t>
            </w:r>
          </w:p>
          <w:p>
            <w:r>
              <w:t xml:space="preserve"/>
            </w:r>
          </w:p>
          <w:p>
            <w:r>
              <w:t xml:space="preserve"/>
            </w:r>
          </w:p>
          <w:p>
            <w:r>
              <w:t xml:space="preserve"/>
            </w:r>
          </w:p>
          <w:p>
            <w:r>
              <w:t xml:space="preserve"/>
            </w:r>
          </w:p>
        </w:tc>
      </w:tr>
    </w:tbl>
    <w:p>
      <w:r>
        <w:t xml:space="preserve"/>
      </w:r>
    </w:p>
    <w:p>
      <w:r>
        <w:br w:type="page"/>
      </w:r>
    </w:p>
    <w:p>
      <w:pPr>
        <w:pStyle w:val="Heading1"/>
      </w:pPr>
      <w:r>
        <w:t xml:space="preserve">C.  Safety, Consent &amp; Disclaimers</w:t>
      </w:r>
    </w:p>
    <w:p>
      <w:pPr>
        <w:spacing w:after="160"/>
      </w:pPr>
      <w:r>
        <w:rPr>
          <w:i/>
          <w:iCs/>
          <w:color w:val="6B6459"/>
        </w:rPr>
        <w:t xml:space="preserve">Avaia is explicitly not therapy or treatment, and its first version will talk with people about grief, loss, and disruption. A few protections need your direction before any real Host uses it.</w:t>
      </w:r>
    </w:p>
    <w:p>
      <w:pPr>
        <w:pBdr>
          <w:top w:val="single" w:color="8f1d1d" w:sz="4"/>
          <w:bottom w:val="single" w:color="8f1d1d" w:sz="4"/>
          <w:left w:val="single" w:color="8f1d1d" w:sz="12"/>
          <w:right w:val="single" w:color="8f1d1d" w:sz="4"/>
        </w:pBdr>
        <w:shd w:fill="FBF7EE" w:val="clear"/>
        <w:spacing w:after="120" w:before="80"/>
        <w:ind w:left="140" w:right="140"/>
      </w:pPr>
      <w:r>
        <w:rPr>
          <w:rFonts w:ascii="Arial" w:cs="Arial" w:eastAsia="Arial" w:hAnsi="Arial"/>
          <w:b/>
          <w:bCs/>
          <w:color w:val="8f1d1d"/>
          <w:sz w:val="18"/>
          <w:szCs w:val="18"/>
        </w:rPr>
        <w:t xml:space="preserve">IMPORTANT  </w:t>
      </w:r>
      <w:r>
        <w:rPr>
          <w:color w:val="8f1d1d"/>
        </w:rPr>
        <w:t xml:space="preserve">We strongly recommend a built-in crisis-response protocol before launch. This is the one item we would not ship without.</w:t>
      </w:r>
    </w:p>
    <w:p>
      <w:pPr>
        <w:spacing w:after="40" w:before="200"/>
      </w:pPr>
      <w:r>
        <w:rPr>
          <w:b/>
          <w:bCs/>
          <w:color w:val="6B4F1D"/>
        </w:rPr>
        <w:t xml:space="preserve">Q6.  </w:t>
      </w:r>
      <w:r>
        <w:rPr>
          <w:b/>
          <w:bCs/>
        </w:rPr>
        <w:t xml:space="preserve">Crisis handling: if a Host discloses risk of self-harm, harm to others, or abuse, how should the AI respond? Our recommendation: gently step out of the method, express care, surface crisis resources, and encourage contacting emergency services or a crisis line — without attempting to counsel or treat. What resources and wording do you want, and for which country/region (e.g., in the U.S., the 988 Suicide &amp; Crisis Lifeline)?</w:t>
      </w:r>
    </w:p>
    <w:p>
      <w:pPr>
        <w:spacing w:after="100"/>
      </w:pPr>
      <w:r>
        <w:rPr>
          <w:i/>
          <w:iCs/>
          <w:color w:val="6B6459"/>
          <w:sz w:val="20"/>
          <w:szCs w:val="20"/>
        </w:rPr>
        <w:t xml:space="preserve">Please give us the exact resource(s) and any wording you want the AI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C6" w:sz="4"/>
              <w:left w:val="single" w:color="DDD6C6" w:sz="4"/>
              <w:bottom w:val="single" w:color="DDD6C6" w:sz="4"/>
              <w:right w:val="single" w:color="DDD6C6" w:sz="4"/>
            </w:tcBorders>
            <w:shd w:fill="F4F2EC" w:val="clear"/>
            <w:tcMar>
              <w:top w:type="dxa" w:w="120"/>
              <w:left w:type="dxa" w:w="160"/>
              <w:bottom w:type="dxa" w:w="160"/>
              <w:right w:type="dxa" w:w="160"/>
            </w:tcMar>
          </w:tcPr>
          <w:p>
            <w:pPr>
              <w:spacing w:after="40"/>
            </w:pPr>
            <w:r>
              <w:rPr>
                <w:rFonts w:ascii="Arial" w:cs="Arial" w:eastAsia="Arial" w:hAnsi="Arial"/>
                <w:b/>
                <w:bCs/>
                <w:color w:val="6B4F1D"/>
                <w:sz w:val="15"/>
                <w:szCs w:val="15"/>
              </w:rPr>
              <w:t xml:space="preserve">ANSWER</w:t>
            </w:r>
          </w:p>
          <w:p>
            <w:r>
              <w:t xml:space="preserve"/>
            </w:r>
          </w:p>
          <w:p>
            <w:r>
              <w:t xml:space="preserve"/>
            </w:r>
          </w:p>
          <w:p>
            <w:r>
              <w:t xml:space="preserve"/>
            </w:r>
          </w:p>
          <w:p>
            <w:r>
              <w:t xml:space="preserve"/>
            </w:r>
          </w:p>
        </w:tc>
      </w:tr>
    </w:tbl>
    <w:p>
      <w:r>
        <w:t xml:space="preserve"/>
      </w:r>
    </w:p>
    <w:p>
      <w:pPr>
        <w:spacing w:after="40" w:before="200"/>
      </w:pPr>
      <w:r>
        <w:rPr>
          <w:b/>
          <w:bCs/>
          <w:color w:val="6B4F1D"/>
        </w:rPr>
        <w:t xml:space="preserve">Q7.  </w:t>
      </w:r>
      <w:r>
        <w:rPr>
          <w:b/>
          <w:bCs/>
        </w:rPr>
        <w:t xml:space="preserve">Disclaimer wording — do you approve this draft (edit freely)?</w:t>
      </w:r>
    </w:p>
    <w:p>
      <w:pPr>
        <w:spacing w:after="100"/>
      </w:pPr>
      <w:r>
        <w:rPr>
          <w:i/>
          <w:iCs/>
          <w:color w:val="6B6459"/>
          <w:sz w:val="20"/>
          <w:szCs w:val="20"/>
        </w:rPr>
        <w:t xml:space="preserve">Draft: “Avaia offers guided, virtue-centered conversations to support understanding and intentional participation. It is not therapy, counseling, medical, legal, or crisis care, and it does not diagnose, treat, or provide professional advice. You remain the owner of your story and every decision. If you are in crisis or may be a danger to yourself or others, contact your local emergency number or a crisis line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C6" w:sz="4"/>
              <w:left w:val="single" w:color="DDD6C6" w:sz="4"/>
              <w:bottom w:val="single" w:color="DDD6C6" w:sz="4"/>
              <w:right w:val="single" w:color="DDD6C6" w:sz="4"/>
            </w:tcBorders>
            <w:shd w:fill="F4F2EC" w:val="clear"/>
            <w:tcMar>
              <w:top w:type="dxa" w:w="120"/>
              <w:left w:type="dxa" w:w="160"/>
              <w:bottom w:type="dxa" w:w="160"/>
              <w:right w:type="dxa" w:w="160"/>
            </w:tcMar>
          </w:tcPr>
          <w:p>
            <w:pPr>
              <w:spacing w:after="40"/>
            </w:pPr>
            <w:r>
              <w:rPr>
                <w:rFonts w:ascii="Arial" w:cs="Arial" w:eastAsia="Arial" w:hAnsi="Arial"/>
                <w:b/>
                <w:bCs/>
                <w:color w:val="6B4F1D"/>
                <w:sz w:val="15"/>
                <w:szCs w:val="15"/>
              </w:rPr>
              <w:t xml:space="preserve">ANSWER</w:t>
            </w:r>
          </w:p>
          <w:p>
            <w:r>
              <w:t xml:space="preserve"/>
            </w:r>
          </w:p>
          <w:p>
            <w:r>
              <w:t xml:space="preserve"/>
            </w:r>
          </w:p>
          <w:p>
            <w:r>
              <w:t xml:space="preserve"/>
            </w:r>
          </w:p>
          <w:p>
            <w:r>
              <w:t xml:space="preserve"/>
            </w:r>
          </w:p>
        </w:tc>
      </w:tr>
    </w:tbl>
    <w:p>
      <w:r>
        <w:t xml:space="preserve"/>
      </w:r>
    </w:p>
    <w:p>
      <w:pPr>
        <w:spacing w:after="40" w:before="200"/>
      </w:pPr>
      <w:r>
        <w:rPr>
          <w:b/>
          <w:bCs/>
          <w:color w:val="6B4F1D"/>
        </w:rPr>
        <w:t xml:space="preserve">Q8.  </w:t>
      </w:r>
      <w:r>
        <w:rPr>
          <w:b/>
          <w:bCs/>
        </w:rPr>
        <w:t xml:space="preserve">Eligibility: is there a minimum age for a Host, and are there any people or situations that should NOT use the AI-guided version (and be directed to a human instead)?</w:t>
      </w:r>
    </w:p>
    <w:p>
      <w:pPr>
        <w:spacing w:after="100"/>
      </w:pPr>
      <w:r>
        <w:rPr>
          <w:i/>
          <w:iCs/>
          <w:color w:val="6B6459"/>
          <w:sz w:val="20"/>
          <w:szCs w:val="20"/>
        </w:rPr>
        <w:t xml:space="defaul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C6" w:sz="4"/>
              <w:left w:val="single" w:color="DDD6C6" w:sz="4"/>
              <w:bottom w:val="single" w:color="DDD6C6" w:sz="4"/>
              <w:right w:val="single" w:color="DDD6C6" w:sz="4"/>
            </w:tcBorders>
            <w:shd w:fill="F4F2EC" w:val="clear"/>
            <w:tcMar>
              <w:top w:type="dxa" w:w="120"/>
              <w:left w:type="dxa" w:w="160"/>
              <w:bottom w:type="dxa" w:w="160"/>
              <w:right w:type="dxa" w:w="160"/>
            </w:tcMar>
          </w:tcPr>
          <w:p>
            <w:pPr>
              <w:spacing w:after="40"/>
            </w:pPr>
            <w:r>
              <w:rPr>
                <w:rFonts w:ascii="Arial" w:cs="Arial" w:eastAsia="Arial" w:hAnsi="Arial"/>
                <w:b/>
                <w:bCs/>
                <w:color w:val="6B4F1D"/>
                <w:sz w:val="15"/>
                <w:szCs w:val="15"/>
              </w:rPr>
              <w:t xml:space="preserve">ANSWER</w:t>
            </w:r>
          </w:p>
          <w:p>
            <w:r>
              <w:t xml:space="preserve"/>
            </w:r>
          </w:p>
          <w:p>
            <w:r>
              <w:t xml:space="preserve"/>
            </w:r>
          </w:p>
          <w:p>
            <w:r>
              <w:t xml:space="preserve"/>
            </w:r>
          </w:p>
        </w:tc>
      </w:tr>
    </w:tbl>
    <w:p>
      <w:r>
        <w:t xml:space="preserve"/>
      </w:r>
    </w:p>
    <w:p>
      <w:r>
        <w:br w:type="page"/>
      </w:r>
    </w:p>
    <w:p>
      <w:pPr>
        <w:pStyle w:val="Heading1"/>
      </w:pPr>
      <w:r>
        <w:t xml:space="preserve">D.  The First Build — Confirming the Shape</w:t>
      </w:r>
    </w:p>
    <w:p>
      <w:pPr>
        <w:spacing w:after="160"/>
      </w:pPr>
      <w:r>
        <w:rPr>
          <w:i/>
          <w:iCs/>
          <w:color w:val="6B6459"/>
        </w:rPr>
        <w:t xml:space="preserve">You chose AI-guided, with real accounts and a saved Workbook. Here is the exact slice we’d build first. Confirm or adjust.</w:t>
      </w:r>
    </w:p>
    <w:p>
      <w:pPr>
        <w:spacing w:after="40" w:before="200"/>
      </w:pPr>
      <w:r>
        <w:rPr>
          <w:b/>
          <w:bCs/>
          <w:color w:val="6B4F1D"/>
        </w:rPr>
        <w:t xml:space="preserve">Q9.  </w:t>
      </w:r>
      <w:r>
        <w:rPr>
          <w:b/>
          <w:bCs/>
        </w:rPr>
        <w:t xml:space="preserve">Confirm the first-build (MVP) scope: a Host creates an account → completes the IAP with the AI → an AVAIA Standard Referral is generated → CAT with the AI → referral → InnerCompass with the AI → a saved Workbook summary. Single Host, self-guided with the AI (no human Guide), one person at a time (no organizations/multi-tenant yet), no separate reports yet. Everything else (Guide-assisted mode, organizations, reports, certification) comes in later phases. Yes / adjust?</w:t>
      </w:r>
    </w:p>
    <w:p>
      <w:pPr>
        <w:spacing w:after="100"/>
      </w:pPr>
      <w:r>
        <w:rPr>
          <w:i/>
          <w:iCs/>
          <w:color w:val="6B6459"/>
          <w:sz w:val="20"/>
          <w:szCs w:val="20"/>
        </w:rPr>
        <w:t xml:space="defaul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C6" w:sz="4"/>
              <w:left w:val="single" w:color="DDD6C6" w:sz="4"/>
              <w:bottom w:val="single" w:color="DDD6C6" w:sz="4"/>
              <w:right w:val="single" w:color="DDD6C6" w:sz="4"/>
            </w:tcBorders>
            <w:shd w:fill="F4F2EC" w:val="clear"/>
            <w:tcMar>
              <w:top w:type="dxa" w:w="120"/>
              <w:left w:type="dxa" w:w="160"/>
              <w:bottom w:type="dxa" w:w="160"/>
              <w:right w:type="dxa" w:w="160"/>
            </w:tcMar>
          </w:tcPr>
          <w:p>
            <w:pPr>
              <w:spacing w:after="40"/>
            </w:pPr>
            <w:r>
              <w:rPr>
                <w:rFonts w:ascii="Arial" w:cs="Arial" w:eastAsia="Arial" w:hAnsi="Arial"/>
                <w:b/>
                <w:bCs/>
                <w:color w:val="6B4F1D"/>
                <w:sz w:val="15"/>
                <w:szCs w:val="15"/>
              </w:rPr>
              <w:t xml:space="preserve">ANSWER</w:t>
            </w:r>
          </w:p>
          <w:p>
            <w:r>
              <w:t xml:space="preserve"/>
            </w:r>
          </w:p>
          <w:p>
            <w:r>
              <w:t xml:space="preserve"/>
            </w:r>
          </w:p>
          <w:p>
            <w:r>
              <w:t xml:space="preserve"/>
            </w:r>
          </w:p>
        </w:tc>
      </w:tr>
    </w:tbl>
    <w:p>
      <w:r>
        <w:t xml:space="preserve"/>
      </w:r>
    </w:p>
    <w:p>
      <w:pPr>
        <w:spacing w:after="40" w:before="200"/>
      </w:pPr>
      <w:r>
        <w:rPr>
          <w:b/>
          <w:bCs/>
          <w:color w:val="6B4F1D"/>
        </w:rPr>
        <w:t xml:space="preserve">Q10.  </w:t>
      </w:r>
      <w:r>
        <w:rPr>
          <w:b/>
          <w:bCs/>
        </w:rPr>
        <w:t xml:space="preserve">In this first version, should the “Council” (extra invited perspectives during CAT) be active, or deferred to a later phase?</w:t>
      </w:r>
    </w:p>
    <w:p>
      <w:pPr>
        <w:spacing w:after="100"/>
      </w:pPr>
      <w:r>
        <w:rPr>
          <w:i/>
          <w:iCs/>
          <w:color w:val="6B6459"/>
          <w:sz w:val="20"/>
          <w:szCs w:val="20"/>
        </w:rPr>
        <w:t xml:space="defaul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C6" w:sz="4"/>
              <w:left w:val="single" w:color="DDD6C6" w:sz="4"/>
              <w:bottom w:val="single" w:color="DDD6C6" w:sz="4"/>
              <w:right w:val="single" w:color="DDD6C6" w:sz="4"/>
            </w:tcBorders>
            <w:shd w:fill="F4F2EC" w:val="clear"/>
            <w:tcMar>
              <w:top w:type="dxa" w:w="120"/>
              <w:left w:type="dxa" w:w="160"/>
              <w:bottom w:type="dxa" w:w="160"/>
              <w:right w:type="dxa" w:w="160"/>
            </w:tcMar>
          </w:tcPr>
          <w:p>
            <w:pPr>
              <w:spacing w:after="40"/>
            </w:pPr>
            <w:r>
              <w:rPr>
                <w:rFonts w:ascii="Arial" w:cs="Arial" w:eastAsia="Arial" w:hAnsi="Arial"/>
                <w:b/>
                <w:bCs/>
                <w:color w:val="6B4F1D"/>
                <w:sz w:val="15"/>
                <w:szCs w:val="15"/>
              </w:rPr>
              <w:t xml:space="preserve">ANSWER</w:t>
            </w:r>
          </w:p>
          <w:p>
            <w:r>
              <w:t xml:space="preserve"/>
            </w:r>
          </w:p>
          <w:p>
            <w:r>
              <w:t xml:space="preserve"/>
            </w:r>
          </w:p>
          <w:p>
            <w:r>
              <w:t xml:space="preserve"/>
            </w:r>
          </w:p>
        </w:tc>
      </w:tr>
    </w:tbl>
    <w:p>
      <w:r>
        <w:t xml:space="preserve"/>
      </w:r>
    </w:p>
    <w:p>
      <w:pPr>
        <w:spacing w:after="40" w:before="200"/>
      </w:pPr>
      <w:r>
        <w:rPr>
          <w:b/>
          <w:bCs/>
          <w:color w:val="6B4F1D"/>
        </w:rPr>
        <w:t xml:space="preserve">Q11.  </w:t>
      </w:r>
      <w:r>
        <w:rPr>
          <w:b/>
          <w:bCs/>
        </w:rPr>
        <w:t xml:space="preserve">Reports (Guide/Counselor/Leadership/etc.): build in the first version, or after the core journey and Workbook are working?</w:t>
      </w:r>
    </w:p>
    <w:p>
      <w:pPr>
        <w:spacing w:after="100"/>
      </w:pPr>
      <w:r>
        <w:rPr>
          <w:i/>
          <w:iCs/>
          <w:color w:val="6B6459"/>
          <w:sz w:val="20"/>
          <w:szCs w:val="20"/>
        </w:rPr>
        <w:t xml:space="preserve">Our recommendation: after — once a real conversation and Workbook exist to generate them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C6" w:sz="4"/>
              <w:left w:val="single" w:color="DDD6C6" w:sz="4"/>
              <w:bottom w:val="single" w:color="DDD6C6" w:sz="4"/>
              <w:right w:val="single" w:color="DDD6C6" w:sz="4"/>
            </w:tcBorders>
            <w:shd w:fill="F4F2EC" w:val="clear"/>
            <w:tcMar>
              <w:top w:type="dxa" w:w="120"/>
              <w:left w:type="dxa" w:w="160"/>
              <w:bottom w:type="dxa" w:w="160"/>
              <w:right w:type="dxa" w:w="160"/>
            </w:tcMar>
          </w:tcPr>
          <w:p>
            <w:pPr>
              <w:spacing w:after="40"/>
            </w:pPr>
            <w:r>
              <w:rPr>
                <w:rFonts w:ascii="Arial" w:cs="Arial" w:eastAsia="Arial" w:hAnsi="Arial"/>
                <w:b/>
                <w:bCs/>
                <w:color w:val="6B4F1D"/>
                <w:sz w:val="15"/>
                <w:szCs w:val="15"/>
              </w:rPr>
              <w:t xml:space="preserve">ANSWER</w:t>
            </w:r>
          </w:p>
          <w:p>
            <w:r>
              <w:t xml:space="preserve"/>
            </w:r>
          </w:p>
          <w:p>
            <w:r>
              <w:t xml:space="preserve"/>
            </w:r>
          </w:p>
        </w:tc>
      </w:tr>
    </w:tbl>
    <w:p>
      <w:r>
        <w:t xml:space="preserve"/>
      </w:r>
    </w:p>
    <w:p>
      <w:r>
        <w:br w:type="page"/>
      </w:r>
    </w:p>
    <w:p>
      <w:pPr>
        <w:pStyle w:val="Heading1"/>
      </w:pPr>
      <w:r>
        <w:t xml:space="preserve">E.  The AI Engine — Decisions Only You Can Make</w:t>
      </w:r>
    </w:p>
    <w:p>
      <w:pPr>
        <w:spacing w:after="160"/>
      </w:pPr>
      <w:r>
        <w:rPr>
          <w:i/>
          <w:iCs/>
          <w:color w:val="6B6459"/>
        </w:rPr>
        <w:t xml:space="preserve">The AI-guided conversation runs on a language model, which has a real (usually small) per-conversation cost and needs an account.</w:t>
      </w:r>
    </w:p>
    <w:p>
      <w:pPr>
        <w:spacing w:after="40" w:before="200"/>
      </w:pPr>
      <w:r>
        <w:rPr>
          <w:b/>
          <w:bCs/>
          <w:color w:val="6B4F1D"/>
        </w:rPr>
        <w:t xml:space="preserve">Q12.  </w:t>
      </w:r>
      <w:r>
        <w:rPr>
          <w:b/>
          <w:bCs/>
        </w:rPr>
        <w:t xml:space="preserve">Which AI should power the conversations — Claude (Anthropic) or OpenAI (where your original GPTs were built)? Either can follow your instruction sets faithfully; we’ll recommend based on quality and cost, but the account and billing are yours (Avaia Enterprises).</w:t>
      </w:r>
    </w:p>
    <w:p>
      <w:pPr>
        <w:spacing w:after="100"/>
      </w:pPr>
      <w:r>
        <w:rPr>
          <w:i/>
          <w:iCs/>
          <w:color w:val="6B6459"/>
          <w:sz w:val="20"/>
          <w:szCs w:val="20"/>
        </w:rPr>
        <w:t xml:space="preserve">If you have no preference, say so and we’ll recommend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C6" w:sz="4"/>
              <w:left w:val="single" w:color="DDD6C6" w:sz="4"/>
              <w:bottom w:val="single" w:color="DDD6C6" w:sz="4"/>
              <w:right w:val="single" w:color="DDD6C6" w:sz="4"/>
            </w:tcBorders>
            <w:shd w:fill="F4F2EC" w:val="clear"/>
            <w:tcMar>
              <w:top w:type="dxa" w:w="120"/>
              <w:left w:type="dxa" w:w="160"/>
              <w:bottom w:type="dxa" w:w="160"/>
              <w:right w:type="dxa" w:w="160"/>
            </w:tcMar>
          </w:tcPr>
          <w:p>
            <w:pPr>
              <w:spacing w:after="40"/>
            </w:pPr>
            <w:r>
              <w:rPr>
                <w:rFonts w:ascii="Arial" w:cs="Arial" w:eastAsia="Arial" w:hAnsi="Arial"/>
                <w:b/>
                <w:bCs/>
                <w:color w:val="6B4F1D"/>
                <w:sz w:val="15"/>
                <w:szCs w:val="15"/>
              </w:rPr>
              <w:t xml:space="preserve">ANSWER</w:t>
            </w:r>
          </w:p>
          <w:p>
            <w:r>
              <w:t xml:space="preserve"/>
            </w:r>
          </w:p>
          <w:p>
            <w:r>
              <w:t xml:space="preserve"/>
            </w:r>
          </w:p>
        </w:tc>
      </w:tr>
    </w:tbl>
    <w:p>
      <w:r>
        <w:t xml:space="preserve"/>
      </w:r>
    </w:p>
    <w:p>
      <w:pPr>
        <w:spacing w:after="40" w:before="200"/>
      </w:pPr>
      <w:r>
        <w:rPr>
          <w:b/>
          <w:bCs/>
          <w:color w:val="6B4F1D"/>
        </w:rPr>
        <w:t xml:space="preserve">Q13.  </w:t>
      </w:r>
      <w:r>
        <w:rPr>
          <w:b/>
          <w:bCs/>
        </w:rPr>
        <w:t xml:space="preserve">Who holds the AI account and covers the pilot’s usage cost — Avaia Enterprises, LLC? (We’ll help you set it up; costs for a pilot are typically modest.)</w:t>
      </w:r>
    </w:p>
    <w:p>
      <w:pPr>
        <w:spacing w:after="100"/>
      </w:pPr>
      <w:r>
        <w:rPr>
          <w:i/>
          <w:iCs/>
          <w:color w:val="6B6459"/>
          <w:sz w:val="20"/>
          <w:szCs w:val="20"/>
        </w:rPr>
        <w:t xml:space="defaul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C6" w:sz="4"/>
              <w:left w:val="single" w:color="DDD6C6" w:sz="4"/>
              <w:bottom w:val="single" w:color="DDD6C6" w:sz="4"/>
              <w:right w:val="single" w:color="DDD6C6" w:sz="4"/>
            </w:tcBorders>
            <w:shd w:fill="F4F2EC" w:val="clear"/>
            <w:tcMar>
              <w:top w:type="dxa" w:w="120"/>
              <w:left w:type="dxa" w:w="160"/>
              <w:bottom w:type="dxa" w:w="160"/>
              <w:right w:type="dxa" w:w="160"/>
            </w:tcMar>
          </w:tcPr>
          <w:p>
            <w:pPr>
              <w:spacing w:after="40"/>
            </w:pPr>
            <w:r>
              <w:rPr>
                <w:rFonts w:ascii="Arial" w:cs="Arial" w:eastAsia="Arial" w:hAnsi="Arial"/>
                <w:b/>
                <w:bCs/>
                <w:color w:val="6B4F1D"/>
                <w:sz w:val="15"/>
                <w:szCs w:val="15"/>
              </w:rPr>
              <w:t xml:space="preserve">ANSWER</w:t>
            </w:r>
          </w:p>
          <w:p>
            <w:r>
              <w:t xml:space="preserve"/>
            </w:r>
          </w:p>
          <w:p>
            <w:r>
              <w:t xml:space="preserve"/>
            </w:r>
          </w:p>
          <w:p>
            <w:r>
              <w:t xml:space="preserve"/>
            </w:r>
          </w:p>
        </w:tc>
      </w:tr>
    </w:tbl>
    <w:p>
      <w:r>
        <w:t xml:space="preserve"/>
      </w:r>
    </w:p>
    <w:p>
      <w:pPr>
        <w:spacing w:after="40" w:before="200"/>
      </w:pPr>
      <w:r>
        <w:rPr>
          <w:b/>
          <w:bCs/>
          <w:color w:val="6B4F1D"/>
        </w:rPr>
        <w:t xml:space="preserve">Q14.  </w:t>
      </w:r>
      <w:r>
        <w:rPr>
          <w:b/>
          <w:bCs/>
        </w:rPr>
        <w:t xml:space="preserve">Conversation format for v1: typed text chat (our assumption), or do you want voice as well? (Voice can come later.)</w:t>
      </w:r>
    </w:p>
    <w:p>
      <w:pPr>
        <w:spacing w:after="100"/>
      </w:pPr>
      <w:r>
        <w:rPr>
          <w:i/>
          <w:iCs/>
          <w:color w:val="6B6459"/>
          <w:sz w:val="20"/>
          <w:szCs w:val="20"/>
        </w:rPr>
        <w:t xml:space="defaul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C6" w:sz="4"/>
              <w:left w:val="single" w:color="DDD6C6" w:sz="4"/>
              <w:bottom w:val="single" w:color="DDD6C6" w:sz="4"/>
              <w:right w:val="single" w:color="DDD6C6" w:sz="4"/>
            </w:tcBorders>
            <w:shd w:fill="F4F2EC" w:val="clear"/>
            <w:tcMar>
              <w:top w:type="dxa" w:w="120"/>
              <w:left w:type="dxa" w:w="160"/>
              <w:bottom w:type="dxa" w:w="160"/>
              <w:right w:type="dxa" w:w="160"/>
            </w:tcMar>
          </w:tcPr>
          <w:p>
            <w:pPr>
              <w:spacing w:after="40"/>
            </w:pPr>
            <w:r>
              <w:rPr>
                <w:rFonts w:ascii="Arial" w:cs="Arial" w:eastAsia="Arial" w:hAnsi="Arial"/>
                <w:b/>
                <w:bCs/>
                <w:color w:val="6B4F1D"/>
                <w:sz w:val="15"/>
                <w:szCs w:val="15"/>
              </w:rPr>
              <w:t xml:space="preserve">ANSWER</w:t>
            </w:r>
          </w:p>
          <w:p>
            <w:r>
              <w:t xml:space="preserve"/>
            </w:r>
          </w:p>
          <w:p>
            <w:r>
              <w:t xml:space="preserve"/>
            </w:r>
          </w:p>
          <w:p>
            <w:r>
              <w:t xml:space="preserve"/>
            </w:r>
          </w:p>
        </w:tc>
      </w:tr>
    </w:tbl>
    <w:p>
      <w:r>
        <w:t xml:space="preserve"/>
      </w:r>
    </w:p>
    <w:p>
      <w:r>
        <w:br w:type="page"/>
      </w:r>
    </w:p>
    <w:p>
      <w:pPr>
        <w:pStyle w:val="Heading1"/>
      </w:pPr>
      <w:r>
        <w:t xml:space="preserve">F.  Data, Privacy &amp; Retention</w:t>
      </w:r>
    </w:p>
    <w:p>
      <w:pPr>
        <w:spacing w:after="160"/>
      </w:pPr>
      <w:r>
        <w:rPr>
          <w:i/>
          <w:iCs/>
          <w:color w:val="6B6459"/>
        </w:rPr>
        <w:t xml:space="preserve">Hosts share sensitive material, so we set this correctly from the first line of code. Your Round 2 answers covered the principles; two specifics remain.</w:t>
      </w:r>
    </w:p>
    <w:p>
      <w:pPr>
        <w:spacing w:after="40" w:before="200"/>
      </w:pPr>
      <w:r>
        <w:rPr>
          <w:b/>
          <w:bCs/>
          <w:color w:val="6B4F1D"/>
        </w:rPr>
        <w:t xml:space="preserve">Q15.  </w:t>
      </w:r>
      <w:r>
        <w:rPr>
          <w:b/>
          <w:bCs/>
        </w:rPr>
        <w:t xml:space="preserve">For the pilot, is standard secure cloud storage — encryption, role-based access, and consent management — acceptable, with formal compliance (e.g., HIPAA) added later only if a specific implementation requires it? (You indicated compliance can be layered on later; just confirming nothing formal is required for the pilot.)</w:t>
      </w:r>
    </w:p>
    <w:p>
      <w:pPr>
        <w:spacing w:after="100"/>
      </w:pPr>
      <w:r>
        <w:rPr>
          <w:i/>
          <w:iCs/>
          <w:color w:val="6B6459"/>
          <w:sz w:val="20"/>
          <w:szCs w:val="20"/>
        </w:rPr>
        <w:t xml:space="defaul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C6" w:sz="4"/>
              <w:left w:val="single" w:color="DDD6C6" w:sz="4"/>
              <w:bottom w:val="single" w:color="DDD6C6" w:sz="4"/>
              <w:right w:val="single" w:color="DDD6C6" w:sz="4"/>
            </w:tcBorders>
            <w:shd w:fill="F4F2EC" w:val="clear"/>
            <w:tcMar>
              <w:top w:type="dxa" w:w="120"/>
              <w:left w:type="dxa" w:w="160"/>
              <w:bottom w:type="dxa" w:w="160"/>
              <w:right w:type="dxa" w:w="160"/>
            </w:tcMar>
          </w:tcPr>
          <w:p>
            <w:pPr>
              <w:spacing w:after="40"/>
            </w:pPr>
            <w:r>
              <w:rPr>
                <w:rFonts w:ascii="Arial" w:cs="Arial" w:eastAsia="Arial" w:hAnsi="Arial"/>
                <w:b/>
                <w:bCs/>
                <w:color w:val="6B4F1D"/>
                <w:sz w:val="15"/>
                <w:szCs w:val="15"/>
              </w:rPr>
              <w:t xml:space="preserve">ANSWER</w:t>
            </w:r>
          </w:p>
          <w:p>
            <w:r>
              <w:t xml:space="preserve"/>
            </w:r>
          </w:p>
          <w:p>
            <w:r>
              <w:t xml:space="preserve"/>
            </w:r>
          </w:p>
          <w:p>
            <w:r>
              <w:t xml:space="preserve"/>
            </w:r>
          </w:p>
        </w:tc>
      </w:tr>
    </w:tbl>
    <w:p>
      <w:r>
        <w:t xml:space="preserve"/>
      </w:r>
    </w:p>
    <w:p>
      <w:pPr>
        <w:spacing w:after="40" w:before="200"/>
      </w:pPr>
      <w:r>
        <w:rPr>
          <w:b/>
          <w:bCs/>
          <w:color w:val="6B4F1D"/>
        </w:rPr>
        <w:t xml:space="preserve">Q16.  </w:t>
      </w:r>
      <w:r>
        <w:rPr>
          <w:b/>
          <w:bCs/>
        </w:rPr>
        <w:t xml:space="preserve">Data retention &amp; deletion: how long should a Host’s Workbook be kept, and should a Host be able to request deletion of their data at any time?</w:t>
      </w:r>
    </w:p>
    <w:p>
      <w:pPr>
        <w:spacing w:after="100"/>
      </w:pPr>
      <w:r>
        <w:rPr>
          <w:i/>
          <w:iCs/>
          <w:color w:val="6B6459"/>
          <w:sz w:val="20"/>
          <w:szCs w:val="20"/>
        </w:rPr>
        <w:t xml:space="defaul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C6" w:sz="4"/>
              <w:left w:val="single" w:color="DDD6C6" w:sz="4"/>
              <w:bottom w:val="single" w:color="DDD6C6" w:sz="4"/>
              <w:right w:val="single" w:color="DDD6C6" w:sz="4"/>
            </w:tcBorders>
            <w:shd w:fill="F4F2EC" w:val="clear"/>
            <w:tcMar>
              <w:top w:type="dxa" w:w="120"/>
              <w:left w:type="dxa" w:w="160"/>
              <w:bottom w:type="dxa" w:w="160"/>
              <w:right w:type="dxa" w:w="160"/>
            </w:tcMar>
          </w:tcPr>
          <w:p>
            <w:pPr>
              <w:spacing w:after="40"/>
            </w:pPr>
            <w:r>
              <w:rPr>
                <w:rFonts w:ascii="Arial" w:cs="Arial" w:eastAsia="Arial" w:hAnsi="Arial"/>
                <w:b/>
                <w:bCs/>
                <w:color w:val="6B4F1D"/>
                <w:sz w:val="15"/>
                <w:szCs w:val="15"/>
              </w:rPr>
              <w:t xml:space="preserve">ANSWER</w:t>
            </w:r>
          </w:p>
          <w:p>
            <w:r>
              <w:t xml:space="preserve"/>
            </w:r>
          </w:p>
          <w:p>
            <w:r>
              <w:t xml:space="preserve"/>
            </w:r>
          </w:p>
          <w:p>
            <w:r>
              <w:t xml:space="preserve"/>
            </w:r>
          </w:p>
        </w:tc>
      </w:tr>
    </w:tbl>
    <w:p>
      <w:r>
        <w:t xml:space="preserve"/>
      </w:r>
    </w:p>
    <w:p>
      <w:r>
        <w:br w:type="page"/>
      </w:r>
    </w:p>
    <w:p>
      <w:pPr>
        <w:pStyle w:val="Heading1"/>
      </w:pPr>
      <w:r>
        <w:t xml:space="preserve">G.  Files &amp; Assets to Send</w:t>
      </w:r>
    </w:p>
    <w:p>
      <w:pPr>
        <w:spacing w:after="160"/>
      </w:pPr>
      <w:r>
        <w:rPr>
          <w:i/>
          <w:iCs/>
          <w:color w:val="6B6459"/>
        </w:rPr>
        <w:t xml:space="preserve">These let us match the real brand and complete the picture. Check off what you can send.</w:t>
      </w:r>
    </w:p>
    <w:p>
      <w:pPr>
        <w:pStyle w:val="ListParagraph"/>
        <w:numPr>
          <w:ilvl w:val="0"/>
          <w:numId w:val="2"/>
        </w:numPr>
        <w:spacing w:after="40"/>
      </w:pPr>
      <w:r>
        <w:t xml:space="preserve">The logo files — PNG and, if possible, SVG, on a transparent background (wordmark + phoenix).</w:t>
      </w:r>
    </w:p>
    <w:p>
      <w:pPr>
        <w:pStyle w:val="ListParagraph"/>
        <w:numPr>
          <w:ilvl w:val="0"/>
          <w:numId w:val="2"/>
        </w:numPr>
        <w:spacing w:after="40"/>
      </w:pPr>
      <w:r>
        <w:t xml:space="preserve">Brand color codes (the gold and the charcoal) and the fonts used in the logo and tagline.</w:t>
      </w:r>
    </w:p>
    <w:p>
      <w:pPr>
        <w:pStyle w:val="ListParagraph"/>
        <w:numPr>
          <w:ilvl w:val="0"/>
          <w:numId w:val="2"/>
        </w:numPr>
        <w:spacing w:after="40"/>
      </w:pPr>
      <w:r>
        <w:t xml:space="preserve">The Chemistry of Virtue table as a file (image or Canva export) for our records.</w:t>
      </w:r>
    </w:p>
    <w:p>
      <w:pPr>
        <w:pStyle w:val="ListParagraph"/>
        <w:numPr>
          <w:ilvl w:val="0"/>
          <w:numId w:val="2"/>
        </w:numPr>
        <w:spacing w:after="40"/>
      </w:pPr>
      <w:r>
        <w:t xml:space="preserve">The Continuity instruction set, if one exists (see Section B).</w:t>
      </w:r>
    </w:p>
    <w:p>
      <w:pPr>
        <w:pStyle w:val="ListParagraph"/>
        <w:numPr>
          <w:ilvl w:val="0"/>
          <w:numId w:val="2"/>
        </w:numPr>
        <w:spacing w:after="40"/>
      </w:pPr>
      <w:r>
        <w:t xml:space="preserve">The Defying Grief curriculum whenever it’s ready — no rush; the platform will accept programs as they’re finished.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C6" w:sz="4"/>
              <w:left w:val="single" w:color="DDD6C6" w:sz="4"/>
              <w:bottom w:val="single" w:color="DDD6C6" w:sz="4"/>
              <w:right w:val="single" w:color="DDD6C6" w:sz="4"/>
            </w:tcBorders>
            <w:shd w:fill="F4F2EC" w:val="clear"/>
            <w:tcMar>
              <w:top w:type="dxa" w:w="120"/>
              <w:left w:type="dxa" w:w="160"/>
              <w:bottom w:type="dxa" w:w="160"/>
              <w:right w:type="dxa" w:w="160"/>
            </w:tcMar>
          </w:tcPr>
          <w:p>
            <w:pPr>
              <w:spacing w:after="40"/>
            </w:pPr>
            <w:r>
              <w:rPr>
                <w:rFonts w:ascii="Arial" w:cs="Arial" w:eastAsia="Arial" w:hAnsi="Arial"/>
                <w:b/>
                <w:bCs/>
                <w:color w:val="6B4F1D"/>
                <w:sz w:val="15"/>
                <w:szCs w:val="15"/>
              </w:rPr>
              <w:t xml:space="preserve">NOTES ON MATERIALS</w:t>
            </w:r>
          </w:p>
          <w:p>
            <w:r>
              <w:t xml:space="preserve"/>
            </w:r>
          </w:p>
          <w:p>
            <w:r>
              <w:t xml:space="preserve"/>
            </w:r>
          </w:p>
          <w:p>
            <w:r>
              <w:t xml:space="preserve"/>
            </w:r>
          </w:p>
          <w:p>
            <w:r>
              <w:t xml:space="preserve"/>
            </w:r>
          </w:p>
        </w:tc>
      </w:tr>
    </w:tbl>
    <w:p>
      <w:r>
        <w:br w:type="page"/>
      </w:r>
    </w:p>
    <w:p>
      <w:pPr>
        <w:pStyle w:val="Heading1"/>
      </w:pPr>
      <w:r>
        <w:t xml:space="preserve">H.  Anything Else</w:t>
      </w:r>
    </w:p>
    <w:p>
      <w:pPr>
        <w:spacing w:after="160"/>
      </w:pPr>
      <w:r>
        <w:rPr>
          <w:i/>
          <w:iCs/>
          <w:color w:val="6B6459"/>
        </w:rPr>
        <w:t xml:space="preserve">Corrections, priorities, or anything about the vision we should hold as we start building the live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C6" w:sz="4"/>
              <w:left w:val="single" w:color="DDD6C6" w:sz="4"/>
              <w:bottom w:val="single" w:color="DDD6C6" w:sz="4"/>
              <w:right w:val="single" w:color="DDD6C6" w:sz="4"/>
            </w:tcBorders>
            <w:shd w:fill="F4F2EC" w:val="clear"/>
            <w:tcMar>
              <w:top w:type="dxa" w:w="120"/>
              <w:left w:type="dxa" w:w="160"/>
              <w:bottom w:type="dxa" w:w="160"/>
              <w:right w:type="dxa" w:w="160"/>
            </w:tcMar>
          </w:tcPr>
          <w:p>
            <w:pPr>
              <w:spacing w:after="40"/>
            </w:pPr>
            <w:r>
              <w:rPr>
                <w:rFonts w:ascii="Arial" w:cs="Arial" w:eastAsia="Arial" w:hAnsi="Arial"/>
                <w:b/>
                <w:bCs/>
                <w:color w:val="6B4F1D"/>
                <w:sz w:val="15"/>
                <w:szCs w:val="15"/>
              </w:rPr>
              <w:t xml:space="preserve">NOTES</w:t>
            </w:r>
          </w:p>
          <w:p>
            <w:r>
              <w:t xml:space="preserve"/>
            </w:r>
          </w:p>
          <w:p>
            <w:r>
              <w:t xml:space="preserve"/>
            </w:r>
          </w:p>
          <w:p>
            <w:r>
              <w:t xml:space="preserve"/>
            </w:r>
          </w:p>
          <w:p>
            <w:r>
              <w:t xml:space="preserve"/>
            </w:r>
          </w:p>
          <w:p>
            <w:r>
              <w:t xml:space="preserve"/>
            </w:r>
          </w:p>
          <w:p>
            <w:r>
              <w:t xml:space="preserve"/>
            </w:r>
          </w:p>
          <w:p>
            <w:r>
              <w:t xml:space="preserve"/>
            </w:r>
          </w:p>
          <w:p>
            <w:r>
              <w:t xml:space="preserve"/>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6C6" w:sz="4" w:space="6"/>
      </w:pBdr>
      <w:jc w:val="center"/>
    </w:pPr>
    <w:r>
      <w:rPr>
        <w:rFonts w:ascii="Arial" w:cs="Arial" w:eastAsia="Arial" w:hAnsi="Arial"/>
        <w:color w:val="6B6459"/>
        <w:sz w:val="16"/>
        <w:szCs w:val="16"/>
      </w:rPr>
      <w:t xml:space="preserve">Avaia — Build Working Document · Round 3      ·      Page </w:t>
    </w:r>
    <w:r>
      <w:rPr>
        <w:rFonts w:ascii="Arial" w:cs="Arial" w:eastAsia="Arial" w:hAnsi="Arial"/>
        <w:color w:val="6B64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DD6C6" w:sz="4" w:space="6"/>
      </w:pBdr>
      <w:spacing w:after="160" w:before="240"/>
      <w:outlineLvl w:val="0"/>
    </w:pPr>
    <w:rPr>
      <w:rFonts w:ascii="Georgia" w:cs="Georgia" w:eastAsia="Georgia" w:hAnsi="Georgia"/>
      <w:b/>
      <w:bCs/>
      <w:color w:val="6B4F1D"/>
      <w:sz w:val="30"/>
      <w:szCs w:val="30"/>
    </w:rPr>
  </w:style>
  <w:style w:type="paragraph" w:styleId="Heading2">
    <w:name w:val="Heading 2"/>
    <w:basedOn w:val="Normal"/>
    <w:next w:val="Normal"/>
    <w:qFormat/>
    <w:pPr>
      <w:spacing w:after="100" w:before="200"/>
      <w:outlineLvl w:val="1"/>
    </w:pPr>
    <w:rPr>
      <w:rFonts w:ascii="Georgia" w:cs="Georgia" w:eastAsia="Georgia" w:hAnsi="Georgia"/>
      <w:b/>
      <w:bCs/>
      <w:color w:val="2B26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Avaia — Build Working Document — Round 3</dc:title>
  <dc:creator>Avaia build</dc:creator>
  <cp:lastModifiedBy>Un-named</cp:lastModifiedBy>
  <cp:revision>1</cp:revision>
  <dcterms:created xsi:type="dcterms:W3CDTF">2026-07-09T13:00:59.239Z</dcterms:created>
  <dcterms:modified xsi:type="dcterms:W3CDTF">2026-07-09T13:00:59.240Z</dcterms:modified>
</cp:coreProperties>
</file>

<file path=docProps/custom.xml><?xml version="1.0" encoding="utf-8"?>
<Properties xmlns="http://schemas.openxmlformats.org/officeDocument/2006/custom-properties" xmlns:vt="http://schemas.openxmlformats.org/officeDocument/2006/docPropsVTypes"/>
</file>