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2B2622"/>
          <w:sz w:val="56"/>
          <w:szCs w:val="56"/>
        </w:rPr>
        <w:t xml:space="preserve">Avaia</w:t>
      </w:r>
    </w:p>
    <w:p>
      <w:pPr>
        <w:spacing w:after="40"/>
      </w:pPr>
      <w:r>
        <w:rPr>
          <w:rFonts w:ascii="Georgia" w:cs="Georgia" w:eastAsia="Georgia" w:hAnsi="Georgia"/>
          <w:i/>
          <w:iCs/>
          <w:color w:val="A9822F"/>
          <w:sz w:val="22"/>
          <w:szCs w:val="22"/>
        </w:rPr>
        <w:t xml:space="preserve">Clarity starts with integrity</w:t>
      </w:r>
    </w:p>
    <w:p>
      <w:pPr>
        <w:spacing w:after="40"/>
      </w:pPr>
      <w:r>
        <w:rPr>
          <w:rFonts w:ascii="Arial" w:cs="Arial" w:eastAsia="Arial" w:hAnsi="Arial"/>
          <w:b/>
          <w:bCs/>
          <w:color w:val="6B6459"/>
          <w:sz w:val="22"/>
          <w:szCs w:val="22"/>
        </w:rPr>
        <w:t xml:space="preserve">REMAINING QUESTIONS FOR DORIAN</w:t>
      </w:r>
    </w:p>
    <w:p>
      <w:pPr>
        <w:pBdr>
          <w:bottom w:val="single" w:color="6B4F1D" w:sz="6" w:space="4"/>
        </w:pBdr>
        <w:spacing w:after="200"/>
      </w:pPr>
      <w:r>
        <w:t xml:space="preserve"/>
      </w:r>
    </w:p>
    <w:p>
      <w:pPr>
        <w:spacing w:after="120"/>
      </w:pPr>
      <w:r>
        <w:rPr>
          <w:b w:val="false"/>
          <w:bCs w:val="false"/>
          <w:i w:val="false"/>
          <w:iCs w:val="false"/>
        </w:rPr>
        <w:t xml:space="preserve">Dorian — the build is close to starting. A few decisions have been settled on our end: the AI will be Claude, running your IAP / CAT / InnerCompass instruction sets exactly; Avaia will live at ccrcoaching.com/AVAIA; it will be free to use but behind a simple login (no payment), which also lets us save each Host's Workbook so they can return to it.</w:t>
      </w:r>
    </w:p>
    <w:p>
      <w:pPr>
        <w:spacing w:after="160"/>
      </w:pPr>
      <w:r>
        <w:rPr>
          <w:b w:val="false"/>
          <w:bCs w:val="false"/>
          <w:i w:val="false"/>
          <w:iCs w:val="false"/>
        </w:rPr>
        <w:t xml:space="preserve">This short list is only what still needs you. The safety section is the one true blocker — please give it a careful look.</w:t>
      </w:r>
    </w:p>
    <w:p>
      <w:r>
        <w:br w:type="page"/>
      </w:r>
    </w:p>
    <w:p>
      <w:pPr>
        <w:pStyle w:val="Heading1"/>
      </w:pPr>
      <w:r>
        <w:t xml:space="preserve">A.  Crisis Safety — Proposed Protocol (please confirm)</w:t>
      </w:r>
    </w:p>
    <w:p>
      <w:pPr>
        <w:spacing w:after="160"/>
      </w:pPr>
      <w:r>
        <w:rPr>
          <w:i/>
          <w:iCs/>
          <w:color w:val="6B6459"/>
        </w:rPr>
        <w:t xml:space="preserve">Avaia will discuss grief and loss, so people in real distress may use it. We propose building the following safety protocol. It is modeled on what already works in our other tool. Please confirm, edit the wording, and approve the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822F" w:sz="4"/>
              <w:left w:val="single" w:color="A9822F" w:sz="14"/>
              <w:bottom w:val="single" w:color="A9822F" w:sz="4"/>
              <w:right w:val="single" w:color="A9822F" w:sz="4"/>
            </w:tcBorders>
            <w:shd w:fill="FBF7EE" w:val="clear"/>
            <w:tcMar>
              <w:top w:type="dxa" w:w="140"/>
              <w:left w:type="dxa" w:w="160"/>
              <w:bottom w:type="dxa" w:w="140"/>
              <w:right w:type="dxa" w:w="160"/>
            </w:tcMar>
          </w:tcPr>
          <w:p>
            <w:pPr>
              <w:spacing w:after="60"/>
            </w:pPr>
            <w:r>
              <w:rPr>
                <w:rFonts w:ascii="Arial" w:cs="Arial" w:eastAsia="Arial" w:hAnsi="Arial"/>
                <w:b/>
                <w:bCs/>
                <w:color w:val="A9822F"/>
                <w:sz w:val="16"/>
                <w:szCs w:val="16"/>
              </w:rPr>
              <w:t xml:space="preserve">WHAT WE PROPOSE TO BUILD</w:t>
            </w:r>
          </w:p>
          <w:p>
            <w:pPr>
              <w:spacing w:after="40"/>
            </w:pPr>
            <w:r>
              <w:t xml:space="preserve">1. A visible safety line in the footer and the entry screen at all times.</w:t>
            </w:r>
          </w:p>
          <w:p>
            <w:pPr>
              <w:spacing w:after="40"/>
            </w:pPr>
            <w:r>
              <w:t xml:space="preserve">2. A detection layer that watches for signals of crisis — thoughts of suicide or self-harm, intent to harm others, abuse, or a medical emergency.</w:t>
            </w:r>
          </w:p>
          <w:p>
            <w:pPr>
              <w:spacing w:after="40"/>
            </w:pPr>
            <w:r>
              <w:t xml:space="preserve">3. On detection, the AI gently steps out of the AVAIA method: it responds with warmth, does not try to counsel or fix, tells the person this needs a kind of help it can't give, and points them to the resources below — then stays present rather than ending abruptly.</w:t>
            </w:r>
          </w:p>
          <w:p>
            <w:pPr>
              <w:spacing w:after="40"/>
            </w:pPr>
            <w:r>
              <w:t xml:space="preserve">4. The proposed U.S. resources: call or text 988 (Suicide &amp; Crisis Lifeline); call 911 for immediate danger; text HOME to 741741 (Crisis Text Line).</w:t>
            </w:r>
          </w:p>
          <w:p>
            <w:pPr>
              <w:spacing w:after="40"/>
            </w:pPr>
            <w:r>
              <w:t xml:space="preserve">5. An anonymous count of how often this happens (no text stored), so there is oversight.</w:t>
            </w:r>
          </w:p>
        </w:tc>
      </w:tr>
    </w:tbl>
    <w:p>
      <w:r>
        <w:t xml:space="preserve"/>
      </w:r>
    </w:p>
    <w:p>
      <w:pPr>
        <w:spacing w:after="40" w:before="200"/>
      </w:pPr>
      <w:r>
        <w:rPr>
          <w:b/>
          <w:bCs/>
          <w:color w:val="6B4F1D"/>
        </w:rPr>
        <w:t xml:space="preserve">Q1.  </w:t>
      </w:r>
      <w:r>
        <w:rPr>
          <w:b/>
          <w:bCs/>
        </w:rPr>
        <w:t xml:space="preserve">Do you approve this crisis protocol and these resources? Any changes to the wording or the approach?</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Q2.  </w:t>
      </w:r>
      <w:r>
        <w:rPr>
          <w:b/>
          <w:bCs/>
        </w:rPr>
        <w:t xml:space="preserve">Which country/region should the resources cover? (The numbers above are U.S. — tell us if you need others, or a specific set for a particular organization.)</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Q3.  </w:t>
      </w:r>
      <w:r>
        <w:rPr>
          <w:b/>
          <w:bCs/>
        </w:rPr>
        <w:t xml:space="preserve">Please approve the disclaimer shown before a Host begins (edit freely).</w:t>
      </w:r>
    </w:p>
    <w:p>
      <w:pPr>
        <w:spacing w:after="100"/>
      </w:pPr>
      <w:r>
        <w:rPr>
          <w:i/>
          <w:iCs/>
          <w:color w:val="6B6459"/>
          <w:sz w:val="20"/>
          <w:szCs w:val="20"/>
        </w:rPr>
        <w:t xml:space="preserve">Draft: “Avaia offers guided, virtue-centered conversations to support understanding and intentional participation. It is not therapy, counseling, medical, legal, or crisis care, and it does not diagnose, treat, or provide professional advice. You remain the owner of your story and every decision. If you are in crisis or may be a danger to yourself or others, call or text 988 or call 911.”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p>
            <w:r>
              <w:t xml:space="preserve"/>
            </w:r>
          </w:p>
        </w:tc>
      </w:tr>
    </w:tbl>
    <w:p>
      <w:r>
        <w:t xml:space="preserve"/>
      </w:r>
    </w:p>
    <w:p>
      <w:pPr>
        <w:spacing w:after="40" w:before="200"/>
      </w:pPr>
      <w:r>
        <w:rPr>
          <w:b/>
          <w:bCs/>
          <w:color w:val="6B4F1D"/>
        </w:rPr>
        <w:t xml:space="preserve">Q4.  </w:t>
      </w:r>
      <w:r>
        <w:rPr>
          <w:b/>
          <w:bCs/>
        </w:rPr>
        <w:t xml:space="preserve">Is there a minimum age for a Host, and are there any people or situations that should be steered to a human instead of the AI?</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B.  The “Continuity” Stage</w:t>
      </w:r>
    </w:p>
    <w:p>
      <w:pPr>
        <w:spacing w:after="160"/>
      </w:pPr>
      <w:r>
        <w:rPr>
          <w:i/>
          <w:iCs/>
          <w:color w:val="6B6459"/>
        </w:rPr>
        <w:t xml:space="preserve">Your instruction sets end at IAP → CAT → InnerCompass → Continuity, and describe Continuity as the layer that “preserves wisdom.” We modeled a Workbook and continued participation, but Continuity may be its own thing.</w:t>
      </w:r>
    </w:p>
    <w:p>
      <w:pPr>
        <w:spacing w:after="40" w:before="200"/>
      </w:pPr>
      <w:r>
        <w:rPr>
          <w:b/>
          <w:bCs/>
          <w:color w:val="6B4F1D"/>
        </w:rPr>
        <w:t xml:space="preserve">Q5.  </w:t>
      </w:r>
      <w:r>
        <w:rPr>
          <w:b/>
          <w:bCs/>
        </w:rPr>
        <w:t xml:space="preserve">What is Continuity? Is it (a) a fifth conversation module with its own instruction set, or (b) the layer that preserves the Host's Workbook and lets them return and continue over time? If (a), please send the Continuity instruction set when you can.</w:t>
      </w:r>
    </w:p>
    <w:p>
      <w:pPr>
        <w:spacing w:after="100"/>
      </w:pPr>
      <w:r>
        <w:rPr>
          <w:i/>
          <w:iCs/>
          <w:color w:val="6B6459"/>
          <w:sz w:val="20"/>
          <w:szCs w:val="20"/>
        </w:rPr>
        <w:t xml:space="preserve">Because Avaia will now have logins, a Host's Workbook can be saved and revisited — so if Continuity is the return/preserve layer, we can build it around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p>
            <w:r>
              <w:t xml:space="preserve"/>
            </w:r>
          </w:p>
        </w:tc>
      </w:tr>
    </w:tbl>
    <w:p>
      <w:r>
        <w:t xml:space="preserve"/>
      </w:r>
    </w:p>
    <w:p>
      <w:r>
        <w:br w:type="page"/>
      </w:r>
    </w:p>
    <w:p>
      <w:pPr>
        <w:pStyle w:val="Heading1"/>
      </w:pPr>
      <w:r>
        <w:t xml:space="preserve">C.  Small Confirmations &amp; Two Possible Typos</w:t>
      </w:r>
    </w:p>
    <w:p>
      <w:pPr>
        <w:spacing w:after="160"/>
      </w:pPr>
      <w:r>
        <w:rPr>
          <w:i/>
          <w:iCs/>
          <w:color w:val="6B6459"/>
        </w:rPr>
        <w:t xml:space="preserve">Quick items so we don't carry a small error into the whole build.</w:t>
      </w:r>
    </w:p>
    <w:p>
      <w:pPr>
        <w:spacing w:after="40" w:before="200"/>
      </w:pPr>
      <w:r>
        <w:rPr>
          <w:b/>
          <w:bCs/>
          <w:color w:val="6B4F1D"/>
        </w:rPr>
        <w:t xml:space="preserve">Q6.  </w:t>
      </w:r>
      <w:r>
        <w:rPr>
          <w:b/>
          <w:bCs/>
        </w:rPr>
        <w:t xml:space="preserve">The name: the logo reads “Avaia,” but the manuals and instruction sets write “AVAIA.” Which is correct for on-screen text — “Avaia,” “AVAIA,” or the logo styled ‘Avaia’ with prose written ‘AVAIA’?</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Q7.  </w:t>
      </w:r>
      <w:r>
        <w:rPr>
          <w:b/>
          <w:bCs/>
        </w:rPr>
        <w:t xml:space="preserve">On the official Chemistry of Virtue table, one Love-family tile reads “Sy / Percipience.” Percipience already appears in Wisdom (Pc), and the Love family lists “Sympathy.” Should that tile be “Sy / Sympathy”?</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Q8.  </w:t>
      </w:r>
      <w:r>
        <w:rPr>
          <w:b/>
          <w:bCs/>
        </w:rPr>
        <w:t xml:space="preserve">The IAP instructions contain a heading “Secondary Loss and Audacity Identification.” Is “Audacity” intended, or a typo (for example, for identifying claims / governing narratives)? What word did you intend?</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pPr>
        <w:spacing w:after="40" w:before="200"/>
      </w:pPr>
      <w:r>
        <w:rPr>
          <w:b/>
          <w:bCs/>
          <w:color w:val="6B4F1D"/>
        </w:rPr>
        <w:t xml:space="preserve">Q9.  </w:t>
      </w:r>
      <w:r>
        <w:rPr>
          <w:b/>
          <w:bCs/>
        </w:rPr>
        <w:t xml:space="preserve">The Chemistry of Virtue® mark — you noted the registration may have lapsed. Keep showing ®, switch to ™, or show no mark until it is re-registered?</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D.  Files &amp; Assets to Send</w:t>
      </w:r>
    </w:p>
    <w:p>
      <w:pPr>
        <w:spacing w:after="160"/>
      </w:pPr>
      <w:r>
        <w:rPr>
          <w:i/>
          <w:iCs/>
          <w:color w:val="6B6459"/>
        </w:rPr>
        <w:t xml:space="preserve">These let us match the real brand and complete the picture. Send whatever you can.</w:t>
      </w:r>
    </w:p>
    <w:p>
      <w:pPr>
        <w:pStyle w:val="ListParagraph"/>
        <w:numPr>
          <w:ilvl w:val="0"/>
          <w:numId w:val="2"/>
        </w:numPr>
        <w:spacing w:after="40"/>
      </w:pPr>
      <w:r>
        <w:t xml:space="preserve">The logo files — PNG and, if possible, SVG, on a transparent background (wordmark + phoenix).</w:t>
      </w:r>
    </w:p>
    <w:p>
      <w:pPr>
        <w:pStyle w:val="ListParagraph"/>
        <w:numPr>
          <w:ilvl w:val="0"/>
          <w:numId w:val="2"/>
        </w:numPr>
        <w:spacing w:after="40"/>
      </w:pPr>
      <w:r>
        <w:t xml:space="preserve">Brand color codes (the gold and the charcoal) and the fonts used in the logo and tagline.</w:t>
      </w:r>
    </w:p>
    <w:p>
      <w:pPr>
        <w:pStyle w:val="ListParagraph"/>
        <w:numPr>
          <w:ilvl w:val="0"/>
          <w:numId w:val="2"/>
        </w:numPr>
        <w:spacing w:after="40"/>
      </w:pPr>
      <w:r>
        <w:t xml:space="preserve">The Continuity instruction set, if one exists (see Section B).</w:t>
      </w:r>
    </w:p>
    <w:p>
      <w:pPr>
        <w:pStyle w:val="ListParagraph"/>
        <w:numPr>
          <w:ilvl w:val="0"/>
          <w:numId w:val="2"/>
        </w:numPr>
        <w:spacing w:after="40"/>
      </w:pPr>
      <w:r>
        <w:t xml:space="preserve">The Defying Grief curriculum whenever it's ready — no rush; the platform will accept programs as they are finished.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NOTES ON MATERIALS</w:t>
            </w:r>
          </w:p>
          <w:p>
            <w:r>
              <w:t xml:space="preserve"/>
            </w:r>
          </w:p>
          <w:p>
            <w:r>
              <w:t xml:space="preserve"/>
            </w:r>
          </w:p>
          <w:p>
            <w:r>
              <w:t xml:space="preserve"/>
            </w:r>
          </w:p>
          <w:p>
            <w:r>
              <w:t xml:space="preserve"/>
            </w:r>
          </w:p>
        </w:tc>
      </w:tr>
    </w:tbl>
    <w:p>
      <w:r>
        <w:br w:type="page"/>
      </w:r>
    </w:p>
    <w:p>
      <w:pPr>
        <w:pStyle w:val="Heading1"/>
      </w:pPr>
      <w:r>
        <w:t xml:space="preserve">E.  Anything Else</w:t>
      </w:r>
    </w:p>
    <w:p>
      <w:pPr>
        <w:spacing w:after="160"/>
      </w:pPr>
      <w:r>
        <w:rPr>
          <w:i/>
          <w:iCs/>
          <w:color w:val="6B6459"/>
        </w:rPr>
        <w:t xml:space="preserve">Corrections, priorities, or anything about the vision we should hold as we start building the live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C6" w:sz="4"/>
              <w:left w:val="single" w:color="DDD6C6" w:sz="4"/>
              <w:bottom w:val="single" w:color="DDD6C6" w:sz="4"/>
              <w:right w:val="single" w:color="DDD6C6" w:sz="4"/>
            </w:tcBorders>
            <w:shd w:fill="F4F2EC" w:val="clear"/>
            <w:tcMar>
              <w:top w:type="dxa" w:w="120"/>
              <w:left w:type="dxa" w:w="160"/>
              <w:bottom w:type="dxa" w:w="160"/>
              <w:right w:type="dxa" w:w="160"/>
            </w:tcMar>
          </w:tcPr>
          <w:p>
            <w:pPr>
              <w:spacing w:after="40"/>
            </w:pPr>
            <w:r>
              <w:rPr>
                <w:rFonts w:ascii="Arial" w:cs="Arial" w:eastAsia="Arial" w:hAnsi="Arial"/>
                <w:b/>
                <w:bCs/>
                <w:color w:val="6B4F1D"/>
                <w:sz w:val="15"/>
                <w:szCs w:val="15"/>
              </w:rPr>
              <w:t xml:space="preserve">NOTES</w:t>
            </w:r>
          </w:p>
          <w:p>
            <w:r>
              <w:t xml:space="preserve"/>
            </w:r>
          </w:p>
          <w:p>
            <w:r>
              <w:t xml:space="preserve"/>
            </w:r>
          </w:p>
          <w:p>
            <w:r>
              <w:t xml:space="preserve"/>
            </w:r>
          </w:p>
          <w:p>
            <w:r>
              <w:t xml:space="preserve"/>
            </w:r>
          </w:p>
          <w:p>
            <w:r>
              <w:t xml:space="preserve"/>
            </w:r>
          </w:p>
          <w:p>
            <w:r>
              <w:t xml:space="preserve"/>
            </w:r>
          </w:p>
          <w:p>
            <w:r>
              <w:t xml:space="preserve"/>
            </w:r>
          </w:p>
          <w:p>
            <w: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C6" w:sz="4" w:space="6"/>
      </w:pBdr>
      <w:jc w:val="center"/>
    </w:pPr>
    <w:r>
      <w:rPr>
        <w:rFonts w:ascii="Arial" w:cs="Arial" w:eastAsia="Arial" w:hAnsi="Arial"/>
        <w:color w:val="6B6459"/>
        <w:sz w:val="16"/>
        <w:szCs w:val="16"/>
      </w:rPr>
      <w:t xml:space="preserve">Avaia — Remaining Questions for Dorian      ·      Page </w:t>
    </w:r>
    <w:r>
      <w:rPr>
        <w:rFonts w:ascii="Arial" w:cs="Arial" w:eastAsia="Arial" w:hAnsi="Arial"/>
        <w:color w:val="6B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6C6" w:sz="4" w:space="6"/>
      </w:pBdr>
      <w:spacing w:after="160" w:before="240"/>
      <w:outlineLvl w:val="0"/>
    </w:pPr>
    <w:rPr>
      <w:rFonts w:ascii="Georgia" w:cs="Georgia" w:eastAsia="Georgia" w:hAnsi="Georgia"/>
      <w:b/>
      <w:bCs/>
      <w:color w:val="6B4F1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Avaia — Remaining Questions for Dorian</dc:title>
  <dc:creator>Avaia build</dc:creator>
  <cp:lastModifiedBy>Un-named</cp:lastModifiedBy>
  <cp:revision>1</cp:revision>
  <dcterms:created xsi:type="dcterms:W3CDTF">2026-07-09T22:39:05.565Z</dcterms:created>
  <dcterms:modified xsi:type="dcterms:W3CDTF">2026-07-09T22:39:05.567Z</dcterms:modified>
</cp:coreProperties>
</file>

<file path=docProps/custom.xml><?xml version="1.0" encoding="utf-8"?>
<Properties xmlns="http://schemas.openxmlformats.org/officeDocument/2006/custom-properties" xmlns:vt="http://schemas.openxmlformats.org/officeDocument/2006/docPropsVTypes"/>
</file>