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271" w:rsidRDefault="00A2599A" w:rsidP="00F95689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Percent </w:t>
      </w:r>
      <w:r w:rsidR="00CB5271">
        <w:rPr>
          <w:b/>
          <w:sz w:val="32"/>
          <w:szCs w:val="32"/>
        </w:rPr>
        <w:t>Non-Single Occupant Vehicle</w:t>
      </w:r>
      <w:r>
        <w:rPr>
          <w:b/>
          <w:sz w:val="32"/>
          <w:szCs w:val="32"/>
        </w:rPr>
        <w:t xml:space="preserve"> (Non-SOV) </w:t>
      </w:r>
      <w:r w:rsidR="00CB5271">
        <w:rPr>
          <w:b/>
          <w:sz w:val="32"/>
          <w:szCs w:val="32"/>
        </w:rPr>
        <w:t>Travel</w:t>
      </w:r>
    </w:p>
    <w:p w:rsidR="00CB5271" w:rsidRDefault="00CB5271" w:rsidP="00F95689">
      <w:pPr>
        <w:jc w:val="center"/>
        <w:rPr>
          <w:b/>
          <w:sz w:val="32"/>
          <w:szCs w:val="32"/>
        </w:rPr>
      </w:pPr>
      <w:r w:rsidRPr="00CB5271">
        <w:rPr>
          <w:b/>
          <w:sz w:val="32"/>
          <w:szCs w:val="32"/>
        </w:rPr>
        <w:t xml:space="preserve">New York—Newark, NY—NJ—CT </w:t>
      </w:r>
      <w:r>
        <w:rPr>
          <w:b/>
          <w:sz w:val="32"/>
          <w:szCs w:val="32"/>
        </w:rPr>
        <w:t>Urbanized Area</w:t>
      </w:r>
    </w:p>
    <w:p w:rsidR="00BE7582" w:rsidRDefault="00CB5271" w:rsidP="00F956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Target Setting </w:t>
      </w:r>
      <w:r w:rsidRPr="00CB5271">
        <w:rPr>
          <w:b/>
          <w:sz w:val="32"/>
          <w:szCs w:val="32"/>
        </w:rPr>
        <w:t>Considerations</w:t>
      </w:r>
    </w:p>
    <w:p w:rsidR="00F95689" w:rsidRPr="00CB5271" w:rsidRDefault="00CB5271" w:rsidP="00F95689">
      <w:pPr>
        <w:rPr>
          <w:b/>
          <w:sz w:val="28"/>
          <w:szCs w:val="24"/>
        </w:rPr>
      </w:pPr>
      <w:r w:rsidRPr="00CB5271">
        <w:rPr>
          <w:b/>
          <w:sz w:val="28"/>
          <w:szCs w:val="24"/>
        </w:rPr>
        <w:t xml:space="preserve">Partners Are Taking </w:t>
      </w:r>
      <w:proofErr w:type="gramStart"/>
      <w:r w:rsidRPr="00CB5271">
        <w:rPr>
          <w:b/>
          <w:sz w:val="28"/>
          <w:szCs w:val="24"/>
        </w:rPr>
        <w:t>Into</w:t>
      </w:r>
      <w:proofErr w:type="gramEnd"/>
      <w:r w:rsidRPr="00CB5271">
        <w:rPr>
          <w:b/>
          <w:sz w:val="28"/>
          <w:szCs w:val="24"/>
        </w:rPr>
        <w:t xml:space="preserve"> Account</w:t>
      </w:r>
    </w:p>
    <w:p w:rsidR="00CB5271" w:rsidRDefault="005E45B1" w:rsidP="00CB52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Policy </w:t>
      </w:r>
      <w:r w:rsidR="00CB5271" w:rsidRPr="00CB5271">
        <w:rPr>
          <w:b/>
          <w:sz w:val="24"/>
          <w:szCs w:val="24"/>
        </w:rPr>
        <w:t>Goals</w:t>
      </w:r>
    </w:p>
    <w:p w:rsidR="00CB5271" w:rsidRDefault="00CB5271" w:rsidP="00CB527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B5271">
        <w:rPr>
          <w:sz w:val="24"/>
          <w:szCs w:val="24"/>
        </w:rPr>
        <w:t xml:space="preserve">This performance measure </w:t>
      </w:r>
      <w:r w:rsidR="00A926DF">
        <w:rPr>
          <w:sz w:val="24"/>
          <w:szCs w:val="24"/>
        </w:rPr>
        <w:t xml:space="preserve">(associated with the federal Congestion Mitigation and Air Quality Program) </w:t>
      </w:r>
      <w:r w:rsidRPr="00CB5271">
        <w:rPr>
          <w:sz w:val="24"/>
          <w:szCs w:val="24"/>
        </w:rPr>
        <w:t>recognizes the role that single-occupant vehicles play in contributing to traffic congestion and pollutant emissions.</w:t>
      </w:r>
    </w:p>
    <w:p w:rsidR="00CB5271" w:rsidRPr="00CB5271" w:rsidRDefault="00CB5271" w:rsidP="00CB527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 of all partner agencies reflect strong support for non-single-occupant modes, including public transit, ridesharing, walking, and biking.</w:t>
      </w:r>
    </w:p>
    <w:p w:rsidR="00F95689" w:rsidRDefault="00F95689" w:rsidP="00F956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95689">
        <w:rPr>
          <w:b/>
          <w:sz w:val="24"/>
          <w:szCs w:val="24"/>
        </w:rPr>
        <w:t>Data</w:t>
      </w:r>
    </w:p>
    <w:p w:rsidR="00FE0811" w:rsidRDefault="00FE0811" w:rsidP="00FE08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E0811">
        <w:rPr>
          <w:sz w:val="24"/>
          <w:szCs w:val="24"/>
        </w:rPr>
        <w:t xml:space="preserve">Non-SOV </w:t>
      </w:r>
      <w:r>
        <w:rPr>
          <w:sz w:val="24"/>
          <w:szCs w:val="24"/>
        </w:rPr>
        <w:t xml:space="preserve">travel </w:t>
      </w:r>
      <w:r w:rsidRPr="00FE0811">
        <w:rPr>
          <w:sz w:val="24"/>
          <w:szCs w:val="24"/>
        </w:rPr>
        <w:t>includes carpool, train, bus, walk, bike, taxi, rideshare, working at home, etc., anything other than driving alone.</w:t>
      </w:r>
    </w:p>
    <w:p w:rsidR="00FE0811" w:rsidRDefault="00FE0811" w:rsidP="00FE08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E0811">
        <w:rPr>
          <w:sz w:val="24"/>
          <w:szCs w:val="24"/>
        </w:rPr>
        <w:t>Percent non-SOV travel for the urbanized area is calculated using U.S. Census American Community Survey data about journey-to-work trips</w:t>
      </w:r>
      <w:r w:rsidR="00605104">
        <w:rPr>
          <w:sz w:val="24"/>
          <w:szCs w:val="24"/>
        </w:rPr>
        <w:t xml:space="preserve"> for residents of the urbanized area</w:t>
      </w:r>
      <w:r w:rsidRPr="00FE0811">
        <w:rPr>
          <w:sz w:val="24"/>
          <w:szCs w:val="24"/>
        </w:rPr>
        <w:t>.</w:t>
      </w:r>
      <w:r>
        <w:rPr>
          <w:sz w:val="24"/>
          <w:szCs w:val="24"/>
        </w:rPr>
        <w:t xml:space="preserve"> While all trips (not just journey-to-work) would be ideal to track, this regularly updated, approved dataset is recognized as the best available.</w:t>
      </w:r>
    </w:p>
    <w:p w:rsidR="00E52534" w:rsidRDefault="00E52534" w:rsidP="00FE08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data reflects five-year averages, with a time lag.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the baseline refers to 201</w:t>
      </w:r>
      <w:r w:rsidR="00805DE2">
        <w:rPr>
          <w:sz w:val="24"/>
          <w:szCs w:val="24"/>
        </w:rPr>
        <w:t>2</w:t>
      </w:r>
      <w:r>
        <w:rPr>
          <w:sz w:val="24"/>
          <w:szCs w:val="24"/>
        </w:rPr>
        <w:t>-2016 values, the 2-year target to 201</w:t>
      </w:r>
      <w:r w:rsidR="00430E98">
        <w:rPr>
          <w:sz w:val="24"/>
          <w:szCs w:val="24"/>
        </w:rPr>
        <w:t>4</w:t>
      </w:r>
      <w:r>
        <w:rPr>
          <w:sz w:val="24"/>
          <w:szCs w:val="24"/>
        </w:rPr>
        <w:t>-2018, and 4-year target to 201</w:t>
      </w:r>
      <w:r w:rsidR="00430E98">
        <w:rPr>
          <w:sz w:val="24"/>
          <w:szCs w:val="24"/>
        </w:rPr>
        <w:t>6</w:t>
      </w:r>
      <w:r>
        <w:rPr>
          <w:sz w:val="24"/>
          <w:szCs w:val="24"/>
        </w:rPr>
        <w:t xml:space="preserve">-2020. </w:t>
      </w:r>
    </w:p>
    <w:p w:rsidR="00F95689" w:rsidRDefault="00A2599A" w:rsidP="00F956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Trends</w:t>
      </w:r>
    </w:p>
    <w:p w:rsidR="00920ACD" w:rsidRDefault="00A2599A" w:rsidP="008A0E6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A3474">
        <w:rPr>
          <w:sz w:val="24"/>
          <w:szCs w:val="24"/>
        </w:rPr>
        <w:t>Percent Non-SOV Travel has</w:t>
      </w:r>
      <w:r w:rsidR="004A4BE2" w:rsidRPr="009A3474">
        <w:rPr>
          <w:sz w:val="24"/>
          <w:szCs w:val="24"/>
        </w:rPr>
        <w:t xml:space="preserve"> modestly</w:t>
      </w:r>
      <w:r w:rsidRPr="009A3474">
        <w:rPr>
          <w:sz w:val="24"/>
          <w:szCs w:val="24"/>
        </w:rPr>
        <w:t xml:space="preserve"> increased </w:t>
      </w:r>
      <w:r w:rsidR="00920ACD">
        <w:rPr>
          <w:sz w:val="24"/>
          <w:szCs w:val="24"/>
        </w:rPr>
        <w:t>in recent years</w:t>
      </w:r>
      <w:r w:rsidRPr="009A3474">
        <w:rPr>
          <w:sz w:val="24"/>
          <w:szCs w:val="24"/>
        </w:rPr>
        <w:t xml:space="preserve">, </w:t>
      </w:r>
      <w:r w:rsidR="00605104">
        <w:rPr>
          <w:sz w:val="24"/>
          <w:szCs w:val="24"/>
        </w:rPr>
        <w:t>associated with</w:t>
      </w:r>
      <w:r w:rsidRPr="009A3474">
        <w:rPr>
          <w:sz w:val="24"/>
          <w:szCs w:val="24"/>
        </w:rPr>
        <w:t xml:space="preserve"> </w:t>
      </w:r>
      <w:r w:rsidR="004A4BE2" w:rsidRPr="009A3474">
        <w:rPr>
          <w:sz w:val="24"/>
          <w:szCs w:val="24"/>
        </w:rPr>
        <w:t>factors such as growth in transit ridership.</w:t>
      </w:r>
      <w:r w:rsidR="009A3474" w:rsidRPr="009A3474">
        <w:rPr>
          <w:sz w:val="24"/>
          <w:szCs w:val="24"/>
        </w:rPr>
        <w:t xml:space="preserve"> </w:t>
      </w:r>
      <w:r w:rsidR="00920ACD">
        <w:rPr>
          <w:sz w:val="24"/>
          <w:szCs w:val="24"/>
        </w:rPr>
        <w:t>This has accompanied population growth and positive and negative employment changes.</w:t>
      </w:r>
    </w:p>
    <w:p w:rsidR="004A4BE2" w:rsidRDefault="004A4BE2" w:rsidP="008A0E6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A3474">
        <w:rPr>
          <w:sz w:val="24"/>
          <w:szCs w:val="24"/>
        </w:rPr>
        <w:t xml:space="preserve">Long term forecasts </w:t>
      </w:r>
      <w:r w:rsidR="009A3474" w:rsidRPr="009A3474">
        <w:rPr>
          <w:sz w:val="24"/>
          <w:szCs w:val="24"/>
        </w:rPr>
        <w:t>(plan horizo</w:t>
      </w:r>
      <w:r w:rsidR="00605104">
        <w:rPr>
          <w:sz w:val="24"/>
          <w:szCs w:val="24"/>
        </w:rPr>
        <w:t>n years) show minimal increases in percent non-SOV travel.</w:t>
      </w:r>
    </w:p>
    <w:p w:rsidR="00C55F41" w:rsidRPr="00A44E93" w:rsidRDefault="00A44E93" w:rsidP="008A0E6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</w:t>
      </w:r>
      <w:r w:rsidR="00C55F41" w:rsidRPr="00A44E93">
        <w:rPr>
          <w:sz w:val="24"/>
          <w:szCs w:val="24"/>
        </w:rPr>
        <w:t>his is a per</w:t>
      </w:r>
      <w:r w:rsidR="009A3474" w:rsidRPr="00A44E93">
        <w:rPr>
          <w:sz w:val="24"/>
          <w:szCs w:val="24"/>
        </w:rPr>
        <w:t>centage</w:t>
      </w:r>
      <w:r w:rsidR="00C55F41" w:rsidRPr="00A44E93">
        <w:rPr>
          <w:sz w:val="24"/>
          <w:szCs w:val="24"/>
        </w:rPr>
        <w:t xml:space="preserve"> measure</w:t>
      </w:r>
      <w:r>
        <w:rPr>
          <w:sz w:val="24"/>
          <w:szCs w:val="24"/>
        </w:rPr>
        <w:t>. I</w:t>
      </w:r>
      <w:r w:rsidRPr="00A44E93">
        <w:rPr>
          <w:sz w:val="24"/>
          <w:szCs w:val="24"/>
        </w:rPr>
        <w:t>f trip making continues to grow</w:t>
      </w:r>
      <w:r>
        <w:rPr>
          <w:sz w:val="24"/>
          <w:szCs w:val="24"/>
        </w:rPr>
        <w:t>, t</w:t>
      </w:r>
      <w:r w:rsidR="009A3474" w:rsidRPr="00A44E93">
        <w:rPr>
          <w:sz w:val="24"/>
          <w:szCs w:val="24"/>
        </w:rPr>
        <w:t xml:space="preserve">he absolute number of non-SOV trips would increase </w:t>
      </w:r>
      <w:r>
        <w:rPr>
          <w:sz w:val="24"/>
          <w:szCs w:val="24"/>
        </w:rPr>
        <w:t>even if the percentage stays the same.</w:t>
      </w:r>
    </w:p>
    <w:p w:rsidR="00F95689" w:rsidRDefault="00920ACD" w:rsidP="003027F2">
      <w:pPr>
        <w:pStyle w:val="ListParagraph"/>
        <w:keepNext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Impacts</w:t>
      </w:r>
    </w:p>
    <w:p w:rsidR="00E52534" w:rsidRDefault="00E52534" w:rsidP="00920AC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Changes are incremental to the five-year averages intrinsic to this measure. Any impacts of agency </w:t>
      </w:r>
      <w:proofErr w:type="gramStart"/>
      <w:r>
        <w:rPr>
          <w:sz w:val="24"/>
          <w:szCs w:val="24"/>
        </w:rPr>
        <w:t>plans</w:t>
      </w:r>
      <w:proofErr w:type="gramEnd"/>
      <w:r>
        <w:rPr>
          <w:sz w:val="24"/>
          <w:szCs w:val="24"/>
        </w:rPr>
        <w:t xml:space="preserve"> and programs must essentially already</w:t>
      </w:r>
      <w:r w:rsidRPr="00E52534">
        <w:rPr>
          <w:sz w:val="24"/>
          <w:szCs w:val="24"/>
        </w:rPr>
        <w:t xml:space="preserve"> </w:t>
      </w:r>
      <w:r>
        <w:rPr>
          <w:sz w:val="24"/>
          <w:szCs w:val="24"/>
        </w:rPr>
        <w:t>be underway to register.</w:t>
      </w:r>
    </w:p>
    <w:p w:rsidR="00947333" w:rsidRDefault="00920ACD" w:rsidP="00EF17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ability of the existing public transit system to accommodate increase</w:t>
      </w:r>
      <w:r w:rsidR="006B015C">
        <w:rPr>
          <w:sz w:val="24"/>
          <w:szCs w:val="24"/>
        </w:rPr>
        <w:t>d</w:t>
      </w:r>
      <w:r>
        <w:rPr>
          <w:sz w:val="24"/>
          <w:szCs w:val="24"/>
        </w:rPr>
        <w:t xml:space="preserve"> ridership is limited. Expansion of the transit network is limited over the</w:t>
      </w:r>
      <w:r w:rsidR="006B015C">
        <w:rPr>
          <w:sz w:val="24"/>
          <w:szCs w:val="24"/>
        </w:rPr>
        <w:t xml:space="preserve"> target </w:t>
      </w:r>
      <w:r>
        <w:rPr>
          <w:sz w:val="24"/>
          <w:szCs w:val="24"/>
        </w:rPr>
        <w:t>time frame.</w:t>
      </w:r>
    </w:p>
    <w:p w:rsidR="0056181F" w:rsidRPr="009A3474" w:rsidRDefault="0056181F" w:rsidP="005618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Continued increases in ridesharing, transportation network companies</w:t>
      </w:r>
      <w:r w:rsidRPr="00920ACD">
        <w:rPr>
          <w:sz w:val="24"/>
          <w:szCs w:val="24"/>
        </w:rPr>
        <w:t xml:space="preserve"> </w:t>
      </w:r>
      <w:r>
        <w:rPr>
          <w:sz w:val="24"/>
          <w:szCs w:val="24"/>
        </w:rPr>
        <w:t>(TNCs), walking and biking would contribute to increases for this measure.</w:t>
      </w:r>
    </w:p>
    <w:p w:rsidR="0056181F" w:rsidRDefault="0056181F" w:rsidP="005618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Land use, housing locations and work locations will continue to affect trip making and the use of non-SOV modes.</w:t>
      </w:r>
    </w:p>
    <w:p w:rsidR="0056181F" w:rsidRDefault="0056181F" w:rsidP="005618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Changes in pricing (e.g., congestion pricing, fuel costs, transit fares) would affect this measure.</w:t>
      </w:r>
    </w:p>
    <w:p w:rsidR="00EF170E" w:rsidRDefault="00EF170E" w:rsidP="00EF17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Uncertainty</w:t>
      </w:r>
    </w:p>
    <w:p w:rsidR="00EF170E" w:rsidRDefault="00EF170E" w:rsidP="00EF17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170E">
        <w:rPr>
          <w:sz w:val="24"/>
          <w:szCs w:val="24"/>
        </w:rPr>
        <w:t>Th</w:t>
      </w:r>
      <w:r>
        <w:rPr>
          <w:sz w:val="24"/>
          <w:szCs w:val="24"/>
        </w:rPr>
        <w:t>e variability in the trends (including numerous external factors) discussed above means that there is a significant range of likely values for this measure in coming years.</w:t>
      </w:r>
    </w:p>
    <w:p w:rsidR="00EF170E" w:rsidRDefault="00EF170E" w:rsidP="00EF17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F170E">
        <w:rPr>
          <w:b/>
          <w:sz w:val="24"/>
          <w:szCs w:val="24"/>
        </w:rPr>
        <w:t>Approach</w:t>
      </w:r>
    </w:p>
    <w:p w:rsidR="00EF170E" w:rsidRDefault="00EF170E" w:rsidP="00EF17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170E">
        <w:rPr>
          <w:sz w:val="24"/>
          <w:szCs w:val="24"/>
        </w:rPr>
        <w:t>Based on these considerations, the NYC/NJ MPOs and state DOTs are agreeing that an appropriate 2-year target (for the 2014-2018 period) is to maintain the percent non-SOV travel; and that an appropriate 4-year target (for the 2016-2020 period) would be a slight increase</w:t>
      </w:r>
      <w:r w:rsidR="00BE4F63">
        <w:rPr>
          <w:sz w:val="24"/>
          <w:szCs w:val="24"/>
        </w:rPr>
        <w:t>.</w:t>
      </w:r>
    </w:p>
    <w:p w:rsidR="00FE6DCA" w:rsidRDefault="00FE6DCA" w:rsidP="00FE6DCA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225"/>
        <w:tblW w:w="50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710"/>
        <w:gridCol w:w="1695"/>
      </w:tblGrid>
      <w:tr w:rsidR="00017D5A" w:rsidRPr="00FE6DCA" w:rsidTr="006D379A">
        <w:trPr>
          <w:trHeight w:val="675"/>
        </w:trPr>
        <w:tc>
          <w:tcPr>
            <w:tcW w:w="5025" w:type="dxa"/>
            <w:gridSpan w:val="3"/>
            <w:tcBorders>
              <w:top w:val="double" w:sz="4" w:space="0" w:color="5B9BD5" w:themeColor="accent1"/>
              <w:left w:val="double" w:sz="4" w:space="0" w:color="5B9BD5" w:themeColor="accent1"/>
              <w:bottom w:val="nil"/>
              <w:right w:val="double" w:sz="4" w:space="0" w:color="5B9BD5" w:themeColor="accent1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17D5A" w:rsidRPr="00017D5A" w:rsidRDefault="00017D5A" w:rsidP="006D379A">
            <w:pPr>
              <w:jc w:val="center"/>
              <w:rPr>
                <w:b/>
                <w:bCs/>
                <w:sz w:val="24"/>
                <w:szCs w:val="24"/>
              </w:rPr>
            </w:pPr>
            <w:r w:rsidRPr="00017D5A">
              <w:rPr>
                <w:b/>
                <w:bCs/>
                <w:sz w:val="28"/>
                <w:szCs w:val="24"/>
              </w:rPr>
              <w:t>New York</w:t>
            </w:r>
            <w:r w:rsidR="006D379A">
              <w:rPr>
                <w:b/>
                <w:bCs/>
                <w:sz w:val="28"/>
                <w:szCs w:val="24"/>
              </w:rPr>
              <w:t>-</w:t>
            </w:r>
            <w:proofErr w:type="gramStart"/>
            <w:r w:rsidRPr="00017D5A">
              <w:rPr>
                <w:b/>
                <w:bCs/>
                <w:sz w:val="28"/>
                <w:szCs w:val="24"/>
              </w:rPr>
              <w:t>Newark,  NY</w:t>
            </w:r>
            <w:proofErr w:type="gramEnd"/>
            <w:r w:rsidR="006D379A">
              <w:rPr>
                <w:b/>
                <w:bCs/>
                <w:sz w:val="28"/>
                <w:szCs w:val="24"/>
              </w:rPr>
              <w:t>-</w:t>
            </w:r>
            <w:r w:rsidRPr="00017D5A">
              <w:rPr>
                <w:b/>
                <w:bCs/>
                <w:sz w:val="28"/>
                <w:szCs w:val="24"/>
              </w:rPr>
              <w:t>NJ</w:t>
            </w:r>
            <w:r w:rsidR="006D379A">
              <w:rPr>
                <w:b/>
                <w:bCs/>
                <w:sz w:val="28"/>
                <w:szCs w:val="24"/>
              </w:rPr>
              <w:t>-</w:t>
            </w:r>
            <w:r w:rsidRPr="00017D5A">
              <w:rPr>
                <w:b/>
                <w:bCs/>
                <w:sz w:val="28"/>
                <w:szCs w:val="24"/>
              </w:rPr>
              <w:t xml:space="preserve">CT Urbanized Area Targets for Non-SOV Travel </w:t>
            </w:r>
          </w:p>
        </w:tc>
      </w:tr>
      <w:tr w:rsidR="00017D5A" w:rsidRPr="00FE6DCA" w:rsidTr="006D379A">
        <w:trPr>
          <w:trHeight w:val="517"/>
        </w:trPr>
        <w:tc>
          <w:tcPr>
            <w:tcW w:w="1620" w:type="dxa"/>
            <w:tcBorders>
              <w:top w:val="double" w:sz="4" w:space="0" w:color="5B9BD5" w:themeColor="accent1"/>
              <w:left w:val="double" w:sz="4" w:space="0" w:color="5B9BD5" w:themeColor="accent1"/>
              <w:bottom w:val="nil"/>
              <w:right w:val="nil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17D5A" w:rsidRPr="00FE6DCA" w:rsidRDefault="00017D5A" w:rsidP="006D37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Pr="00FE6DCA">
              <w:rPr>
                <w:sz w:val="24"/>
                <w:szCs w:val="24"/>
              </w:rPr>
              <w:t>2011-2016</w:t>
            </w:r>
          </w:p>
        </w:tc>
        <w:tc>
          <w:tcPr>
            <w:tcW w:w="1710" w:type="dxa"/>
            <w:tcBorders>
              <w:top w:val="double" w:sz="4" w:space="0" w:color="5B9BD5" w:themeColor="accent1"/>
              <w:left w:val="nil"/>
              <w:bottom w:val="nil"/>
              <w:right w:val="nil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17D5A" w:rsidRPr="00FE6DCA" w:rsidRDefault="00017D5A" w:rsidP="00017D5A">
            <w:pPr>
              <w:jc w:val="center"/>
              <w:rPr>
                <w:sz w:val="24"/>
                <w:szCs w:val="24"/>
              </w:rPr>
            </w:pPr>
            <w:r w:rsidRPr="00FE6DCA">
              <w:rPr>
                <w:i/>
                <w:iCs/>
                <w:sz w:val="24"/>
                <w:szCs w:val="24"/>
              </w:rPr>
              <w:t>51.6%</w:t>
            </w:r>
          </w:p>
        </w:tc>
        <w:tc>
          <w:tcPr>
            <w:tcW w:w="1695" w:type="dxa"/>
            <w:tcBorders>
              <w:top w:val="double" w:sz="4" w:space="0" w:color="5B9BD5" w:themeColor="accent1"/>
              <w:left w:val="nil"/>
              <w:bottom w:val="nil"/>
              <w:right w:val="double" w:sz="4" w:space="0" w:color="5B9BD5" w:themeColor="accent1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17D5A" w:rsidRPr="00017D5A" w:rsidRDefault="00017D5A" w:rsidP="006D379A">
            <w:pPr>
              <w:jc w:val="center"/>
              <w:rPr>
                <w:sz w:val="24"/>
                <w:szCs w:val="24"/>
              </w:rPr>
            </w:pPr>
            <w:r w:rsidRPr="00017D5A">
              <w:rPr>
                <w:bCs/>
                <w:sz w:val="24"/>
                <w:szCs w:val="24"/>
              </w:rPr>
              <w:t>Baseline</w:t>
            </w:r>
            <w:r>
              <w:rPr>
                <w:bCs/>
                <w:sz w:val="24"/>
                <w:szCs w:val="24"/>
              </w:rPr>
              <w:t>]</w:t>
            </w:r>
          </w:p>
        </w:tc>
      </w:tr>
      <w:tr w:rsidR="00017D5A" w:rsidRPr="00FE6DCA" w:rsidTr="006D379A">
        <w:trPr>
          <w:trHeight w:val="580"/>
        </w:trPr>
        <w:tc>
          <w:tcPr>
            <w:tcW w:w="1620" w:type="dxa"/>
            <w:tcBorders>
              <w:top w:val="nil"/>
              <w:left w:val="double" w:sz="4" w:space="0" w:color="5B9BD5" w:themeColor="accent1"/>
              <w:bottom w:val="nil"/>
              <w:right w:val="nil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17D5A" w:rsidRPr="00017D5A" w:rsidRDefault="00017D5A" w:rsidP="00017D5A">
            <w:pPr>
              <w:jc w:val="center"/>
              <w:rPr>
                <w:b/>
                <w:sz w:val="24"/>
                <w:szCs w:val="24"/>
              </w:rPr>
            </w:pPr>
            <w:r w:rsidRPr="00017D5A">
              <w:rPr>
                <w:b/>
                <w:sz w:val="24"/>
                <w:szCs w:val="24"/>
              </w:rPr>
              <w:t>2013-2018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17D5A" w:rsidRPr="00017D5A" w:rsidRDefault="00017D5A" w:rsidP="00017D5A">
            <w:pPr>
              <w:jc w:val="center"/>
              <w:rPr>
                <w:b/>
                <w:sz w:val="24"/>
                <w:szCs w:val="24"/>
              </w:rPr>
            </w:pPr>
            <w:r w:rsidRPr="00017D5A">
              <w:rPr>
                <w:b/>
                <w:i/>
                <w:iCs/>
                <w:sz w:val="24"/>
                <w:szCs w:val="24"/>
              </w:rPr>
              <w:t>51.6%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double" w:sz="4" w:space="0" w:color="5B9BD5" w:themeColor="accent1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17D5A" w:rsidRPr="00017D5A" w:rsidRDefault="00017D5A" w:rsidP="00017D5A">
            <w:pPr>
              <w:jc w:val="center"/>
              <w:rPr>
                <w:b/>
                <w:sz w:val="24"/>
                <w:szCs w:val="24"/>
              </w:rPr>
            </w:pPr>
            <w:r w:rsidRPr="00017D5A">
              <w:rPr>
                <w:b/>
                <w:bCs/>
                <w:sz w:val="24"/>
                <w:szCs w:val="24"/>
              </w:rPr>
              <w:t>2-Year Target</w:t>
            </w:r>
          </w:p>
        </w:tc>
      </w:tr>
      <w:tr w:rsidR="00017D5A" w:rsidRPr="00FE6DCA" w:rsidTr="006D379A">
        <w:trPr>
          <w:trHeight w:val="625"/>
        </w:trPr>
        <w:tc>
          <w:tcPr>
            <w:tcW w:w="1620" w:type="dxa"/>
            <w:tcBorders>
              <w:top w:val="nil"/>
              <w:left w:val="double" w:sz="4" w:space="0" w:color="5B9BD5" w:themeColor="accent1"/>
              <w:bottom w:val="double" w:sz="4" w:space="0" w:color="5B9BD5" w:themeColor="accent1"/>
              <w:right w:val="nil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17D5A" w:rsidRPr="00017D5A" w:rsidRDefault="00017D5A" w:rsidP="00017D5A">
            <w:pPr>
              <w:jc w:val="center"/>
              <w:rPr>
                <w:b/>
                <w:sz w:val="24"/>
                <w:szCs w:val="24"/>
              </w:rPr>
            </w:pPr>
            <w:r w:rsidRPr="00017D5A">
              <w:rPr>
                <w:b/>
                <w:sz w:val="24"/>
                <w:szCs w:val="24"/>
              </w:rPr>
              <w:t>2015-2020</w:t>
            </w:r>
          </w:p>
        </w:tc>
        <w:tc>
          <w:tcPr>
            <w:tcW w:w="1710" w:type="dxa"/>
            <w:tcBorders>
              <w:top w:val="nil"/>
              <w:left w:val="nil"/>
              <w:bottom w:val="double" w:sz="4" w:space="0" w:color="5B9BD5" w:themeColor="accent1"/>
              <w:right w:val="nil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17D5A" w:rsidRPr="00017D5A" w:rsidRDefault="00017D5A" w:rsidP="00017D5A">
            <w:pPr>
              <w:jc w:val="center"/>
              <w:rPr>
                <w:b/>
                <w:sz w:val="24"/>
                <w:szCs w:val="24"/>
              </w:rPr>
            </w:pPr>
            <w:r w:rsidRPr="00017D5A">
              <w:rPr>
                <w:b/>
                <w:i/>
                <w:iCs/>
                <w:sz w:val="24"/>
                <w:szCs w:val="24"/>
              </w:rPr>
              <w:t>51.7%</w:t>
            </w:r>
          </w:p>
        </w:tc>
        <w:tc>
          <w:tcPr>
            <w:tcW w:w="1695" w:type="dxa"/>
            <w:tcBorders>
              <w:top w:val="nil"/>
              <w:left w:val="nil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17D5A" w:rsidRPr="00017D5A" w:rsidRDefault="00017D5A" w:rsidP="00017D5A">
            <w:pPr>
              <w:jc w:val="center"/>
              <w:rPr>
                <w:b/>
                <w:sz w:val="24"/>
                <w:szCs w:val="24"/>
              </w:rPr>
            </w:pPr>
            <w:r w:rsidRPr="00017D5A">
              <w:rPr>
                <w:b/>
                <w:bCs/>
                <w:sz w:val="24"/>
                <w:szCs w:val="24"/>
              </w:rPr>
              <w:t>4-Year Target</w:t>
            </w:r>
          </w:p>
        </w:tc>
      </w:tr>
    </w:tbl>
    <w:p w:rsidR="00FE6DCA" w:rsidRDefault="00FE6DCA" w:rsidP="00FE6DCA">
      <w:pPr>
        <w:rPr>
          <w:sz w:val="24"/>
          <w:szCs w:val="24"/>
        </w:rPr>
      </w:pPr>
    </w:p>
    <w:p w:rsidR="00FE6DCA" w:rsidRPr="00FE6DCA" w:rsidRDefault="00FE6DCA" w:rsidP="00FE6DCA">
      <w:pPr>
        <w:rPr>
          <w:sz w:val="24"/>
          <w:szCs w:val="24"/>
        </w:rPr>
      </w:pPr>
    </w:p>
    <w:p w:rsidR="00FE6DCA" w:rsidRDefault="00FE6DCA" w:rsidP="00FE6DCA">
      <w:pPr>
        <w:rPr>
          <w:sz w:val="24"/>
          <w:szCs w:val="24"/>
        </w:rPr>
      </w:pPr>
    </w:p>
    <w:p w:rsidR="00CB5271" w:rsidRPr="00FE6DCA" w:rsidRDefault="00CB5271" w:rsidP="00FE6DCA">
      <w:pPr>
        <w:rPr>
          <w:sz w:val="24"/>
          <w:szCs w:val="24"/>
        </w:rPr>
      </w:pPr>
      <w:r w:rsidRPr="00FE6DCA">
        <w:rPr>
          <w:sz w:val="24"/>
          <w:szCs w:val="24"/>
        </w:rPr>
        <w:br w:type="page"/>
      </w:r>
    </w:p>
    <w:p w:rsidR="00CB5271" w:rsidRDefault="00CB5271" w:rsidP="00CB5271">
      <w:pPr>
        <w:jc w:val="center"/>
        <w:rPr>
          <w:b/>
          <w:sz w:val="32"/>
          <w:szCs w:val="32"/>
        </w:rPr>
      </w:pPr>
      <w:r w:rsidRPr="00F95689">
        <w:rPr>
          <w:b/>
          <w:sz w:val="32"/>
          <w:szCs w:val="32"/>
        </w:rPr>
        <w:lastRenderedPageBreak/>
        <w:t xml:space="preserve">Peak Hour Excessive Delay per </w:t>
      </w:r>
      <w:proofErr w:type="gramStart"/>
      <w:r w:rsidRPr="00F95689">
        <w:rPr>
          <w:b/>
          <w:sz w:val="32"/>
          <w:szCs w:val="32"/>
        </w:rPr>
        <w:t xml:space="preserve">Capita </w:t>
      </w:r>
      <w:r w:rsidR="005E45B1">
        <w:rPr>
          <w:b/>
          <w:sz w:val="32"/>
          <w:szCs w:val="32"/>
        </w:rPr>
        <w:t xml:space="preserve"> (</w:t>
      </w:r>
      <w:proofErr w:type="gramEnd"/>
      <w:r w:rsidR="005E45B1">
        <w:rPr>
          <w:b/>
          <w:sz w:val="32"/>
          <w:szCs w:val="32"/>
        </w:rPr>
        <w:t>PHED)</w:t>
      </w:r>
    </w:p>
    <w:p w:rsidR="005E45B1" w:rsidRDefault="005E45B1" w:rsidP="005E45B1">
      <w:pPr>
        <w:jc w:val="center"/>
        <w:rPr>
          <w:b/>
          <w:sz w:val="32"/>
          <w:szCs w:val="32"/>
        </w:rPr>
      </w:pPr>
      <w:r w:rsidRPr="00CB5271">
        <w:rPr>
          <w:b/>
          <w:sz w:val="32"/>
          <w:szCs w:val="32"/>
        </w:rPr>
        <w:t xml:space="preserve">New York—Newark, NY—NJ—CT </w:t>
      </w:r>
      <w:r>
        <w:rPr>
          <w:b/>
          <w:sz w:val="32"/>
          <w:szCs w:val="32"/>
        </w:rPr>
        <w:t>Urbanized Area</w:t>
      </w:r>
    </w:p>
    <w:p w:rsidR="005E45B1" w:rsidRDefault="005E45B1" w:rsidP="005E45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Target Setting </w:t>
      </w:r>
      <w:r w:rsidRPr="00CB5271">
        <w:rPr>
          <w:b/>
          <w:sz w:val="32"/>
          <w:szCs w:val="32"/>
        </w:rPr>
        <w:t>Considerations</w:t>
      </w:r>
    </w:p>
    <w:p w:rsidR="005E45B1" w:rsidRPr="00CB5271" w:rsidRDefault="005E45B1" w:rsidP="005E45B1">
      <w:pPr>
        <w:rPr>
          <w:b/>
          <w:sz w:val="28"/>
          <w:szCs w:val="24"/>
        </w:rPr>
      </w:pPr>
      <w:r w:rsidRPr="00CB5271">
        <w:rPr>
          <w:b/>
          <w:sz w:val="28"/>
          <w:szCs w:val="24"/>
        </w:rPr>
        <w:t xml:space="preserve">Partners Are Taking </w:t>
      </w:r>
      <w:proofErr w:type="gramStart"/>
      <w:r w:rsidRPr="00CB5271">
        <w:rPr>
          <w:b/>
          <w:sz w:val="28"/>
          <w:szCs w:val="24"/>
        </w:rPr>
        <w:t>Into</w:t>
      </w:r>
      <w:proofErr w:type="gramEnd"/>
      <w:r w:rsidRPr="00CB5271">
        <w:rPr>
          <w:b/>
          <w:sz w:val="28"/>
          <w:szCs w:val="24"/>
        </w:rPr>
        <w:t xml:space="preserve"> Account</w:t>
      </w:r>
    </w:p>
    <w:p w:rsidR="00153E4F" w:rsidRDefault="00153E4F" w:rsidP="00153E4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Policy </w:t>
      </w:r>
      <w:r w:rsidRPr="00CB5271">
        <w:rPr>
          <w:b/>
          <w:sz w:val="24"/>
          <w:szCs w:val="24"/>
        </w:rPr>
        <w:t>Goals</w:t>
      </w:r>
    </w:p>
    <w:p w:rsidR="00153E4F" w:rsidRDefault="00153E4F" w:rsidP="00153E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53E4F">
        <w:rPr>
          <w:sz w:val="24"/>
          <w:szCs w:val="24"/>
        </w:rPr>
        <w:t>This performance measure (associated with the federal Congestion Miti</w:t>
      </w:r>
      <w:r>
        <w:rPr>
          <w:sz w:val="24"/>
          <w:szCs w:val="24"/>
        </w:rPr>
        <w:t>gation and Air Quality Program) deals with excessive</w:t>
      </w:r>
      <w:r w:rsidRPr="00153E4F">
        <w:rPr>
          <w:sz w:val="24"/>
          <w:szCs w:val="24"/>
        </w:rPr>
        <w:t xml:space="preserve"> traffic congestion</w:t>
      </w:r>
      <w:r w:rsidR="00605104">
        <w:rPr>
          <w:sz w:val="24"/>
          <w:szCs w:val="24"/>
        </w:rPr>
        <w:t xml:space="preserve"> and the role that it plays in pollutant emissions</w:t>
      </w:r>
      <w:r w:rsidRPr="00153E4F">
        <w:rPr>
          <w:sz w:val="24"/>
          <w:szCs w:val="24"/>
        </w:rPr>
        <w:t>.</w:t>
      </w:r>
    </w:p>
    <w:p w:rsidR="00153E4F" w:rsidRPr="00886088" w:rsidRDefault="00153E4F" w:rsidP="00153E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86088">
        <w:rPr>
          <w:sz w:val="24"/>
          <w:szCs w:val="24"/>
        </w:rPr>
        <w:t>Goals of all partner agencies address the need to appropriately manage traffic congestion.</w:t>
      </w:r>
      <w:r w:rsidR="00886088">
        <w:rPr>
          <w:sz w:val="24"/>
          <w:szCs w:val="24"/>
        </w:rPr>
        <w:t xml:space="preserve"> </w:t>
      </w:r>
      <w:r w:rsidRPr="00886088">
        <w:rPr>
          <w:sz w:val="24"/>
          <w:szCs w:val="24"/>
        </w:rPr>
        <w:t xml:space="preserve">The “excessive” part of the PHED name is because some level of congestion is recognized as acceptable and is thus not counted. This </w:t>
      </w:r>
      <w:r w:rsidR="00886088" w:rsidRPr="00886088">
        <w:rPr>
          <w:sz w:val="24"/>
          <w:szCs w:val="24"/>
        </w:rPr>
        <w:t>correspon</w:t>
      </w:r>
      <w:r w:rsidR="00886088">
        <w:rPr>
          <w:sz w:val="24"/>
          <w:szCs w:val="24"/>
        </w:rPr>
        <w:t>ds to recognition that it is not possible or even desirable to eliminate all congestion delay; some congestion accompanies economic activity and thriving places.</w:t>
      </w:r>
    </w:p>
    <w:p w:rsidR="00153E4F" w:rsidRPr="00153E4F" w:rsidRDefault="00153E4F" w:rsidP="00153E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53E4F">
        <w:rPr>
          <w:sz w:val="24"/>
          <w:szCs w:val="24"/>
        </w:rPr>
        <w:t xml:space="preserve">The “per capita” implies that the total delay is shared by all residents; hence </w:t>
      </w:r>
      <w:r>
        <w:rPr>
          <w:sz w:val="24"/>
          <w:szCs w:val="24"/>
        </w:rPr>
        <w:t xml:space="preserve">it considers it beneficial for </w:t>
      </w:r>
      <w:r w:rsidRPr="00153E4F">
        <w:rPr>
          <w:sz w:val="24"/>
          <w:szCs w:val="24"/>
        </w:rPr>
        <w:t>some trips can be avoided or shifted to walking or biking or shifted out of the peak period.</w:t>
      </w:r>
    </w:p>
    <w:p w:rsidR="00CB5271" w:rsidRDefault="00CB5271" w:rsidP="00CB52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95689">
        <w:rPr>
          <w:b/>
          <w:sz w:val="24"/>
          <w:szCs w:val="24"/>
        </w:rPr>
        <w:t>Data</w:t>
      </w:r>
    </w:p>
    <w:p w:rsidR="00153E4F" w:rsidRPr="00153E4F" w:rsidRDefault="00153E4F" w:rsidP="00153E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53E4F">
        <w:rPr>
          <w:sz w:val="24"/>
          <w:szCs w:val="24"/>
        </w:rPr>
        <w:t>This is a measure of congestion on all roadways o</w:t>
      </w:r>
      <w:r w:rsidR="00605104">
        <w:rPr>
          <w:sz w:val="24"/>
          <w:szCs w:val="24"/>
        </w:rPr>
        <w:t>n</w:t>
      </w:r>
      <w:r w:rsidRPr="00153E4F">
        <w:rPr>
          <w:sz w:val="24"/>
          <w:szCs w:val="24"/>
        </w:rPr>
        <w:t xml:space="preserve"> the National Highway System </w:t>
      </w:r>
      <w:r w:rsidR="0098506A">
        <w:rPr>
          <w:sz w:val="24"/>
          <w:szCs w:val="24"/>
        </w:rPr>
        <w:t xml:space="preserve">(NHS) </w:t>
      </w:r>
      <w:r w:rsidRPr="00153E4F">
        <w:rPr>
          <w:sz w:val="24"/>
          <w:szCs w:val="24"/>
        </w:rPr>
        <w:t xml:space="preserve">(mostly roads that are principal arterials or greater functional class) in the urbanized area. </w:t>
      </w:r>
    </w:p>
    <w:p w:rsidR="00153E4F" w:rsidRPr="00153E4F" w:rsidRDefault="00153E4F" w:rsidP="00153E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53E4F">
        <w:rPr>
          <w:sz w:val="24"/>
          <w:szCs w:val="24"/>
        </w:rPr>
        <w:t>The measure sums up the delay experienced by travelers throughout an entire year on those roads, specifically during peak periods.</w:t>
      </w:r>
    </w:p>
    <w:p w:rsidR="00967E27" w:rsidRDefault="00D87FD3" w:rsidP="00D87FD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967E27">
        <w:rPr>
          <w:sz w:val="24"/>
          <w:szCs w:val="24"/>
        </w:rPr>
        <w:t xml:space="preserve">ravel times in this measure </w:t>
      </w:r>
      <w:r>
        <w:rPr>
          <w:sz w:val="24"/>
          <w:szCs w:val="24"/>
        </w:rPr>
        <w:t xml:space="preserve">are from </w:t>
      </w:r>
      <w:r w:rsidR="00967E27">
        <w:rPr>
          <w:sz w:val="24"/>
          <w:szCs w:val="24"/>
        </w:rPr>
        <w:t>the National Performance Management Research Data Set</w:t>
      </w:r>
      <w:r>
        <w:rPr>
          <w:sz w:val="24"/>
          <w:szCs w:val="24"/>
        </w:rPr>
        <w:t xml:space="preserve"> (NPRMDS), based on archived </w:t>
      </w:r>
      <w:r w:rsidRPr="00D87FD3">
        <w:rPr>
          <w:sz w:val="24"/>
          <w:szCs w:val="24"/>
        </w:rPr>
        <w:t>probe</w:t>
      </w:r>
      <w:r>
        <w:rPr>
          <w:sz w:val="24"/>
          <w:szCs w:val="24"/>
        </w:rPr>
        <w:t>-based traffic</w:t>
      </w:r>
      <w:r w:rsidRPr="00D87FD3">
        <w:rPr>
          <w:sz w:val="24"/>
          <w:szCs w:val="24"/>
        </w:rPr>
        <w:t xml:space="preserve"> data</w:t>
      </w:r>
      <w:r w:rsidR="00967E2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Traffic volumes are </w:t>
      </w:r>
      <w:r w:rsidR="00967E27">
        <w:rPr>
          <w:sz w:val="24"/>
          <w:szCs w:val="24"/>
        </w:rPr>
        <w:t xml:space="preserve">from </w:t>
      </w:r>
      <w:r>
        <w:rPr>
          <w:sz w:val="24"/>
          <w:szCs w:val="24"/>
        </w:rPr>
        <w:t>the national</w:t>
      </w:r>
      <w:r w:rsidR="00967E27">
        <w:rPr>
          <w:sz w:val="24"/>
          <w:szCs w:val="24"/>
        </w:rPr>
        <w:t xml:space="preserve"> </w:t>
      </w:r>
      <w:r w:rsidR="00967E27" w:rsidRPr="00967E27">
        <w:rPr>
          <w:sz w:val="24"/>
          <w:szCs w:val="24"/>
        </w:rPr>
        <w:t>Highway Performance Monitoring System</w:t>
      </w:r>
      <w:r>
        <w:rPr>
          <w:sz w:val="24"/>
          <w:szCs w:val="24"/>
        </w:rPr>
        <w:t xml:space="preserve"> (HPMS). Vehicle occupancies and time-of-day travel distributions are from national survey data and established estimation formulas.</w:t>
      </w:r>
    </w:p>
    <w:p w:rsidR="00CB5271" w:rsidRDefault="00D87FD3" w:rsidP="00CB527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NPMRDS data is new and imperfect, but the best source that is available and approved for use.</w:t>
      </w:r>
      <w:r w:rsidR="007A2416">
        <w:rPr>
          <w:sz w:val="24"/>
          <w:szCs w:val="24"/>
        </w:rPr>
        <w:t xml:space="preserve"> It is appropriate to consider the analysis for this measure to be “tentative” and </w:t>
      </w:r>
      <w:r w:rsidR="00605104">
        <w:rPr>
          <w:sz w:val="24"/>
          <w:szCs w:val="24"/>
        </w:rPr>
        <w:t xml:space="preserve">neither a baseline nor a </w:t>
      </w:r>
      <w:r w:rsidR="007A2416">
        <w:rPr>
          <w:sz w:val="24"/>
          <w:szCs w:val="24"/>
        </w:rPr>
        <w:t xml:space="preserve">2-year target </w:t>
      </w:r>
      <w:r w:rsidR="00605104">
        <w:rPr>
          <w:sz w:val="24"/>
          <w:szCs w:val="24"/>
        </w:rPr>
        <w:t xml:space="preserve">are </w:t>
      </w:r>
      <w:r w:rsidR="007A2416">
        <w:rPr>
          <w:sz w:val="24"/>
          <w:szCs w:val="24"/>
        </w:rPr>
        <w:t>required by FHWA.</w:t>
      </w:r>
    </w:p>
    <w:p w:rsidR="000A581F" w:rsidRPr="001A4CA8" w:rsidRDefault="000A581F" w:rsidP="00CB527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2017 data is available for consideration as a baseline. The required 4-year target refers to travel in 2021.</w:t>
      </w:r>
    </w:p>
    <w:p w:rsidR="00CB5271" w:rsidRDefault="00967E27" w:rsidP="00CB52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Trends</w:t>
      </w:r>
    </w:p>
    <w:p w:rsidR="000C5675" w:rsidRDefault="007A2416" w:rsidP="000F10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C5675">
        <w:rPr>
          <w:sz w:val="24"/>
          <w:szCs w:val="24"/>
        </w:rPr>
        <w:t xml:space="preserve">There is no </w:t>
      </w:r>
      <w:r w:rsidR="000C5675" w:rsidRPr="000C5675">
        <w:rPr>
          <w:sz w:val="24"/>
          <w:szCs w:val="24"/>
        </w:rPr>
        <w:t xml:space="preserve">historical </w:t>
      </w:r>
      <w:r w:rsidRPr="000C5675">
        <w:rPr>
          <w:sz w:val="24"/>
          <w:szCs w:val="24"/>
        </w:rPr>
        <w:t xml:space="preserve">trend </w:t>
      </w:r>
      <w:r w:rsidR="000C5675" w:rsidRPr="000C5675">
        <w:rPr>
          <w:sz w:val="24"/>
          <w:szCs w:val="24"/>
        </w:rPr>
        <w:t xml:space="preserve">data </w:t>
      </w:r>
      <w:r w:rsidRPr="000C5675">
        <w:rPr>
          <w:sz w:val="24"/>
          <w:szCs w:val="24"/>
        </w:rPr>
        <w:t>for this measure</w:t>
      </w:r>
      <w:r w:rsidR="0098506A" w:rsidRPr="000C5675">
        <w:rPr>
          <w:sz w:val="24"/>
          <w:szCs w:val="24"/>
        </w:rPr>
        <w:t>.</w:t>
      </w:r>
      <w:r w:rsidR="000C5675">
        <w:rPr>
          <w:sz w:val="24"/>
          <w:szCs w:val="24"/>
        </w:rPr>
        <w:t xml:space="preserve"> R</w:t>
      </w:r>
      <w:r w:rsidR="0098506A" w:rsidRPr="000C5675">
        <w:rPr>
          <w:sz w:val="24"/>
          <w:szCs w:val="24"/>
        </w:rPr>
        <w:t xml:space="preserve">elated measures of congestion and delay have shown recent increases. </w:t>
      </w:r>
    </w:p>
    <w:p w:rsidR="00336A15" w:rsidRDefault="0098506A" w:rsidP="000732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36A15">
        <w:rPr>
          <w:sz w:val="24"/>
          <w:szCs w:val="24"/>
        </w:rPr>
        <w:t>Long term forecasts of a similar measure suggest modest increases over time.</w:t>
      </w:r>
    </w:p>
    <w:p w:rsidR="000C5675" w:rsidRPr="00336A15" w:rsidRDefault="0098506A" w:rsidP="000732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36A15">
        <w:rPr>
          <w:sz w:val="24"/>
          <w:szCs w:val="24"/>
        </w:rPr>
        <w:t xml:space="preserve">With </w:t>
      </w:r>
      <w:r w:rsidR="00CB5271" w:rsidRPr="00336A15">
        <w:rPr>
          <w:sz w:val="24"/>
          <w:szCs w:val="24"/>
        </w:rPr>
        <w:t>econom</w:t>
      </w:r>
      <w:r w:rsidRPr="00336A15">
        <w:rPr>
          <w:sz w:val="24"/>
          <w:szCs w:val="24"/>
        </w:rPr>
        <w:t>ic growth,</w:t>
      </w:r>
      <w:r w:rsidR="00CB5271" w:rsidRPr="00336A15">
        <w:rPr>
          <w:sz w:val="24"/>
          <w:szCs w:val="24"/>
        </w:rPr>
        <w:t xml:space="preserve"> </w:t>
      </w:r>
      <w:r w:rsidRPr="00336A15">
        <w:rPr>
          <w:sz w:val="24"/>
          <w:szCs w:val="24"/>
        </w:rPr>
        <w:t xml:space="preserve">increases in the </w:t>
      </w:r>
      <w:r w:rsidR="00CB5271" w:rsidRPr="00336A15">
        <w:rPr>
          <w:sz w:val="24"/>
          <w:szCs w:val="24"/>
        </w:rPr>
        <w:t xml:space="preserve">number of people traveling and the movement of freight </w:t>
      </w:r>
      <w:r w:rsidRPr="00336A15">
        <w:rPr>
          <w:sz w:val="24"/>
          <w:szCs w:val="24"/>
        </w:rPr>
        <w:t xml:space="preserve">on NHS roadways </w:t>
      </w:r>
      <w:r w:rsidR="0056181F" w:rsidRPr="00336A15">
        <w:rPr>
          <w:sz w:val="24"/>
          <w:szCs w:val="24"/>
        </w:rPr>
        <w:t>would</w:t>
      </w:r>
      <w:r w:rsidR="00CB5271" w:rsidRPr="00336A15">
        <w:rPr>
          <w:sz w:val="24"/>
          <w:szCs w:val="24"/>
        </w:rPr>
        <w:t xml:space="preserve"> likely increase</w:t>
      </w:r>
      <w:r w:rsidRPr="00336A15">
        <w:rPr>
          <w:sz w:val="24"/>
          <w:szCs w:val="24"/>
        </w:rPr>
        <w:t xml:space="preserve"> delay. This would be </w:t>
      </w:r>
      <w:r w:rsidRPr="00336A15">
        <w:rPr>
          <w:sz w:val="24"/>
          <w:szCs w:val="24"/>
        </w:rPr>
        <w:lastRenderedPageBreak/>
        <w:t xml:space="preserve">only partially balanced by population growth </w:t>
      </w:r>
      <w:r w:rsidR="00605104">
        <w:rPr>
          <w:sz w:val="24"/>
          <w:szCs w:val="24"/>
        </w:rPr>
        <w:t>reflected in</w:t>
      </w:r>
      <w:r w:rsidRPr="00336A15">
        <w:rPr>
          <w:sz w:val="24"/>
          <w:szCs w:val="24"/>
        </w:rPr>
        <w:t xml:space="preserve"> the “per capita” </w:t>
      </w:r>
      <w:r w:rsidR="00605104">
        <w:rPr>
          <w:sz w:val="24"/>
          <w:szCs w:val="24"/>
        </w:rPr>
        <w:t>portion of the measure</w:t>
      </w:r>
      <w:r w:rsidRPr="00336A15">
        <w:rPr>
          <w:sz w:val="24"/>
          <w:szCs w:val="24"/>
        </w:rPr>
        <w:t>.</w:t>
      </w:r>
    </w:p>
    <w:p w:rsidR="00CB5271" w:rsidRDefault="00CB5271" w:rsidP="00CB52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Impacts</w:t>
      </w:r>
    </w:p>
    <w:p w:rsidR="009B1761" w:rsidRDefault="009B1761" w:rsidP="00C011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Transportation investment resources in the urbanized area are (by necessity) largely directed toward preserving the existing system. Agency plans and programs therefore have relatively small impact on NHS roadway delay</w:t>
      </w:r>
      <w:r w:rsidR="00CC7863">
        <w:rPr>
          <w:sz w:val="24"/>
          <w:szCs w:val="24"/>
        </w:rPr>
        <w:t xml:space="preserve"> overall</w:t>
      </w:r>
      <w:r>
        <w:rPr>
          <w:sz w:val="24"/>
          <w:szCs w:val="24"/>
        </w:rPr>
        <w:t>.</w:t>
      </w:r>
    </w:p>
    <w:p w:rsidR="0056181F" w:rsidRPr="00CD21C1" w:rsidRDefault="00CC7863" w:rsidP="00C011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CD21C1" w:rsidRPr="00CD21C1">
        <w:rPr>
          <w:sz w:val="24"/>
          <w:szCs w:val="24"/>
        </w:rPr>
        <w:t>ransportation system management and operations should</w:t>
      </w:r>
      <w:r w:rsidR="009B1761">
        <w:rPr>
          <w:sz w:val="24"/>
          <w:szCs w:val="24"/>
        </w:rPr>
        <w:t xml:space="preserve"> </w:t>
      </w:r>
      <w:r w:rsidR="00CD21C1" w:rsidRPr="00CD21C1">
        <w:rPr>
          <w:sz w:val="24"/>
          <w:szCs w:val="24"/>
        </w:rPr>
        <w:t xml:space="preserve">moderate the </w:t>
      </w:r>
      <w:r w:rsidR="00CD21C1">
        <w:rPr>
          <w:sz w:val="24"/>
          <w:szCs w:val="24"/>
        </w:rPr>
        <w:t xml:space="preserve">expected </w:t>
      </w:r>
      <w:r w:rsidR="00CD21C1" w:rsidRPr="00CD21C1">
        <w:rPr>
          <w:sz w:val="24"/>
          <w:szCs w:val="24"/>
        </w:rPr>
        <w:t>increase in travel delay.</w:t>
      </w:r>
      <w:r w:rsidR="00CD21C1">
        <w:rPr>
          <w:sz w:val="24"/>
          <w:szCs w:val="24"/>
        </w:rPr>
        <w:t xml:space="preserve"> </w:t>
      </w:r>
      <w:r w:rsidR="0056181F" w:rsidRPr="00CD21C1">
        <w:rPr>
          <w:sz w:val="24"/>
          <w:szCs w:val="24"/>
        </w:rPr>
        <w:t>Minimal new NHS road capacity is being added in the urbanized area in the near term.</w:t>
      </w:r>
    </w:p>
    <w:p w:rsidR="0056181F" w:rsidRDefault="0056181F" w:rsidP="005618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ability of the existing public transit system to accommodate increase</w:t>
      </w:r>
      <w:r w:rsidR="006B015C">
        <w:rPr>
          <w:sz w:val="24"/>
          <w:szCs w:val="24"/>
        </w:rPr>
        <w:t>d</w:t>
      </w:r>
      <w:r>
        <w:rPr>
          <w:sz w:val="24"/>
          <w:szCs w:val="24"/>
        </w:rPr>
        <w:t xml:space="preserve"> ridership is limited over the time frame for the targets.</w:t>
      </w:r>
    </w:p>
    <w:p w:rsidR="0056181F" w:rsidRDefault="00CD21C1" w:rsidP="00CD21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Continued increase in n</w:t>
      </w:r>
      <w:r w:rsidRPr="00CD21C1">
        <w:rPr>
          <w:sz w:val="24"/>
          <w:szCs w:val="24"/>
        </w:rPr>
        <w:t>on-Single Occupant Vehicle (</w:t>
      </w:r>
      <w:r w:rsidR="00AB6E2E">
        <w:rPr>
          <w:sz w:val="24"/>
          <w:szCs w:val="24"/>
        </w:rPr>
        <w:t>n</w:t>
      </w:r>
      <w:r w:rsidRPr="00CD21C1">
        <w:rPr>
          <w:sz w:val="24"/>
          <w:szCs w:val="24"/>
        </w:rPr>
        <w:t xml:space="preserve">on-SOV) </w:t>
      </w:r>
      <w:r w:rsidR="0056181F">
        <w:rPr>
          <w:sz w:val="24"/>
          <w:szCs w:val="24"/>
        </w:rPr>
        <w:t xml:space="preserve">travel </w:t>
      </w:r>
      <w:r>
        <w:rPr>
          <w:sz w:val="24"/>
          <w:szCs w:val="24"/>
        </w:rPr>
        <w:t xml:space="preserve">would </w:t>
      </w:r>
      <w:r w:rsidR="0056181F">
        <w:rPr>
          <w:sz w:val="24"/>
          <w:szCs w:val="24"/>
        </w:rPr>
        <w:t xml:space="preserve">mitigate growth in </w:t>
      </w:r>
      <w:r>
        <w:rPr>
          <w:sz w:val="24"/>
          <w:szCs w:val="24"/>
        </w:rPr>
        <w:t xml:space="preserve">traffic </w:t>
      </w:r>
      <w:r w:rsidR="0056181F">
        <w:rPr>
          <w:sz w:val="24"/>
          <w:szCs w:val="24"/>
        </w:rPr>
        <w:t>delay to some extent.</w:t>
      </w:r>
    </w:p>
    <w:p w:rsidR="00CD21C1" w:rsidRDefault="00CD21C1" w:rsidP="00CD21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Shifting trip making to outside peak hours would improve this measure (while potentially contributing to excessive delay at other times).</w:t>
      </w:r>
    </w:p>
    <w:p w:rsidR="00CD21C1" w:rsidRDefault="00CD21C1" w:rsidP="00CD21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Changes in pricing (e.g., congestion pricing, fuel costs, transit fares) would </w:t>
      </w:r>
      <w:r w:rsidR="00122F68">
        <w:rPr>
          <w:sz w:val="24"/>
          <w:szCs w:val="24"/>
        </w:rPr>
        <w:t>potentially reduc</w:t>
      </w:r>
      <w:r w:rsidR="00CC7863">
        <w:rPr>
          <w:sz w:val="24"/>
          <w:szCs w:val="24"/>
        </w:rPr>
        <w:t>e</w:t>
      </w:r>
      <w:r w:rsidR="00122F68">
        <w:rPr>
          <w:sz w:val="24"/>
          <w:szCs w:val="24"/>
        </w:rPr>
        <w:t xml:space="preserve"> excessive delay</w:t>
      </w:r>
      <w:r>
        <w:rPr>
          <w:sz w:val="24"/>
          <w:szCs w:val="24"/>
        </w:rPr>
        <w:t>.</w:t>
      </w:r>
    </w:p>
    <w:p w:rsidR="00155E83" w:rsidRDefault="00155E83" w:rsidP="00CD21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impacts of transportation network companies (TNCs) and of emerging advanced transportation technology </w:t>
      </w:r>
      <w:r w:rsidR="00CC7863">
        <w:rPr>
          <w:sz w:val="24"/>
          <w:szCs w:val="24"/>
        </w:rPr>
        <w:t xml:space="preserve">in terms of congestion </w:t>
      </w:r>
      <w:r>
        <w:rPr>
          <w:sz w:val="24"/>
          <w:szCs w:val="24"/>
        </w:rPr>
        <w:t>are still being understood.</w:t>
      </w:r>
      <w:r w:rsidR="008B4854">
        <w:rPr>
          <w:sz w:val="24"/>
          <w:szCs w:val="24"/>
        </w:rPr>
        <w:t xml:space="preserve"> These may lead to increases or decreases in this measure.</w:t>
      </w:r>
    </w:p>
    <w:p w:rsidR="00C24490" w:rsidRPr="00FE0811" w:rsidRDefault="00C24490" w:rsidP="00CD21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 use, housing locations and work locations will continue to affect trip making and the traffic on NHS roads.</w:t>
      </w:r>
    </w:p>
    <w:p w:rsidR="00CB5271" w:rsidRDefault="00D87FD3" w:rsidP="00CB52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Uncertainty</w:t>
      </w:r>
    </w:p>
    <w:p w:rsidR="009B1761" w:rsidRPr="009B1761" w:rsidRDefault="009B1761" w:rsidP="009B176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Variability in the trends (with many external factors) affect this measure significantly.</w:t>
      </w:r>
    </w:p>
    <w:p w:rsidR="00CD21C1" w:rsidRPr="00155E83" w:rsidRDefault="00B612AD" w:rsidP="00CB527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limitations of the </w:t>
      </w:r>
      <w:r w:rsidR="008B4854">
        <w:rPr>
          <w:sz w:val="24"/>
          <w:szCs w:val="24"/>
        </w:rPr>
        <w:t xml:space="preserve">current </w:t>
      </w:r>
      <w:r>
        <w:rPr>
          <w:sz w:val="24"/>
          <w:szCs w:val="24"/>
        </w:rPr>
        <w:t xml:space="preserve">data </w:t>
      </w:r>
      <w:r w:rsidR="008B4854">
        <w:rPr>
          <w:sz w:val="24"/>
          <w:szCs w:val="24"/>
        </w:rPr>
        <w:t xml:space="preserve">and emerging calculation tools </w:t>
      </w:r>
      <w:r>
        <w:rPr>
          <w:sz w:val="24"/>
          <w:szCs w:val="24"/>
        </w:rPr>
        <w:t>introduce additional significant uncertainty in the values for this measure.</w:t>
      </w:r>
    </w:p>
    <w:p w:rsidR="00D87FD3" w:rsidRDefault="00D87FD3" w:rsidP="00D87FD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F170E">
        <w:rPr>
          <w:b/>
          <w:sz w:val="24"/>
          <w:szCs w:val="24"/>
        </w:rPr>
        <w:t>Approach</w:t>
      </w:r>
    </w:p>
    <w:p w:rsidR="00D87FD3" w:rsidRDefault="00D87FD3" w:rsidP="00D87FD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170E">
        <w:rPr>
          <w:sz w:val="24"/>
          <w:szCs w:val="24"/>
        </w:rPr>
        <w:t xml:space="preserve">Based on these considerations, the NYC/NJ MPOs and state DOTs are agreeing that an appropriate 4-year target (for </w:t>
      </w:r>
      <w:r w:rsidR="00155E83">
        <w:rPr>
          <w:sz w:val="24"/>
          <w:szCs w:val="24"/>
        </w:rPr>
        <w:t>2021</w:t>
      </w:r>
      <w:r w:rsidRPr="00EF170E">
        <w:rPr>
          <w:sz w:val="24"/>
          <w:szCs w:val="24"/>
        </w:rPr>
        <w:t xml:space="preserve">) would </w:t>
      </w:r>
      <w:r w:rsidR="008B4854">
        <w:rPr>
          <w:sz w:val="24"/>
          <w:szCs w:val="24"/>
        </w:rPr>
        <w:t>hold the</w:t>
      </w:r>
      <w:r w:rsidR="00155E83">
        <w:rPr>
          <w:sz w:val="24"/>
          <w:szCs w:val="24"/>
        </w:rPr>
        <w:t xml:space="preserve"> </w:t>
      </w:r>
      <w:r w:rsidRPr="00EF170E">
        <w:rPr>
          <w:sz w:val="24"/>
          <w:szCs w:val="24"/>
        </w:rPr>
        <w:t>increase</w:t>
      </w:r>
      <w:r w:rsidR="008B4854">
        <w:rPr>
          <w:sz w:val="24"/>
          <w:szCs w:val="24"/>
        </w:rPr>
        <w:t xml:space="preserve"> to a small amount</w:t>
      </w:r>
      <w:r>
        <w:rPr>
          <w:sz w:val="24"/>
          <w:szCs w:val="24"/>
        </w:rPr>
        <w:t>.</w:t>
      </w:r>
    </w:p>
    <w:p w:rsidR="00D87FD3" w:rsidRPr="00336A15" w:rsidRDefault="00B612AD" w:rsidP="000656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36A15">
        <w:rPr>
          <w:sz w:val="24"/>
          <w:szCs w:val="24"/>
        </w:rPr>
        <w:t>The agencies fully expect to revisit and likely adjust this target in two years as allowed for by FHWA.</w:t>
      </w:r>
    </w:p>
    <w:tbl>
      <w:tblPr>
        <w:tblpPr w:leftFromText="180" w:rightFromText="180" w:vertAnchor="text" w:horzAnchor="margin" w:tblpXSpec="center" w:tblpY="225"/>
        <w:tblW w:w="6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2415"/>
        <w:gridCol w:w="2070"/>
      </w:tblGrid>
      <w:tr w:rsidR="00D87FD3" w:rsidRPr="00FE6DCA" w:rsidTr="00D45858">
        <w:trPr>
          <w:trHeight w:val="675"/>
        </w:trPr>
        <w:tc>
          <w:tcPr>
            <w:tcW w:w="6105" w:type="dxa"/>
            <w:gridSpan w:val="3"/>
            <w:tcBorders>
              <w:top w:val="double" w:sz="4" w:space="0" w:color="5B9BD5" w:themeColor="accent1"/>
              <w:left w:val="double" w:sz="4" w:space="0" w:color="5B9BD5" w:themeColor="accent1"/>
              <w:bottom w:val="nil"/>
              <w:right w:val="double" w:sz="4" w:space="0" w:color="5B9BD5" w:themeColor="accent1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FD3" w:rsidRPr="00017D5A" w:rsidRDefault="00D87FD3" w:rsidP="00CC7863">
            <w:pPr>
              <w:jc w:val="center"/>
              <w:rPr>
                <w:b/>
                <w:bCs/>
                <w:sz w:val="24"/>
                <w:szCs w:val="24"/>
              </w:rPr>
            </w:pPr>
            <w:r w:rsidRPr="00017D5A">
              <w:rPr>
                <w:b/>
                <w:bCs/>
                <w:sz w:val="28"/>
                <w:szCs w:val="24"/>
              </w:rPr>
              <w:t>New York</w:t>
            </w:r>
            <w:r>
              <w:rPr>
                <w:b/>
                <w:bCs/>
                <w:sz w:val="28"/>
                <w:szCs w:val="24"/>
              </w:rPr>
              <w:t>-</w:t>
            </w:r>
            <w:proofErr w:type="gramStart"/>
            <w:r w:rsidRPr="00017D5A">
              <w:rPr>
                <w:b/>
                <w:bCs/>
                <w:sz w:val="28"/>
                <w:szCs w:val="24"/>
              </w:rPr>
              <w:t>Newark,  NY</w:t>
            </w:r>
            <w:proofErr w:type="gramEnd"/>
            <w:r>
              <w:rPr>
                <w:b/>
                <w:bCs/>
                <w:sz w:val="28"/>
                <w:szCs w:val="24"/>
              </w:rPr>
              <w:t>-</w:t>
            </w:r>
            <w:r w:rsidRPr="00017D5A">
              <w:rPr>
                <w:b/>
                <w:bCs/>
                <w:sz w:val="28"/>
                <w:szCs w:val="24"/>
              </w:rPr>
              <w:t>NJ</w:t>
            </w:r>
            <w:r>
              <w:rPr>
                <w:b/>
                <w:bCs/>
                <w:sz w:val="28"/>
                <w:szCs w:val="24"/>
              </w:rPr>
              <w:t>-</w:t>
            </w:r>
            <w:r w:rsidRPr="00017D5A">
              <w:rPr>
                <w:b/>
                <w:bCs/>
                <w:sz w:val="28"/>
                <w:szCs w:val="24"/>
              </w:rPr>
              <w:t>CT Urbanized Area</w:t>
            </w:r>
            <w:r w:rsidR="00D45858">
              <w:rPr>
                <w:b/>
                <w:bCs/>
                <w:sz w:val="28"/>
                <w:szCs w:val="24"/>
              </w:rPr>
              <w:t xml:space="preserve"> </w:t>
            </w:r>
            <w:r w:rsidRPr="00017D5A">
              <w:rPr>
                <w:b/>
                <w:bCs/>
                <w:sz w:val="28"/>
                <w:szCs w:val="24"/>
              </w:rPr>
              <w:t xml:space="preserve">Target for </w:t>
            </w:r>
            <w:r w:rsidR="00155E83">
              <w:rPr>
                <w:b/>
                <w:bCs/>
                <w:sz w:val="28"/>
                <w:szCs w:val="24"/>
              </w:rPr>
              <w:t xml:space="preserve">PHED </w:t>
            </w:r>
          </w:p>
        </w:tc>
      </w:tr>
      <w:tr w:rsidR="00D87FD3" w:rsidRPr="00FE6DCA" w:rsidTr="00D45858">
        <w:trPr>
          <w:trHeight w:val="517"/>
        </w:trPr>
        <w:tc>
          <w:tcPr>
            <w:tcW w:w="1620" w:type="dxa"/>
            <w:tcBorders>
              <w:top w:val="double" w:sz="4" w:space="0" w:color="5B9BD5" w:themeColor="accent1"/>
              <w:left w:val="double" w:sz="4" w:space="0" w:color="5B9BD5" w:themeColor="accent1"/>
              <w:right w:val="nil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FD3" w:rsidRPr="00FE6DCA" w:rsidRDefault="00D87FD3" w:rsidP="00155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155E83">
              <w:rPr>
                <w:sz w:val="24"/>
                <w:szCs w:val="24"/>
              </w:rPr>
              <w:t>2017</w:t>
            </w:r>
          </w:p>
        </w:tc>
        <w:tc>
          <w:tcPr>
            <w:tcW w:w="2415" w:type="dxa"/>
            <w:tcBorders>
              <w:top w:val="double" w:sz="4" w:space="0" w:color="5B9BD5" w:themeColor="accent1"/>
              <w:left w:val="nil"/>
              <w:right w:val="nil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FD3" w:rsidRPr="00FE6DCA" w:rsidRDefault="00155E83" w:rsidP="00555C53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</w:t>
            </w:r>
            <w:r w:rsidR="00781818">
              <w:rPr>
                <w:i/>
                <w:iCs/>
                <w:sz w:val="24"/>
                <w:szCs w:val="24"/>
              </w:rPr>
              <w:t xml:space="preserve"> </w:t>
            </w:r>
            <w:r w:rsidR="00555C53">
              <w:rPr>
                <w:i/>
                <w:iCs/>
                <w:sz w:val="24"/>
                <w:szCs w:val="24"/>
              </w:rPr>
              <w:t>H</w:t>
            </w:r>
            <w:r w:rsidR="00781818">
              <w:rPr>
                <w:i/>
                <w:iCs/>
                <w:sz w:val="24"/>
                <w:szCs w:val="24"/>
              </w:rPr>
              <w:t xml:space="preserve">ours per </w:t>
            </w:r>
            <w:r w:rsidR="00555C53">
              <w:rPr>
                <w:i/>
                <w:iCs/>
                <w:sz w:val="24"/>
                <w:szCs w:val="24"/>
              </w:rPr>
              <w:t>C</w:t>
            </w:r>
            <w:r w:rsidR="00781818">
              <w:rPr>
                <w:i/>
                <w:iCs/>
                <w:sz w:val="24"/>
                <w:szCs w:val="24"/>
              </w:rPr>
              <w:t>apita</w:t>
            </w:r>
          </w:p>
        </w:tc>
        <w:tc>
          <w:tcPr>
            <w:tcW w:w="2070" w:type="dxa"/>
            <w:tcBorders>
              <w:top w:val="double" w:sz="4" w:space="0" w:color="5B9BD5" w:themeColor="accent1"/>
              <w:left w:val="nil"/>
              <w:right w:val="double" w:sz="4" w:space="0" w:color="5B9BD5" w:themeColor="accent1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FD3" w:rsidRPr="00017D5A" w:rsidRDefault="00981081" w:rsidP="00555C53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Current</w:t>
            </w:r>
            <w:r w:rsidR="00555C53">
              <w:rPr>
                <w:bCs/>
                <w:sz w:val="24"/>
                <w:szCs w:val="24"/>
              </w:rPr>
              <w:t xml:space="preserve"> E</w:t>
            </w:r>
            <w:r>
              <w:rPr>
                <w:bCs/>
                <w:sz w:val="24"/>
                <w:szCs w:val="24"/>
              </w:rPr>
              <w:t>stimate</w:t>
            </w:r>
            <w:r w:rsidR="00D87FD3">
              <w:rPr>
                <w:bCs/>
                <w:sz w:val="24"/>
                <w:szCs w:val="24"/>
              </w:rPr>
              <w:t>]</w:t>
            </w:r>
          </w:p>
        </w:tc>
      </w:tr>
      <w:tr w:rsidR="00D87FD3" w:rsidRPr="00FE6DCA" w:rsidTr="00D45858">
        <w:trPr>
          <w:trHeight w:val="625"/>
        </w:trPr>
        <w:tc>
          <w:tcPr>
            <w:tcW w:w="1620" w:type="dxa"/>
            <w:tcBorders>
              <w:top w:val="nil"/>
              <w:left w:val="double" w:sz="4" w:space="0" w:color="5B9BD5" w:themeColor="accent1"/>
              <w:bottom w:val="double" w:sz="4" w:space="0" w:color="5B9BD5" w:themeColor="accent1"/>
              <w:right w:val="nil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FD3" w:rsidRPr="00017D5A" w:rsidRDefault="00D87FD3" w:rsidP="00155E83">
            <w:pPr>
              <w:jc w:val="center"/>
              <w:rPr>
                <w:b/>
                <w:sz w:val="24"/>
                <w:szCs w:val="24"/>
              </w:rPr>
            </w:pPr>
            <w:r w:rsidRPr="00017D5A">
              <w:rPr>
                <w:b/>
                <w:sz w:val="24"/>
                <w:szCs w:val="24"/>
              </w:rPr>
              <w:t>2</w:t>
            </w:r>
            <w:r w:rsidR="00155E83">
              <w:rPr>
                <w:b/>
                <w:sz w:val="24"/>
                <w:szCs w:val="24"/>
              </w:rPr>
              <w:t>0</w:t>
            </w:r>
            <w:r w:rsidRPr="00017D5A">
              <w:rPr>
                <w:b/>
                <w:sz w:val="24"/>
                <w:szCs w:val="24"/>
              </w:rPr>
              <w:t>2</w:t>
            </w:r>
            <w:r w:rsidR="00155E8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415" w:type="dxa"/>
            <w:tcBorders>
              <w:top w:val="nil"/>
              <w:left w:val="nil"/>
              <w:bottom w:val="double" w:sz="4" w:space="0" w:color="5B9BD5" w:themeColor="accent1"/>
              <w:right w:val="nil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FD3" w:rsidRPr="00017D5A" w:rsidRDefault="00155E83" w:rsidP="00555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i/>
                <w:iCs/>
                <w:sz w:val="24"/>
                <w:szCs w:val="24"/>
              </w:rPr>
              <w:t>22</w:t>
            </w:r>
            <w:r w:rsidR="00D45858">
              <w:rPr>
                <w:b/>
                <w:i/>
                <w:iCs/>
                <w:sz w:val="24"/>
                <w:szCs w:val="24"/>
              </w:rPr>
              <w:t xml:space="preserve"> </w:t>
            </w:r>
            <w:r w:rsidR="00555C53">
              <w:rPr>
                <w:b/>
                <w:i/>
                <w:iCs/>
                <w:sz w:val="24"/>
                <w:szCs w:val="24"/>
              </w:rPr>
              <w:t>H</w:t>
            </w:r>
            <w:r w:rsidR="00D45858">
              <w:rPr>
                <w:b/>
                <w:i/>
                <w:iCs/>
                <w:sz w:val="24"/>
                <w:szCs w:val="24"/>
              </w:rPr>
              <w:t xml:space="preserve">ours per </w:t>
            </w:r>
            <w:r w:rsidR="00555C53">
              <w:rPr>
                <w:b/>
                <w:i/>
                <w:iCs/>
                <w:sz w:val="24"/>
                <w:szCs w:val="24"/>
              </w:rPr>
              <w:t>C</w:t>
            </w:r>
            <w:r w:rsidR="00D45858">
              <w:rPr>
                <w:b/>
                <w:i/>
                <w:iCs/>
                <w:sz w:val="24"/>
                <w:szCs w:val="24"/>
              </w:rPr>
              <w:t>apita</w:t>
            </w:r>
          </w:p>
        </w:tc>
        <w:tc>
          <w:tcPr>
            <w:tcW w:w="2070" w:type="dxa"/>
            <w:tcBorders>
              <w:top w:val="nil"/>
              <w:left w:val="nil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FD3" w:rsidRPr="00017D5A" w:rsidRDefault="00D87FD3" w:rsidP="005872DF">
            <w:pPr>
              <w:jc w:val="center"/>
              <w:rPr>
                <w:b/>
                <w:sz w:val="24"/>
                <w:szCs w:val="24"/>
              </w:rPr>
            </w:pPr>
            <w:r w:rsidRPr="00017D5A">
              <w:rPr>
                <w:b/>
                <w:bCs/>
                <w:sz w:val="24"/>
                <w:szCs w:val="24"/>
              </w:rPr>
              <w:t>4-Year Target</w:t>
            </w:r>
          </w:p>
        </w:tc>
      </w:tr>
    </w:tbl>
    <w:p w:rsidR="00D87FD3" w:rsidRDefault="00D87FD3" w:rsidP="00D87FD3">
      <w:pPr>
        <w:rPr>
          <w:sz w:val="24"/>
          <w:szCs w:val="24"/>
        </w:rPr>
      </w:pPr>
    </w:p>
    <w:p w:rsidR="00D87FD3" w:rsidRPr="00FE6DCA" w:rsidRDefault="00D87FD3" w:rsidP="00D87FD3">
      <w:pPr>
        <w:rPr>
          <w:sz w:val="24"/>
          <w:szCs w:val="24"/>
        </w:rPr>
      </w:pPr>
    </w:p>
    <w:p w:rsidR="00D87FD3" w:rsidRDefault="00D87FD3" w:rsidP="00D87FD3">
      <w:pPr>
        <w:rPr>
          <w:sz w:val="24"/>
          <w:szCs w:val="24"/>
        </w:rPr>
      </w:pPr>
    </w:p>
    <w:p w:rsidR="00FA6CD7" w:rsidRPr="00E52534" w:rsidRDefault="00FA6CD7" w:rsidP="00E52534">
      <w:pPr>
        <w:rPr>
          <w:sz w:val="24"/>
          <w:szCs w:val="24"/>
        </w:rPr>
      </w:pPr>
    </w:p>
    <w:sectPr w:rsidR="00FA6CD7" w:rsidRPr="00E52534" w:rsidSect="00605104">
      <w:headerReference w:type="default" r:id="rId7"/>
      <w:headerReference w:type="first" r:id="rId8"/>
      <w:pgSz w:w="12240" w:h="15840"/>
      <w:pgMar w:top="9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947" w:rsidRDefault="00CF4947" w:rsidP="007C72C0">
      <w:pPr>
        <w:spacing w:after="0" w:line="240" w:lineRule="auto"/>
      </w:pPr>
      <w:r>
        <w:separator/>
      </w:r>
    </w:p>
  </w:endnote>
  <w:endnote w:type="continuationSeparator" w:id="0">
    <w:p w:rsidR="00CF4947" w:rsidRDefault="00CF4947" w:rsidP="007C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947" w:rsidRDefault="00CF4947" w:rsidP="007C72C0">
      <w:pPr>
        <w:spacing w:after="0" w:line="240" w:lineRule="auto"/>
      </w:pPr>
      <w:r>
        <w:separator/>
      </w:r>
    </w:p>
  </w:footnote>
  <w:footnote w:type="continuationSeparator" w:id="0">
    <w:p w:rsidR="00CF4947" w:rsidRDefault="00CF4947" w:rsidP="007C7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7F2" w:rsidRPr="003027F2" w:rsidRDefault="003027F2">
    <w:pPr>
      <w:pStyle w:val="Header"/>
      <w:rPr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7F2" w:rsidRPr="003027F2" w:rsidRDefault="003027F2">
    <w:pPr>
      <w:pStyle w:val="Header"/>
      <w:rPr>
        <w:sz w:val="10"/>
      </w:rPr>
    </w:pPr>
    <w:r w:rsidRPr="00BE7D69">
      <w:rPr>
        <w:noProof/>
        <w:sz w:val="10"/>
      </w:rPr>
      <w:drawing>
        <wp:anchor distT="0" distB="0" distL="114300" distR="114300" simplePos="0" relativeHeight="251665408" behindDoc="0" locked="0" layoutInCell="1" allowOverlap="1" wp14:anchorId="00214F95" wp14:editId="18F6A8ED">
          <wp:simplePos x="0" y="0"/>
          <wp:positionH relativeFrom="column">
            <wp:posOffset>4178300</wp:posOffset>
          </wp:positionH>
          <wp:positionV relativeFrom="paragraph">
            <wp:posOffset>44450</wp:posOffset>
          </wp:positionV>
          <wp:extent cx="692785" cy="547433"/>
          <wp:effectExtent l="0" t="0" r="0" b="5080"/>
          <wp:wrapNone/>
          <wp:docPr id="65" name="Picture 65" descr="https://westcog.org/wp-content/uploads/2015/09/logo_favicon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westcog.org/wp-content/uploads/2015/09/logo_favicon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692785" cy="5474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7D69">
      <w:rPr>
        <w:noProof/>
        <w:sz w:val="10"/>
      </w:rPr>
      <w:drawing>
        <wp:anchor distT="0" distB="0" distL="114300" distR="114300" simplePos="0" relativeHeight="251666432" behindDoc="0" locked="0" layoutInCell="1" allowOverlap="1" wp14:anchorId="49BB3C81" wp14:editId="2F0CEFBF">
          <wp:simplePos x="0" y="0"/>
          <wp:positionH relativeFrom="column">
            <wp:posOffset>2793365</wp:posOffset>
          </wp:positionH>
          <wp:positionV relativeFrom="paragraph">
            <wp:posOffset>43815</wp:posOffset>
          </wp:positionV>
          <wp:extent cx="544749" cy="548640"/>
          <wp:effectExtent l="0" t="0" r="8255" b="3810"/>
          <wp:wrapNone/>
          <wp:docPr id="66" name="Picture 66" descr="http://www.ct.gov/dot/lib/dot/images/ihr/irecruitunit/dotlogoh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t.gov/dot/lib/dot/images/ihr/irecruitunit/dotlogohd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4749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7D69">
      <w:rPr>
        <w:noProof/>
        <w:sz w:val="10"/>
      </w:rPr>
      <w:drawing>
        <wp:anchor distT="0" distB="0" distL="114300" distR="114300" simplePos="0" relativeHeight="251667456" behindDoc="0" locked="0" layoutInCell="1" allowOverlap="1" wp14:anchorId="1E5637FF" wp14:editId="6CAF01A8">
          <wp:simplePos x="0" y="0"/>
          <wp:positionH relativeFrom="column">
            <wp:posOffset>5017135</wp:posOffset>
          </wp:positionH>
          <wp:positionV relativeFrom="paragraph">
            <wp:posOffset>43815</wp:posOffset>
          </wp:positionV>
          <wp:extent cx="547597" cy="548640"/>
          <wp:effectExtent l="0" t="0" r="5080" b="3810"/>
          <wp:wrapNone/>
          <wp:docPr id="67" name="Picture 67" descr="http://energizeny.org/images/uploads/orange_county_logo_placement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energizeny.org/images/uploads/orange_county_logo_placement3.pn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547597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7D69">
      <w:rPr>
        <w:noProof/>
        <w:sz w:val="10"/>
      </w:rPr>
      <w:drawing>
        <wp:anchor distT="0" distB="0" distL="114300" distR="114300" simplePos="0" relativeHeight="251662336" behindDoc="1" locked="0" layoutInCell="1" allowOverlap="1" wp14:anchorId="10DF89F0" wp14:editId="6ABB720F">
          <wp:simplePos x="0" y="0"/>
          <wp:positionH relativeFrom="column">
            <wp:posOffset>3483610</wp:posOffset>
          </wp:positionH>
          <wp:positionV relativeFrom="paragraph">
            <wp:posOffset>43815</wp:posOffset>
          </wp:positionV>
          <wp:extent cx="548640" cy="548640"/>
          <wp:effectExtent l="0" t="0" r="3810" b="3810"/>
          <wp:wrapNone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YSDOT_Logo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7D69">
      <w:rPr>
        <w:noProof/>
        <w:sz w:val="10"/>
      </w:rPr>
      <w:drawing>
        <wp:anchor distT="0" distB="0" distL="114300" distR="114300" simplePos="0" relativeHeight="251661312" behindDoc="1" locked="0" layoutInCell="1" allowOverlap="1" wp14:anchorId="34139A4B" wp14:editId="6F12F7D9">
          <wp:simplePos x="0" y="0"/>
          <wp:positionH relativeFrom="column">
            <wp:posOffset>2098675</wp:posOffset>
          </wp:positionH>
          <wp:positionV relativeFrom="paragraph">
            <wp:posOffset>43815</wp:posOffset>
          </wp:positionV>
          <wp:extent cx="548640" cy="548640"/>
          <wp:effectExtent l="0" t="0" r="3810" b="3810"/>
          <wp:wrapNone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JDOT_Logo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7D69">
      <w:rPr>
        <w:noProof/>
        <w:sz w:val="10"/>
      </w:rPr>
      <w:drawing>
        <wp:anchor distT="0" distB="0" distL="114300" distR="114300" simplePos="0" relativeHeight="251660288" behindDoc="1" locked="0" layoutInCell="1" allowOverlap="1" wp14:anchorId="45BB4069" wp14:editId="3BA2CA4C">
          <wp:simplePos x="0" y="0"/>
          <wp:positionH relativeFrom="column">
            <wp:posOffset>678180</wp:posOffset>
          </wp:positionH>
          <wp:positionV relativeFrom="paragraph">
            <wp:posOffset>43815</wp:posOffset>
          </wp:positionV>
          <wp:extent cx="1274573" cy="548640"/>
          <wp:effectExtent l="0" t="0" r="1905" b="381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vrpc_logo_color.jpg"/>
                  <pic:cNvPicPr/>
                </pic:nvPicPr>
                <pic:blipFill rotWithShape="1">
                  <a:blip r:embed="rId6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274573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7D69">
      <w:rPr>
        <w:noProof/>
        <w:sz w:val="10"/>
      </w:rPr>
      <w:drawing>
        <wp:anchor distT="0" distB="0" distL="114300" distR="114300" simplePos="0" relativeHeight="251663360" behindDoc="1" locked="0" layoutInCell="1" allowOverlap="1" wp14:anchorId="6F378A64" wp14:editId="40C514CA">
          <wp:simplePos x="0" y="0"/>
          <wp:positionH relativeFrom="column">
            <wp:posOffset>43180</wp:posOffset>
          </wp:positionH>
          <wp:positionV relativeFrom="paragraph">
            <wp:posOffset>-1270</wp:posOffset>
          </wp:positionV>
          <wp:extent cx="489050" cy="640080"/>
          <wp:effectExtent l="0" t="0" r="6350" b="7620"/>
          <wp:wrapTopAndBottom/>
          <wp:docPr id="71" name="Picture 71" descr="Logo_small_p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mall_ppt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05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7D69">
      <w:rPr>
        <w:noProof/>
        <w:sz w:val="10"/>
      </w:rPr>
      <w:drawing>
        <wp:anchor distT="0" distB="0" distL="114300" distR="114300" simplePos="0" relativeHeight="251664384" behindDoc="1" locked="0" layoutInCell="1" allowOverlap="1" wp14:anchorId="63BB69F7" wp14:editId="27DD07BE">
          <wp:simplePos x="0" y="0"/>
          <wp:positionH relativeFrom="column">
            <wp:posOffset>5710555</wp:posOffset>
          </wp:positionH>
          <wp:positionV relativeFrom="paragraph">
            <wp:posOffset>43815</wp:posOffset>
          </wp:positionV>
          <wp:extent cx="548640" cy="548640"/>
          <wp:effectExtent l="0" t="0" r="3810" b="3810"/>
          <wp:wrapNone/>
          <wp:docPr id="72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YMTC_Logo.jpg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A1DC0"/>
    <w:multiLevelType w:val="hybridMultilevel"/>
    <w:tmpl w:val="07D4C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689"/>
    <w:rsid w:val="00001A6D"/>
    <w:rsid w:val="00002D88"/>
    <w:rsid w:val="00002DA4"/>
    <w:rsid w:val="000036FC"/>
    <w:rsid w:val="0001075D"/>
    <w:rsid w:val="000115DF"/>
    <w:rsid w:val="00017309"/>
    <w:rsid w:val="00017D5A"/>
    <w:rsid w:val="00044425"/>
    <w:rsid w:val="000466E4"/>
    <w:rsid w:val="00056371"/>
    <w:rsid w:val="00062325"/>
    <w:rsid w:val="00073C6F"/>
    <w:rsid w:val="0007574F"/>
    <w:rsid w:val="000767D7"/>
    <w:rsid w:val="0008228D"/>
    <w:rsid w:val="00083CD4"/>
    <w:rsid w:val="00091BCF"/>
    <w:rsid w:val="000A0EFF"/>
    <w:rsid w:val="000A32DD"/>
    <w:rsid w:val="000A4C12"/>
    <w:rsid w:val="000A581F"/>
    <w:rsid w:val="000B4332"/>
    <w:rsid w:val="000B67A7"/>
    <w:rsid w:val="000B7AD5"/>
    <w:rsid w:val="000C00F3"/>
    <w:rsid w:val="000C3B0F"/>
    <w:rsid w:val="000C5675"/>
    <w:rsid w:val="000D0E67"/>
    <w:rsid w:val="000E39AA"/>
    <w:rsid w:val="000F3DFB"/>
    <w:rsid w:val="000F5731"/>
    <w:rsid w:val="00104A78"/>
    <w:rsid w:val="00106BBE"/>
    <w:rsid w:val="00122F68"/>
    <w:rsid w:val="001235B5"/>
    <w:rsid w:val="00137BC7"/>
    <w:rsid w:val="00141694"/>
    <w:rsid w:val="00141C59"/>
    <w:rsid w:val="0014445B"/>
    <w:rsid w:val="00144E18"/>
    <w:rsid w:val="00144E93"/>
    <w:rsid w:val="00147CD5"/>
    <w:rsid w:val="00150FB6"/>
    <w:rsid w:val="00152F14"/>
    <w:rsid w:val="00153827"/>
    <w:rsid w:val="00153E4F"/>
    <w:rsid w:val="00154B49"/>
    <w:rsid w:val="00155E83"/>
    <w:rsid w:val="00181CC6"/>
    <w:rsid w:val="00186655"/>
    <w:rsid w:val="0018768E"/>
    <w:rsid w:val="00190AD9"/>
    <w:rsid w:val="0019388A"/>
    <w:rsid w:val="00194F45"/>
    <w:rsid w:val="001A4CA8"/>
    <w:rsid w:val="001B4B3B"/>
    <w:rsid w:val="001C0333"/>
    <w:rsid w:val="001C2858"/>
    <w:rsid w:val="001D2A6E"/>
    <w:rsid w:val="001D4C25"/>
    <w:rsid w:val="001D6C98"/>
    <w:rsid w:val="001E0919"/>
    <w:rsid w:val="001E2EDA"/>
    <w:rsid w:val="001E4986"/>
    <w:rsid w:val="001F3822"/>
    <w:rsid w:val="001F5047"/>
    <w:rsid w:val="001F7F1A"/>
    <w:rsid w:val="00200111"/>
    <w:rsid w:val="0020078E"/>
    <w:rsid w:val="002064B5"/>
    <w:rsid w:val="00212FE8"/>
    <w:rsid w:val="002138E9"/>
    <w:rsid w:val="00214738"/>
    <w:rsid w:val="00215CB3"/>
    <w:rsid w:val="00216420"/>
    <w:rsid w:val="002172A0"/>
    <w:rsid w:val="00223658"/>
    <w:rsid w:val="00223ADD"/>
    <w:rsid w:val="00223E6E"/>
    <w:rsid w:val="00225C11"/>
    <w:rsid w:val="00235AF6"/>
    <w:rsid w:val="00247E42"/>
    <w:rsid w:val="00251731"/>
    <w:rsid w:val="0025514F"/>
    <w:rsid w:val="00263292"/>
    <w:rsid w:val="00264698"/>
    <w:rsid w:val="002669E4"/>
    <w:rsid w:val="00266A63"/>
    <w:rsid w:val="00271C0F"/>
    <w:rsid w:val="00277B0D"/>
    <w:rsid w:val="002802FF"/>
    <w:rsid w:val="002818B7"/>
    <w:rsid w:val="00284C00"/>
    <w:rsid w:val="002904B9"/>
    <w:rsid w:val="00290D65"/>
    <w:rsid w:val="00290E0E"/>
    <w:rsid w:val="00293247"/>
    <w:rsid w:val="002944EA"/>
    <w:rsid w:val="00295214"/>
    <w:rsid w:val="0029616F"/>
    <w:rsid w:val="002A3A3D"/>
    <w:rsid w:val="002A7171"/>
    <w:rsid w:val="002A7257"/>
    <w:rsid w:val="002B4678"/>
    <w:rsid w:val="002C11E6"/>
    <w:rsid w:val="002C45D1"/>
    <w:rsid w:val="002C72FC"/>
    <w:rsid w:val="002C7B82"/>
    <w:rsid w:val="002D569F"/>
    <w:rsid w:val="002D5AE0"/>
    <w:rsid w:val="002E7297"/>
    <w:rsid w:val="002E77D0"/>
    <w:rsid w:val="002E7D7B"/>
    <w:rsid w:val="002F1BD3"/>
    <w:rsid w:val="002F22F8"/>
    <w:rsid w:val="002F5998"/>
    <w:rsid w:val="002F6CE9"/>
    <w:rsid w:val="003027F2"/>
    <w:rsid w:val="00311534"/>
    <w:rsid w:val="003206CE"/>
    <w:rsid w:val="003229FA"/>
    <w:rsid w:val="00326F2A"/>
    <w:rsid w:val="00335F75"/>
    <w:rsid w:val="00336A15"/>
    <w:rsid w:val="00343252"/>
    <w:rsid w:val="00351EA7"/>
    <w:rsid w:val="003544EF"/>
    <w:rsid w:val="003571D2"/>
    <w:rsid w:val="00361383"/>
    <w:rsid w:val="00362225"/>
    <w:rsid w:val="003650AC"/>
    <w:rsid w:val="003721E0"/>
    <w:rsid w:val="003738E2"/>
    <w:rsid w:val="003756D0"/>
    <w:rsid w:val="00375CC5"/>
    <w:rsid w:val="00377557"/>
    <w:rsid w:val="00377AB9"/>
    <w:rsid w:val="00382A3F"/>
    <w:rsid w:val="00384861"/>
    <w:rsid w:val="0038783D"/>
    <w:rsid w:val="00392C1A"/>
    <w:rsid w:val="00395097"/>
    <w:rsid w:val="003A43B9"/>
    <w:rsid w:val="003B021F"/>
    <w:rsid w:val="003B0B1D"/>
    <w:rsid w:val="003B1EE8"/>
    <w:rsid w:val="003C0C3A"/>
    <w:rsid w:val="003C10F0"/>
    <w:rsid w:val="003C211C"/>
    <w:rsid w:val="003C38A2"/>
    <w:rsid w:val="003C517F"/>
    <w:rsid w:val="003C5663"/>
    <w:rsid w:val="003C5AF3"/>
    <w:rsid w:val="003D11F1"/>
    <w:rsid w:val="003D1B18"/>
    <w:rsid w:val="003D7A31"/>
    <w:rsid w:val="003F2E76"/>
    <w:rsid w:val="00401195"/>
    <w:rsid w:val="00404C19"/>
    <w:rsid w:val="00412D8D"/>
    <w:rsid w:val="00422CF0"/>
    <w:rsid w:val="004243E3"/>
    <w:rsid w:val="0042605D"/>
    <w:rsid w:val="00430E98"/>
    <w:rsid w:val="00436BED"/>
    <w:rsid w:val="00441ABF"/>
    <w:rsid w:val="004567BC"/>
    <w:rsid w:val="00465F5C"/>
    <w:rsid w:val="00467073"/>
    <w:rsid w:val="0046735B"/>
    <w:rsid w:val="0047085B"/>
    <w:rsid w:val="004759E2"/>
    <w:rsid w:val="00475C21"/>
    <w:rsid w:val="00476B51"/>
    <w:rsid w:val="0048327B"/>
    <w:rsid w:val="004A4BE2"/>
    <w:rsid w:val="004A7EDD"/>
    <w:rsid w:val="004B2E85"/>
    <w:rsid w:val="004B4ECB"/>
    <w:rsid w:val="004B74B9"/>
    <w:rsid w:val="004B7C00"/>
    <w:rsid w:val="004C2A8E"/>
    <w:rsid w:val="004C60F3"/>
    <w:rsid w:val="004C6975"/>
    <w:rsid w:val="004D2A95"/>
    <w:rsid w:val="004D55A4"/>
    <w:rsid w:val="004D6502"/>
    <w:rsid w:val="004E63D3"/>
    <w:rsid w:val="004F1DA5"/>
    <w:rsid w:val="0052020A"/>
    <w:rsid w:val="00524A73"/>
    <w:rsid w:val="00535BAA"/>
    <w:rsid w:val="00537132"/>
    <w:rsid w:val="00541E32"/>
    <w:rsid w:val="00542E88"/>
    <w:rsid w:val="00551B70"/>
    <w:rsid w:val="00553354"/>
    <w:rsid w:val="00554959"/>
    <w:rsid w:val="00554D15"/>
    <w:rsid w:val="00555C53"/>
    <w:rsid w:val="0055729B"/>
    <w:rsid w:val="0056181F"/>
    <w:rsid w:val="005628AC"/>
    <w:rsid w:val="005658B2"/>
    <w:rsid w:val="0057480B"/>
    <w:rsid w:val="00582165"/>
    <w:rsid w:val="00583CCC"/>
    <w:rsid w:val="005850BE"/>
    <w:rsid w:val="005872DE"/>
    <w:rsid w:val="00591F73"/>
    <w:rsid w:val="005A0F8B"/>
    <w:rsid w:val="005B09C3"/>
    <w:rsid w:val="005B548F"/>
    <w:rsid w:val="005C1188"/>
    <w:rsid w:val="005C2947"/>
    <w:rsid w:val="005C6611"/>
    <w:rsid w:val="005C68B1"/>
    <w:rsid w:val="005C772C"/>
    <w:rsid w:val="005D38E7"/>
    <w:rsid w:val="005D6FA7"/>
    <w:rsid w:val="005E0F79"/>
    <w:rsid w:val="005E45B1"/>
    <w:rsid w:val="005E7BBB"/>
    <w:rsid w:val="005F4A67"/>
    <w:rsid w:val="006009C9"/>
    <w:rsid w:val="00602957"/>
    <w:rsid w:val="00605104"/>
    <w:rsid w:val="006056C1"/>
    <w:rsid w:val="006075E7"/>
    <w:rsid w:val="00610593"/>
    <w:rsid w:val="00622392"/>
    <w:rsid w:val="006270FE"/>
    <w:rsid w:val="00644A99"/>
    <w:rsid w:val="00651439"/>
    <w:rsid w:val="0065326D"/>
    <w:rsid w:val="00656E32"/>
    <w:rsid w:val="006723DC"/>
    <w:rsid w:val="00672E34"/>
    <w:rsid w:val="00675633"/>
    <w:rsid w:val="006765E1"/>
    <w:rsid w:val="006772CF"/>
    <w:rsid w:val="00681F38"/>
    <w:rsid w:val="00690CCB"/>
    <w:rsid w:val="006944E5"/>
    <w:rsid w:val="0069517E"/>
    <w:rsid w:val="006A2BBD"/>
    <w:rsid w:val="006A3B2D"/>
    <w:rsid w:val="006A60B3"/>
    <w:rsid w:val="006B0083"/>
    <w:rsid w:val="006B015C"/>
    <w:rsid w:val="006B185B"/>
    <w:rsid w:val="006B4A4D"/>
    <w:rsid w:val="006B607E"/>
    <w:rsid w:val="006C1ECF"/>
    <w:rsid w:val="006C7139"/>
    <w:rsid w:val="006D379A"/>
    <w:rsid w:val="006D5AFB"/>
    <w:rsid w:val="006E5546"/>
    <w:rsid w:val="006E5F2F"/>
    <w:rsid w:val="006E673D"/>
    <w:rsid w:val="00707768"/>
    <w:rsid w:val="00711101"/>
    <w:rsid w:val="00711E2B"/>
    <w:rsid w:val="00725615"/>
    <w:rsid w:val="0072601C"/>
    <w:rsid w:val="007271B3"/>
    <w:rsid w:val="007357ED"/>
    <w:rsid w:val="00735910"/>
    <w:rsid w:val="007429F7"/>
    <w:rsid w:val="007567BE"/>
    <w:rsid w:val="00766451"/>
    <w:rsid w:val="00770BF0"/>
    <w:rsid w:val="00772650"/>
    <w:rsid w:val="007768A4"/>
    <w:rsid w:val="007817D4"/>
    <w:rsid w:val="00781818"/>
    <w:rsid w:val="00782D8B"/>
    <w:rsid w:val="00784BF2"/>
    <w:rsid w:val="00785C8E"/>
    <w:rsid w:val="00793603"/>
    <w:rsid w:val="00796E61"/>
    <w:rsid w:val="007A1803"/>
    <w:rsid w:val="007A2416"/>
    <w:rsid w:val="007A3263"/>
    <w:rsid w:val="007A510D"/>
    <w:rsid w:val="007A55A2"/>
    <w:rsid w:val="007A7211"/>
    <w:rsid w:val="007A77C9"/>
    <w:rsid w:val="007B222F"/>
    <w:rsid w:val="007C0B58"/>
    <w:rsid w:val="007C47C5"/>
    <w:rsid w:val="007C72C0"/>
    <w:rsid w:val="007C7AD2"/>
    <w:rsid w:val="007D299D"/>
    <w:rsid w:val="007E260A"/>
    <w:rsid w:val="007E58EE"/>
    <w:rsid w:val="007F4515"/>
    <w:rsid w:val="007F6FDC"/>
    <w:rsid w:val="008052C2"/>
    <w:rsid w:val="00805DE2"/>
    <w:rsid w:val="00807B3E"/>
    <w:rsid w:val="00812F29"/>
    <w:rsid w:val="00814E57"/>
    <w:rsid w:val="00816E25"/>
    <w:rsid w:val="008242A3"/>
    <w:rsid w:val="00824619"/>
    <w:rsid w:val="008269C6"/>
    <w:rsid w:val="0082735A"/>
    <w:rsid w:val="00832E06"/>
    <w:rsid w:val="008354B6"/>
    <w:rsid w:val="00837CA0"/>
    <w:rsid w:val="00844B6C"/>
    <w:rsid w:val="00852C13"/>
    <w:rsid w:val="00863E61"/>
    <w:rsid w:val="00871964"/>
    <w:rsid w:val="008775B5"/>
    <w:rsid w:val="00880537"/>
    <w:rsid w:val="00880DA3"/>
    <w:rsid w:val="00882E04"/>
    <w:rsid w:val="00886088"/>
    <w:rsid w:val="00893886"/>
    <w:rsid w:val="008A0E65"/>
    <w:rsid w:val="008A2962"/>
    <w:rsid w:val="008A345B"/>
    <w:rsid w:val="008A4715"/>
    <w:rsid w:val="008A65D4"/>
    <w:rsid w:val="008B4854"/>
    <w:rsid w:val="008C7E3F"/>
    <w:rsid w:val="008D26F2"/>
    <w:rsid w:val="008D3D92"/>
    <w:rsid w:val="008E0058"/>
    <w:rsid w:val="008E54C0"/>
    <w:rsid w:val="008E7D6C"/>
    <w:rsid w:val="00901AD4"/>
    <w:rsid w:val="00907AD3"/>
    <w:rsid w:val="00914181"/>
    <w:rsid w:val="00920ACD"/>
    <w:rsid w:val="009213E6"/>
    <w:rsid w:val="00930288"/>
    <w:rsid w:val="0093209F"/>
    <w:rsid w:val="009340A7"/>
    <w:rsid w:val="00941945"/>
    <w:rsid w:val="00942625"/>
    <w:rsid w:val="0094506D"/>
    <w:rsid w:val="00947333"/>
    <w:rsid w:val="00947851"/>
    <w:rsid w:val="00951E21"/>
    <w:rsid w:val="00957E9A"/>
    <w:rsid w:val="0096073E"/>
    <w:rsid w:val="00967E27"/>
    <w:rsid w:val="00970CD4"/>
    <w:rsid w:val="00972029"/>
    <w:rsid w:val="00977CD6"/>
    <w:rsid w:val="009802FB"/>
    <w:rsid w:val="00981081"/>
    <w:rsid w:val="0098506A"/>
    <w:rsid w:val="00985FB6"/>
    <w:rsid w:val="009867A9"/>
    <w:rsid w:val="00991699"/>
    <w:rsid w:val="009916A8"/>
    <w:rsid w:val="00993FBA"/>
    <w:rsid w:val="00994A5D"/>
    <w:rsid w:val="009A09A9"/>
    <w:rsid w:val="009A2D18"/>
    <w:rsid w:val="009A3474"/>
    <w:rsid w:val="009A669D"/>
    <w:rsid w:val="009A6892"/>
    <w:rsid w:val="009B00CC"/>
    <w:rsid w:val="009B1761"/>
    <w:rsid w:val="009B36BD"/>
    <w:rsid w:val="009C21F4"/>
    <w:rsid w:val="009D0A4A"/>
    <w:rsid w:val="009D10B0"/>
    <w:rsid w:val="009D2156"/>
    <w:rsid w:val="009D746F"/>
    <w:rsid w:val="009E40B9"/>
    <w:rsid w:val="009E5C97"/>
    <w:rsid w:val="009F3F1F"/>
    <w:rsid w:val="009F5608"/>
    <w:rsid w:val="009F7B55"/>
    <w:rsid w:val="00A07ECC"/>
    <w:rsid w:val="00A11A34"/>
    <w:rsid w:val="00A2599A"/>
    <w:rsid w:val="00A35B0D"/>
    <w:rsid w:val="00A44E93"/>
    <w:rsid w:val="00A50F73"/>
    <w:rsid w:val="00A54522"/>
    <w:rsid w:val="00A65FE2"/>
    <w:rsid w:val="00A66982"/>
    <w:rsid w:val="00A763AB"/>
    <w:rsid w:val="00A76E66"/>
    <w:rsid w:val="00A77015"/>
    <w:rsid w:val="00A83F76"/>
    <w:rsid w:val="00A86979"/>
    <w:rsid w:val="00A9042E"/>
    <w:rsid w:val="00A926DF"/>
    <w:rsid w:val="00A957CA"/>
    <w:rsid w:val="00AA11AA"/>
    <w:rsid w:val="00AA1438"/>
    <w:rsid w:val="00AA36DB"/>
    <w:rsid w:val="00AA4CEE"/>
    <w:rsid w:val="00AB00E8"/>
    <w:rsid w:val="00AB2EC0"/>
    <w:rsid w:val="00AB6E2E"/>
    <w:rsid w:val="00AC5338"/>
    <w:rsid w:val="00AC73E1"/>
    <w:rsid w:val="00AD220F"/>
    <w:rsid w:val="00AD402F"/>
    <w:rsid w:val="00AD539B"/>
    <w:rsid w:val="00AD759D"/>
    <w:rsid w:val="00AE7959"/>
    <w:rsid w:val="00AF46C9"/>
    <w:rsid w:val="00AF6F20"/>
    <w:rsid w:val="00B15B3E"/>
    <w:rsid w:val="00B226A4"/>
    <w:rsid w:val="00B228C4"/>
    <w:rsid w:val="00B24FCC"/>
    <w:rsid w:val="00B25839"/>
    <w:rsid w:val="00B31B9B"/>
    <w:rsid w:val="00B518F9"/>
    <w:rsid w:val="00B612AD"/>
    <w:rsid w:val="00B6497F"/>
    <w:rsid w:val="00B70942"/>
    <w:rsid w:val="00B72CDC"/>
    <w:rsid w:val="00B77ED2"/>
    <w:rsid w:val="00B80873"/>
    <w:rsid w:val="00B851A9"/>
    <w:rsid w:val="00B96177"/>
    <w:rsid w:val="00B968A8"/>
    <w:rsid w:val="00BA01CC"/>
    <w:rsid w:val="00BA0DDC"/>
    <w:rsid w:val="00BA6C65"/>
    <w:rsid w:val="00BB318A"/>
    <w:rsid w:val="00BC0841"/>
    <w:rsid w:val="00BC5D04"/>
    <w:rsid w:val="00BD4E63"/>
    <w:rsid w:val="00BD5AA3"/>
    <w:rsid w:val="00BE32D6"/>
    <w:rsid w:val="00BE4F63"/>
    <w:rsid w:val="00BE53FC"/>
    <w:rsid w:val="00BE7582"/>
    <w:rsid w:val="00BF268F"/>
    <w:rsid w:val="00BF4228"/>
    <w:rsid w:val="00BF4A44"/>
    <w:rsid w:val="00BF667D"/>
    <w:rsid w:val="00BF7A21"/>
    <w:rsid w:val="00C106E2"/>
    <w:rsid w:val="00C12668"/>
    <w:rsid w:val="00C139E1"/>
    <w:rsid w:val="00C15F3F"/>
    <w:rsid w:val="00C24490"/>
    <w:rsid w:val="00C26349"/>
    <w:rsid w:val="00C26DB4"/>
    <w:rsid w:val="00C30015"/>
    <w:rsid w:val="00C31A0F"/>
    <w:rsid w:val="00C32885"/>
    <w:rsid w:val="00C4321A"/>
    <w:rsid w:val="00C55B13"/>
    <w:rsid w:val="00C55F41"/>
    <w:rsid w:val="00C56A76"/>
    <w:rsid w:val="00C6176D"/>
    <w:rsid w:val="00C71C66"/>
    <w:rsid w:val="00C73E46"/>
    <w:rsid w:val="00C77F0C"/>
    <w:rsid w:val="00C81E3A"/>
    <w:rsid w:val="00C8316D"/>
    <w:rsid w:val="00C83858"/>
    <w:rsid w:val="00C87F07"/>
    <w:rsid w:val="00C9020D"/>
    <w:rsid w:val="00C91492"/>
    <w:rsid w:val="00C97A70"/>
    <w:rsid w:val="00CA1CD4"/>
    <w:rsid w:val="00CA79A1"/>
    <w:rsid w:val="00CB5271"/>
    <w:rsid w:val="00CB7233"/>
    <w:rsid w:val="00CC08B2"/>
    <w:rsid w:val="00CC270F"/>
    <w:rsid w:val="00CC6426"/>
    <w:rsid w:val="00CC7863"/>
    <w:rsid w:val="00CD1EB2"/>
    <w:rsid w:val="00CD21C1"/>
    <w:rsid w:val="00CD5332"/>
    <w:rsid w:val="00CF1BFC"/>
    <w:rsid w:val="00CF4947"/>
    <w:rsid w:val="00CF7A71"/>
    <w:rsid w:val="00D00745"/>
    <w:rsid w:val="00D03FDB"/>
    <w:rsid w:val="00D05A5A"/>
    <w:rsid w:val="00D12192"/>
    <w:rsid w:val="00D1300D"/>
    <w:rsid w:val="00D21703"/>
    <w:rsid w:val="00D250BD"/>
    <w:rsid w:val="00D306A6"/>
    <w:rsid w:val="00D33154"/>
    <w:rsid w:val="00D36196"/>
    <w:rsid w:val="00D44D11"/>
    <w:rsid w:val="00D45858"/>
    <w:rsid w:val="00D54D82"/>
    <w:rsid w:val="00D55303"/>
    <w:rsid w:val="00D63BD6"/>
    <w:rsid w:val="00D64FF9"/>
    <w:rsid w:val="00D66C10"/>
    <w:rsid w:val="00D74564"/>
    <w:rsid w:val="00D8371A"/>
    <w:rsid w:val="00D875C7"/>
    <w:rsid w:val="00D87FD3"/>
    <w:rsid w:val="00D914E3"/>
    <w:rsid w:val="00D92941"/>
    <w:rsid w:val="00DA2BBE"/>
    <w:rsid w:val="00DA7486"/>
    <w:rsid w:val="00DB0A18"/>
    <w:rsid w:val="00DB0C72"/>
    <w:rsid w:val="00DC172E"/>
    <w:rsid w:val="00DF0B38"/>
    <w:rsid w:val="00DF1DEF"/>
    <w:rsid w:val="00DF351A"/>
    <w:rsid w:val="00E071B5"/>
    <w:rsid w:val="00E21E99"/>
    <w:rsid w:val="00E26D22"/>
    <w:rsid w:val="00E37C66"/>
    <w:rsid w:val="00E40993"/>
    <w:rsid w:val="00E41383"/>
    <w:rsid w:val="00E445C5"/>
    <w:rsid w:val="00E455AF"/>
    <w:rsid w:val="00E52534"/>
    <w:rsid w:val="00E52D64"/>
    <w:rsid w:val="00E606B5"/>
    <w:rsid w:val="00E60C5E"/>
    <w:rsid w:val="00E67065"/>
    <w:rsid w:val="00E734AD"/>
    <w:rsid w:val="00E7412A"/>
    <w:rsid w:val="00E746A0"/>
    <w:rsid w:val="00E75618"/>
    <w:rsid w:val="00E80D0F"/>
    <w:rsid w:val="00E91205"/>
    <w:rsid w:val="00E92A92"/>
    <w:rsid w:val="00E92C14"/>
    <w:rsid w:val="00E93418"/>
    <w:rsid w:val="00E95D34"/>
    <w:rsid w:val="00E979E0"/>
    <w:rsid w:val="00EA1CB6"/>
    <w:rsid w:val="00EA3795"/>
    <w:rsid w:val="00EA6B4A"/>
    <w:rsid w:val="00EA6BC2"/>
    <w:rsid w:val="00EB1288"/>
    <w:rsid w:val="00EB51AC"/>
    <w:rsid w:val="00EC21AA"/>
    <w:rsid w:val="00EC3E61"/>
    <w:rsid w:val="00ED2479"/>
    <w:rsid w:val="00ED276A"/>
    <w:rsid w:val="00ED53FF"/>
    <w:rsid w:val="00ED74B9"/>
    <w:rsid w:val="00EE1854"/>
    <w:rsid w:val="00EE313D"/>
    <w:rsid w:val="00EF170E"/>
    <w:rsid w:val="00EF4265"/>
    <w:rsid w:val="00EF7123"/>
    <w:rsid w:val="00EF7DD8"/>
    <w:rsid w:val="00F103DD"/>
    <w:rsid w:val="00F130F8"/>
    <w:rsid w:val="00F139BB"/>
    <w:rsid w:val="00F201BC"/>
    <w:rsid w:val="00F217BD"/>
    <w:rsid w:val="00F27D8F"/>
    <w:rsid w:val="00F34A3E"/>
    <w:rsid w:val="00F35975"/>
    <w:rsid w:val="00F37CC1"/>
    <w:rsid w:val="00F42C9B"/>
    <w:rsid w:val="00F519A8"/>
    <w:rsid w:val="00F54527"/>
    <w:rsid w:val="00F6014C"/>
    <w:rsid w:val="00F62D97"/>
    <w:rsid w:val="00F67153"/>
    <w:rsid w:val="00F70BC2"/>
    <w:rsid w:val="00F7115C"/>
    <w:rsid w:val="00F7284F"/>
    <w:rsid w:val="00F852F2"/>
    <w:rsid w:val="00F94AA9"/>
    <w:rsid w:val="00F95689"/>
    <w:rsid w:val="00F95B0C"/>
    <w:rsid w:val="00F96718"/>
    <w:rsid w:val="00F97ECA"/>
    <w:rsid w:val="00FA6CD7"/>
    <w:rsid w:val="00FB24DA"/>
    <w:rsid w:val="00FB678F"/>
    <w:rsid w:val="00FC0F00"/>
    <w:rsid w:val="00FC2568"/>
    <w:rsid w:val="00FC7EF6"/>
    <w:rsid w:val="00FD5198"/>
    <w:rsid w:val="00FD6633"/>
    <w:rsid w:val="00FE0811"/>
    <w:rsid w:val="00FE3529"/>
    <w:rsid w:val="00FE6DCA"/>
    <w:rsid w:val="00FF170D"/>
    <w:rsid w:val="00FF3192"/>
    <w:rsid w:val="00FF597D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C4F94EA-308C-4814-A32F-A5DC2BBC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2C0"/>
  </w:style>
  <w:style w:type="paragraph" w:styleId="Footer">
    <w:name w:val="footer"/>
    <w:basedOn w:val="Normal"/>
    <w:link w:val="FooterChar"/>
    <w:uiPriority w:val="99"/>
    <w:unhideWhenUsed/>
    <w:rsid w:val="007C7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2C0"/>
  </w:style>
  <w:style w:type="paragraph" w:styleId="BalloonText">
    <w:name w:val="Balloon Text"/>
    <w:basedOn w:val="Normal"/>
    <w:link w:val="BalloonTextChar"/>
    <w:uiPriority w:val="99"/>
    <w:semiHidden/>
    <w:unhideWhenUsed/>
    <w:rsid w:val="005E4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5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Jan (DOT)</dc:creator>
  <cp:keywords/>
  <dc:description/>
  <cp:lastModifiedBy>Weiskopf, Lynn (DOT)</cp:lastModifiedBy>
  <cp:revision>2</cp:revision>
  <cp:lastPrinted>2018-04-18T20:14:00Z</cp:lastPrinted>
  <dcterms:created xsi:type="dcterms:W3CDTF">2018-05-17T15:36:00Z</dcterms:created>
  <dcterms:modified xsi:type="dcterms:W3CDTF">2018-05-17T15:36:00Z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