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0520B" w:rsidTr="0090520B">
        <w:trPr>
          <w:trHeight w:val="864"/>
        </w:trPr>
        <w:tc>
          <w:tcPr>
            <w:tcW w:w="11016" w:type="dxa"/>
            <w:shd w:val="clear" w:color="auto" w:fill="0069A6"/>
            <w:vAlign w:val="center"/>
          </w:tcPr>
          <w:p w:rsidR="0090520B" w:rsidRPr="00E82BE7" w:rsidRDefault="0090520B" w:rsidP="0090520B">
            <w:pPr>
              <w:rPr>
                <w:rFonts w:ascii="Arial" w:hAnsi="Arial" w:cs="Arial"/>
                <w:caps/>
                <w:color w:val="FFFFFF" w:themeColor="background1"/>
                <w:sz w:val="36"/>
              </w:rPr>
            </w:pPr>
            <w:r w:rsidRPr="00E82BE7">
              <w:rPr>
                <w:rFonts w:ascii="Arial" w:hAnsi="Arial" w:cs="Arial"/>
                <w:b/>
                <w:bCs/>
                <w:caps/>
                <w:color w:val="FFFFFF" w:themeColor="background1"/>
                <w:sz w:val="36"/>
              </w:rPr>
              <w:t xml:space="preserve">NYS Target Setting Methods </w:t>
            </w:r>
            <w:r w:rsidR="0022662C">
              <w:rPr>
                <w:rFonts w:ascii="Arial" w:hAnsi="Arial" w:cs="Arial"/>
                <w:b/>
                <w:bCs/>
                <w:caps/>
                <w:color w:val="FFFFFF" w:themeColor="background1"/>
                <w:sz w:val="36"/>
              </w:rPr>
              <w:t xml:space="preserve">For </w:t>
            </w:r>
            <w:r w:rsidR="004E7048">
              <w:rPr>
                <w:rFonts w:ascii="Arial" w:hAnsi="Arial" w:cs="Arial"/>
                <w:b/>
                <w:bCs/>
                <w:caps/>
                <w:color w:val="FFFFFF" w:themeColor="background1"/>
                <w:sz w:val="36"/>
              </w:rPr>
              <w:t>Freight</w:t>
            </w:r>
            <w:r w:rsidR="0022662C">
              <w:rPr>
                <w:rFonts w:ascii="Arial" w:hAnsi="Arial" w:cs="Arial"/>
                <w:b/>
                <w:bCs/>
                <w:caps/>
                <w:color w:val="FFFFFF" w:themeColor="background1"/>
                <w:sz w:val="36"/>
              </w:rPr>
              <w:t xml:space="preserve"> Performance on the </w:t>
            </w:r>
            <w:r w:rsidR="004E7048">
              <w:rPr>
                <w:rFonts w:ascii="Arial" w:hAnsi="Arial" w:cs="Arial"/>
                <w:b/>
                <w:bCs/>
                <w:caps/>
                <w:color w:val="FFFFFF" w:themeColor="background1"/>
                <w:sz w:val="36"/>
              </w:rPr>
              <w:t>interstate</w:t>
            </w:r>
            <w:r w:rsidR="0022662C">
              <w:rPr>
                <w:rFonts w:ascii="Arial" w:hAnsi="Arial" w:cs="Arial"/>
                <w:b/>
                <w:bCs/>
                <w:caps/>
                <w:color w:val="FFFFFF" w:themeColor="background1"/>
                <w:sz w:val="36"/>
              </w:rPr>
              <w:t xml:space="preserve"> system</w:t>
            </w:r>
          </w:p>
          <w:p w:rsidR="0090520B" w:rsidRPr="0090520B" w:rsidRDefault="0090520B" w:rsidP="0090520B">
            <w:pPr>
              <w:rPr>
                <w:rFonts w:ascii="Arial" w:hAnsi="Arial" w:cs="Arial"/>
              </w:rPr>
            </w:pPr>
            <w:r w:rsidRPr="0090520B">
              <w:rPr>
                <w:rFonts w:ascii="Arial" w:hAnsi="Arial" w:cs="Arial"/>
                <w:color w:val="FFFFFF" w:themeColor="background1"/>
              </w:rPr>
              <w:t>NYS Departme</w:t>
            </w:r>
            <w:r w:rsidR="0022662C">
              <w:rPr>
                <w:rFonts w:ascii="Arial" w:hAnsi="Arial" w:cs="Arial"/>
                <w:color w:val="FFFFFF" w:themeColor="background1"/>
              </w:rPr>
              <w:t>nt of Transportation</w:t>
            </w:r>
            <w:r w:rsidR="00365B9E">
              <w:rPr>
                <w:rFonts w:ascii="Arial" w:hAnsi="Arial" w:cs="Arial"/>
                <w:color w:val="FFFFFF" w:themeColor="background1"/>
              </w:rPr>
              <w:t xml:space="preserve"> (NYSDOT)</w:t>
            </w:r>
            <w:r w:rsidR="009C341D">
              <w:rPr>
                <w:rFonts w:ascii="Arial" w:hAnsi="Arial" w:cs="Arial"/>
                <w:color w:val="FFFFFF" w:themeColor="background1"/>
              </w:rPr>
              <w:t xml:space="preserve">                                                                                   </w:t>
            </w:r>
            <w:bookmarkStart w:id="0" w:name="_GoBack"/>
            <w:bookmarkEnd w:id="0"/>
            <w:r w:rsidR="009C341D">
              <w:rPr>
                <w:rFonts w:ascii="Arial" w:hAnsi="Arial" w:cs="Arial"/>
                <w:color w:val="FFFFFF" w:themeColor="background1"/>
              </w:rPr>
              <w:t>May 2018</w:t>
            </w:r>
          </w:p>
        </w:tc>
      </w:tr>
    </w:tbl>
    <w:p w:rsidR="0028334B" w:rsidRPr="00591AE9" w:rsidRDefault="0028334B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405"/>
      </w:tblGrid>
      <w:tr w:rsidR="000866D8" w:rsidRPr="00591AE9" w:rsidTr="004E1D17">
        <w:tc>
          <w:tcPr>
            <w:tcW w:w="5454" w:type="dxa"/>
          </w:tcPr>
          <w:p w:rsidR="00CC4642" w:rsidRPr="00591AE9" w:rsidRDefault="00CC4642" w:rsidP="00CC4642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69"/>
            </w:tblGrid>
            <w:tr w:rsidR="00CC4642" w:rsidRPr="00591AE9" w:rsidTr="004E1D17">
              <w:trPr>
                <w:trHeight w:val="288"/>
              </w:trPr>
              <w:tc>
                <w:tcPr>
                  <w:tcW w:w="5227" w:type="dxa"/>
                  <w:shd w:val="clear" w:color="auto" w:fill="0069A6"/>
                  <w:vAlign w:val="center"/>
                </w:tcPr>
                <w:p w:rsidR="00CC4642" w:rsidRPr="00591AE9" w:rsidRDefault="00CC4642" w:rsidP="00591AE9">
                  <w:pPr>
                    <w:rPr>
                      <w:rFonts w:ascii="Arial" w:hAnsi="Arial" w:cs="Arial"/>
                      <w:b/>
                      <w:i/>
                      <w:color w:val="FFFFFF" w:themeColor="background1"/>
                    </w:rPr>
                  </w:pPr>
                  <w:r w:rsidRPr="0090520B">
                    <w:rPr>
                      <w:rFonts w:ascii="Arial" w:hAnsi="Arial" w:cs="Arial"/>
                      <w:b/>
                      <w:i/>
                      <w:color w:val="FFFFFF" w:themeColor="background1"/>
                      <w:sz w:val="24"/>
                    </w:rPr>
                    <w:t>Overview</w:t>
                  </w:r>
                </w:p>
              </w:tc>
            </w:tr>
          </w:tbl>
          <w:p w:rsidR="00CC4642" w:rsidRPr="00591AE9" w:rsidRDefault="00CC4642" w:rsidP="00CC4642">
            <w:pPr>
              <w:rPr>
                <w:rFonts w:ascii="Arial" w:hAnsi="Arial" w:cs="Arial"/>
              </w:rPr>
            </w:pPr>
          </w:p>
          <w:p w:rsidR="00702EAE" w:rsidRPr="00591AE9" w:rsidRDefault="00702EAE" w:rsidP="00702E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measure</w:t>
            </w:r>
            <w:r w:rsidR="00B37B40">
              <w:rPr>
                <w:rFonts w:ascii="Arial" w:hAnsi="Arial" w:cs="Arial"/>
              </w:rPr>
              <w:t xml:space="preserve"> for </w:t>
            </w:r>
            <w:r>
              <w:rPr>
                <w:rFonts w:ascii="Arial" w:hAnsi="Arial" w:cs="Arial"/>
              </w:rPr>
              <w:t xml:space="preserve">Freight Performance on the Interstate System is found in </w:t>
            </w:r>
            <w:r w:rsidRPr="000B5AC1">
              <w:rPr>
                <w:rFonts w:ascii="Arial" w:hAnsi="Arial" w:cs="Arial"/>
              </w:rPr>
              <w:t xml:space="preserve">23 CFR Part </w:t>
            </w:r>
            <w:r>
              <w:rPr>
                <w:rFonts w:ascii="Arial" w:hAnsi="Arial" w:cs="Arial"/>
              </w:rPr>
              <w:t xml:space="preserve">490, Subpart F. This section defines </w:t>
            </w:r>
            <w:r w:rsidR="00CA0B5C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Truck Travel Time Reliability </w:t>
            </w:r>
            <w:r w:rsidR="00CA0B5C">
              <w:rPr>
                <w:rFonts w:ascii="Arial" w:hAnsi="Arial" w:cs="Arial"/>
              </w:rPr>
              <w:t xml:space="preserve">(TTTR) </w:t>
            </w:r>
            <w:r>
              <w:rPr>
                <w:rFonts w:ascii="Arial" w:hAnsi="Arial" w:cs="Arial"/>
              </w:rPr>
              <w:t>Index.</w:t>
            </w:r>
            <w:r w:rsidRPr="00591AE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The measure applies </w:t>
            </w:r>
            <w:r w:rsidR="00CA0B5C">
              <w:rPr>
                <w:rFonts w:ascii="Arial" w:hAnsi="Arial" w:cs="Arial"/>
              </w:rPr>
              <w:t xml:space="preserve">only </w:t>
            </w:r>
            <w:r>
              <w:rPr>
                <w:rFonts w:ascii="Arial" w:hAnsi="Arial" w:cs="Arial"/>
              </w:rPr>
              <w:t>to truck travel on the Interstate system.</w:t>
            </w:r>
          </w:p>
          <w:p w:rsidR="00702EAE" w:rsidRDefault="00702EAE" w:rsidP="00702EAE">
            <w:pPr>
              <w:rPr>
                <w:rFonts w:ascii="Arial" w:hAnsi="Arial" w:cs="Arial"/>
              </w:rPr>
            </w:pPr>
          </w:p>
          <w:p w:rsidR="006E2E26" w:rsidRDefault="00702EAE" w:rsidP="006E2E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measure compares the</w:t>
            </w:r>
            <w:r w:rsidR="006E2E2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longer truck travel time (95</w:t>
            </w:r>
            <w:r w:rsidRPr="00702EA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percentile) to the average truck travel time (50</w:t>
            </w:r>
            <w:r w:rsidRPr="005A110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percentile) for each </w:t>
            </w:r>
            <w:r w:rsidR="006E2E26">
              <w:rPr>
                <w:rFonts w:ascii="Arial" w:hAnsi="Arial" w:cs="Arial"/>
              </w:rPr>
              <w:t xml:space="preserve">reporting segment on the </w:t>
            </w:r>
            <w:r>
              <w:rPr>
                <w:rFonts w:ascii="Arial" w:hAnsi="Arial" w:cs="Arial"/>
              </w:rPr>
              <w:t xml:space="preserve">interstate highway </w:t>
            </w:r>
            <w:r w:rsidR="006E2E26">
              <w:rPr>
                <w:rFonts w:ascii="Arial" w:hAnsi="Arial" w:cs="Arial"/>
              </w:rPr>
              <w:t xml:space="preserve">system.  Segments are weighted by mileage.  The highest value </w:t>
            </w:r>
            <w:r w:rsidR="00B37B40">
              <w:rPr>
                <w:rFonts w:ascii="Arial" w:hAnsi="Arial" w:cs="Arial"/>
              </w:rPr>
              <w:t xml:space="preserve">during the year </w:t>
            </w:r>
            <w:r w:rsidR="006E2E26">
              <w:rPr>
                <w:rFonts w:ascii="Arial" w:hAnsi="Arial" w:cs="Arial"/>
              </w:rPr>
              <w:t>i</w:t>
            </w:r>
            <w:r w:rsidR="00B37B40">
              <w:rPr>
                <w:rFonts w:ascii="Arial" w:hAnsi="Arial" w:cs="Arial"/>
              </w:rPr>
              <w:t xml:space="preserve">n each defined </w:t>
            </w:r>
            <w:proofErr w:type="gramStart"/>
            <w:r w:rsidR="00B37B40">
              <w:rPr>
                <w:rFonts w:ascii="Arial" w:hAnsi="Arial" w:cs="Arial"/>
              </w:rPr>
              <w:t>time period</w:t>
            </w:r>
            <w:proofErr w:type="gramEnd"/>
            <w:r w:rsidR="00B37B40">
              <w:rPr>
                <w:rFonts w:ascii="Arial" w:hAnsi="Arial" w:cs="Arial"/>
              </w:rPr>
              <w:t xml:space="preserve"> i</w:t>
            </w:r>
            <w:r w:rsidR="006E2E26">
              <w:rPr>
                <w:rFonts w:ascii="Arial" w:hAnsi="Arial" w:cs="Arial"/>
              </w:rPr>
              <w:t xml:space="preserve">s used for each segment. </w:t>
            </w:r>
          </w:p>
          <w:p w:rsidR="006E2E26" w:rsidRDefault="006E2E26" w:rsidP="006E2E26">
            <w:pPr>
              <w:rPr>
                <w:rFonts w:ascii="Arial" w:hAnsi="Arial" w:cs="Arial"/>
              </w:rPr>
            </w:pPr>
          </w:p>
          <w:p w:rsidR="006E2E26" w:rsidRDefault="006E2E26" w:rsidP="006E2E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Mileage weighted </w:t>
            </w:r>
            <w:r w:rsidR="00702EAE">
              <w:rPr>
                <w:rFonts w:ascii="Arial" w:hAnsi="Arial" w:cs="Arial"/>
              </w:rPr>
              <w:t>segment</w:t>
            </w:r>
            <w:r w:rsidR="00B37B40">
              <w:rPr>
                <w:rFonts w:ascii="Arial" w:hAnsi="Arial" w:cs="Arial"/>
              </w:rPr>
              <w:t>s are</w:t>
            </w:r>
            <w:r>
              <w:rPr>
                <w:rFonts w:ascii="Arial" w:hAnsi="Arial" w:cs="Arial"/>
              </w:rPr>
              <w:t xml:space="preserve"> summed and divided by </w:t>
            </w:r>
            <w:r w:rsidR="00B37B4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total interstate centerline miles.</w:t>
            </w:r>
          </w:p>
          <w:p w:rsidR="006E2E26" w:rsidRDefault="006E2E26" w:rsidP="006E2E26">
            <w:pPr>
              <w:rPr>
                <w:rFonts w:ascii="Arial" w:hAnsi="Arial" w:cs="Arial"/>
              </w:rPr>
            </w:pPr>
          </w:p>
          <w:p w:rsidR="00702EAE" w:rsidRDefault="006E2E26" w:rsidP="006E2E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threshold is established.</w:t>
            </w:r>
          </w:p>
          <w:p w:rsidR="00702EAE" w:rsidRDefault="00702EAE" w:rsidP="005A1101">
            <w:pPr>
              <w:rPr>
                <w:rFonts w:ascii="Arial" w:hAnsi="Arial" w:cs="Arial"/>
              </w:rPr>
            </w:pPr>
          </w:p>
          <w:p w:rsidR="00935B01" w:rsidRDefault="00935B01" w:rsidP="005A110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169"/>
            </w:tblGrid>
            <w:tr w:rsidR="00CC4642" w:rsidRPr="00591AE9" w:rsidTr="00B37B40">
              <w:trPr>
                <w:trHeight w:val="288"/>
              </w:trPr>
              <w:tc>
                <w:tcPr>
                  <w:tcW w:w="5169" w:type="dxa"/>
                  <w:shd w:val="clear" w:color="auto" w:fill="0069A6"/>
                  <w:vAlign w:val="center"/>
                </w:tcPr>
                <w:p w:rsidR="00CC4642" w:rsidRPr="00591AE9" w:rsidRDefault="00365B9E" w:rsidP="00591AE9">
                  <w:pPr>
                    <w:rPr>
                      <w:rFonts w:ascii="Arial" w:hAnsi="Arial" w:cs="Arial"/>
                      <w:b/>
                      <w:i/>
                      <w:color w:val="FFFFFF" w:themeColor="background1"/>
                    </w:rPr>
                  </w:pPr>
                  <w:r>
                    <w:rPr>
                      <w:rFonts w:ascii="Arial" w:hAnsi="Arial" w:cs="Arial"/>
                      <w:b/>
                      <w:i/>
                      <w:color w:val="FFFFFF" w:themeColor="background1"/>
                    </w:rPr>
                    <w:t>Date Sources</w:t>
                  </w:r>
                </w:p>
              </w:tc>
            </w:tr>
          </w:tbl>
          <w:p w:rsidR="00CC4642" w:rsidRDefault="00CC4642" w:rsidP="00CC4642">
            <w:pPr>
              <w:rPr>
                <w:rFonts w:ascii="Arial" w:hAnsi="Arial" w:cs="Arial"/>
              </w:rPr>
            </w:pPr>
          </w:p>
          <w:p w:rsidR="00365B9E" w:rsidRDefault="00365B9E" w:rsidP="00CC46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Speed Data: National Performance Management Research Data Set (NPMRDS)</w:t>
            </w:r>
          </w:p>
          <w:p w:rsidR="00365B9E" w:rsidRDefault="00365B9E" w:rsidP="00CC4642">
            <w:pPr>
              <w:rPr>
                <w:rFonts w:ascii="Arial" w:hAnsi="Arial" w:cs="Arial"/>
              </w:rPr>
            </w:pPr>
          </w:p>
          <w:p w:rsidR="00195278" w:rsidRDefault="00195278" w:rsidP="00CC4642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69"/>
            </w:tblGrid>
            <w:tr w:rsidR="000866D8" w:rsidRPr="00FD49A3" w:rsidTr="008E7324">
              <w:trPr>
                <w:trHeight w:val="288"/>
              </w:trPr>
              <w:tc>
                <w:tcPr>
                  <w:tcW w:w="5223" w:type="dxa"/>
                  <w:shd w:val="clear" w:color="auto" w:fill="0069A6"/>
                  <w:vAlign w:val="center"/>
                </w:tcPr>
                <w:p w:rsidR="00195278" w:rsidRPr="00FD49A3" w:rsidRDefault="00195278" w:rsidP="00195278">
                  <w:pPr>
                    <w:rPr>
                      <w:rFonts w:ascii="Arial" w:hAnsi="Arial" w:cs="Arial"/>
                      <w:b/>
                      <w:i/>
                      <w:color w:val="FFFFFF" w:themeColor="background1"/>
                    </w:rPr>
                  </w:pPr>
                  <w:r w:rsidRPr="00FD49A3">
                    <w:rPr>
                      <w:rFonts w:ascii="Arial" w:hAnsi="Arial" w:cs="Arial"/>
                      <w:b/>
                      <w:i/>
                      <w:color w:val="FFFFFF" w:themeColor="background1"/>
                    </w:rPr>
                    <w:t>Timeline</w:t>
                  </w:r>
                </w:p>
              </w:tc>
            </w:tr>
          </w:tbl>
          <w:p w:rsidR="00195278" w:rsidRPr="00FD49A3" w:rsidRDefault="00195278" w:rsidP="00195278">
            <w:pPr>
              <w:rPr>
                <w:rFonts w:ascii="Arial" w:hAnsi="Arial" w:cs="Arial"/>
              </w:rPr>
            </w:pPr>
          </w:p>
          <w:p w:rsidR="00195278" w:rsidRPr="00FD49A3" w:rsidRDefault="00195278" w:rsidP="00195278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FD49A3">
              <w:rPr>
                <w:rFonts w:ascii="Arial" w:hAnsi="Arial" w:cs="Arial"/>
              </w:rPr>
              <w:t>State DOTs establish targets by May 20, 2018</w:t>
            </w:r>
            <w:r w:rsidR="00334452">
              <w:rPr>
                <w:rFonts w:ascii="Arial" w:hAnsi="Arial" w:cs="Arial"/>
              </w:rPr>
              <w:t>.</w:t>
            </w:r>
          </w:p>
          <w:p w:rsidR="00CC4642" w:rsidRDefault="00195278" w:rsidP="00557246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FD49A3">
              <w:rPr>
                <w:rFonts w:ascii="Arial" w:hAnsi="Arial" w:cs="Arial"/>
              </w:rPr>
              <w:t xml:space="preserve">MPOs must agree to support state targets or establish their own within 180 days of the State establishing and reporting Highway Performance and Freight targets. </w:t>
            </w:r>
          </w:p>
          <w:p w:rsidR="0034016D" w:rsidRDefault="0034016D" w:rsidP="007676A8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FHWA assesses performance in 2020.</w:t>
            </w:r>
          </w:p>
          <w:p w:rsidR="007676A8" w:rsidRDefault="007676A8" w:rsidP="007676A8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2020 target </w:t>
            </w:r>
            <w:r w:rsidR="00D7561B">
              <w:rPr>
                <w:rFonts w:ascii="Arial" w:hAnsi="Arial" w:cs="Arial"/>
              </w:rPr>
              <w:t>is</w:t>
            </w:r>
            <w:r>
              <w:rPr>
                <w:rFonts w:ascii="Arial" w:hAnsi="Arial" w:cs="Arial"/>
              </w:rPr>
              <w:t xml:space="preserve"> not met, </w:t>
            </w:r>
            <w:r w:rsidR="00D7561B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s</w:t>
            </w:r>
            <w:r w:rsidRPr="007676A8">
              <w:rPr>
                <w:rFonts w:ascii="Arial" w:hAnsi="Arial" w:cs="Arial"/>
              </w:rPr>
              <w:t xml:space="preserve">tate must undertake </w:t>
            </w:r>
            <w:r>
              <w:rPr>
                <w:rFonts w:ascii="Arial" w:hAnsi="Arial" w:cs="Arial"/>
              </w:rPr>
              <w:t>extensive</w:t>
            </w:r>
            <w:r w:rsidRPr="007676A8">
              <w:rPr>
                <w:rFonts w:ascii="Arial" w:hAnsi="Arial" w:cs="Arial"/>
              </w:rPr>
              <w:t xml:space="preserve"> data reporting </w:t>
            </w:r>
            <w:r>
              <w:rPr>
                <w:rFonts w:ascii="Arial" w:hAnsi="Arial" w:cs="Arial"/>
              </w:rPr>
              <w:t xml:space="preserve">and analysis on </w:t>
            </w:r>
            <w:r w:rsidR="00D7561B">
              <w:rPr>
                <w:rFonts w:ascii="Arial" w:hAnsi="Arial" w:cs="Arial"/>
              </w:rPr>
              <w:t>its</w:t>
            </w:r>
            <w:r>
              <w:rPr>
                <w:rFonts w:ascii="Arial" w:hAnsi="Arial" w:cs="Arial"/>
              </w:rPr>
              <w:t xml:space="preserve"> freight system</w:t>
            </w:r>
            <w:r w:rsidRPr="007676A8">
              <w:rPr>
                <w:rFonts w:ascii="Arial" w:hAnsi="Arial" w:cs="Arial"/>
              </w:rPr>
              <w:t>.</w:t>
            </w:r>
          </w:p>
          <w:p w:rsidR="007676A8" w:rsidRPr="00530F2C" w:rsidRDefault="00530F2C" w:rsidP="00530F2C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 targets may be adjusted in 2020.</w:t>
            </w:r>
          </w:p>
        </w:tc>
        <w:tc>
          <w:tcPr>
            <w:tcW w:w="5454" w:type="dxa"/>
          </w:tcPr>
          <w:p w:rsidR="00ED49E8" w:rsidRPr="00591AE9" w:rsidRDefault="00ED49E8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179"/>
            </w:tblGrid>
            <w:tr w:rsidR="00CC4642" w:rsidRPr="00591AE9" w:rsidTr="004E1D17">
              <w:trPr>
                <w:trHeight w:val="288"/>
              </w:trPr>
              <w:tc>
                <w:tcPr>
                  <w:tcW w:w="5227" w:type="dxa"/>
                  <w:shd w:val="clear" w:color="auto" w:fill="0069A6"/>
                  <w:vAlign w:val="center"/>
                </w:tcPr>
                <w:p w:rsidR="00CC4642" w:rsidRPr="00591AE9" w:rsidRDefault="00CC4642" w:rsidP="00591AE9">
                  <w:pPr>
                    <w:rPr>
                      <w:rFonts w:ascii="Arial" w:hAnsi="Arial" w:cs="Arial"/>
                      <w:b/>
                      <w:i/>
                      <w:color w:val="FFFFFF" w:themeColor="background1"/>
                    </w:rPr>
                  </w:pPr>
                  <w:r w:rsidRPr="00591AE9">
                    <w:rPr>
                      <w:rFonts w:ascii="Arial" w:hAnsi="Arial" w:cs="Arial"/>
                      <w:b/>
                      <w:i/>
                      <w:color w:val="FFFFFF" w:themeColor="background1"/>
                    </w:rPr>
                    <w:t xml:space="preserve">NYSDOT’s Target Setting </w:t>
                  </w:r>
                  <w:r w:rsidR="00A95D30">
                    <w:rPr>
                      <w:rFonts w:ascii="Arial" w:hAnsi="Arial" w:cs="Arial"/>
                      <w:b/>
                      <w:i/>
                      <w:color w:val="FFFFFF" w:themeColor="background1"/>
                    </w:rPr>
                    <w:t>Process</w:t>
                  </w:r>
                </w:p>
              </w:tc>
            </w:tr>
          </w:tbl>
          <w:p w:rsidR="00CC4642" w:rsidRPr="00591AE9" w:rsidRDefault="00CC4642" w:rsidP="00CC4642">
            <w:pPr>
              <w:rPr>
                <w:rFonts w:ascii="Arial" w:hAnsi="Arial" w:cs="Arial"/>
              </w:rPr>
            </w:pPr>
          </w:p>
          <w:p w:rsidR="00FD49A3" w:rsidRPr="00FD49A3" w:rsidRDefault="00334452" w:rsidP="00FD49A3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Establish trend</w:t>
            </w:r>
            <w:r w:rsidR="00234134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</w:p>
          <w:p w:rsidR="00EC1119" w:rsidRPr="00334452" w:rsidRDefault="00334452" w:rsidP="00334452">
            <w:pPr>
              <w:numPr>
                <w:ilvl w:val="1"/>
                <w:numId w:val="8"/>
              </w:numPr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Estimate t</w:t>
            </w:r>
            <w:r w:rsidR="00234134">
              <w:rPr>
                <w:rFonts w:ascii="Arial" w:hAnsi="Arial" w:cs="Arial"/>
              </w:rPr>
              <w:t>he</w:t>
            </w:r>
            <w:r w:rsidR="00FD49A3" w:rsidRPr="00FD49A3">
              <w:rPr>
                <w:rFonts w:ascii="Arial" w:hAnsi="Arial" w:cs="Arial"/>
              </w:rPr>
              <w:t xml:space="preserve"> linear trend </w:t>
            </w:r>
            <w:r w:rsidR="00234134">
              <w:rPr>
                <w:rFonts w:ascii="Arial" w:hAnsi="Arial" w:cs="Arial"/>
              </w:rPr>
              <w:t xml:space="preserve">for </w:t>
            </w:r>
            <w:r w:rsidR="00B37B40">
              <w:rPr>
                <w:rFonts w:ascii="Arial" w:hAnsi="Arial" w:cs="Arial"/>
              </w:rPr>
              <w:t>TTTR</w:t>
            </w:r>
            <w:r w:rsidR="00234134">
              <w:rPr>
                <w:rFonts w:ascii="Arial" w:hAnsi="Arial" w:cs="Arial"/>
              </w:rPr>
              <w:t xml:space="preserve"> using data from 2014 to 2016.  </w:t>
            </w:r>
            <w:r>
              <w:rPr>
                <w:rFonts w:ascii="Arial" w:hAnsi="Arial" w:cs="Arial"/>
              </w:rPr>
              <w:t>(</w:t>
            </w:r>
            <w:r w:rsidR="00482559">
              <w:rPr>
                <w:rFonts w:ascii="Arial" w:hAnsi="Arial" w:cs="Arial"/>
              </w:rPr>
              <w:t xml:space="preserve">Note: </w:t>
            </w:r>
            <w:r w:rsidR="00EC1119" w:rsidRPr="00334452">
              <w:rPr>
                <w:rFonts w:ascii="Arial" w:hAnsi="Arial" w:cs="Arial"/>
              </w:rPr>
              <w:t>201</w:t>
            </w:r>
            <w:r>
              <w:rPr>
                <w:rFonts w:ascii="Arial" w:hAnsi="Arial" w:cs="Arial"/>
              </w:rPr>
              <w:t xml:space="preserve">4 is </w:t>
            </w:r>
            <w:r w:rsidR="00CA0B5C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first full year of</w:t>
            </w:r>
            <w:r w:rsidR="00EC1119" w:rsidRPr="00334452">
              <w:rPr>
                <w:rFonts w:ascii="Arial" w:hAnsi="Arial" w:cs="Arial"/>
              </w:rPr>
              <w:t xml:space="preserve"> NPMRDS data</w:t>
            </w:r>
            <w:r>
              <w:rPr>
                <w:rFonts w:ascii="Arial" w:hAnsi="Arial" w:cs="Arial"/>
              </w:rPr>
              <w:t>; in 2017, NPRMDS data</w:t>
            </w:r>
            <w:r w:rsidR="00EC1119" w:rsidRPr="00334452">
              <w:rPr>
                <w:rFonts w:ascii="Arial" w:hAnsi="Arial" w:cs="Arial"/>
              </w:rPr>
              <w:t xml:space="preserve"> was provided by a different vendor </w:t>
            </w:r>
            <w:r w:rsidR="00EF1008" w:rsidRPr="00334452">
              <w:rPr>
                <w:rFonts w:ascii="Arial" w:hAnsi="Arial" w:cs="Arial"/>
              </w:rPr>
              <w:t>with different</w:t>
            </w:r>
            <w:r w:rsidR="00EC1119" w:rsidRPr="00334452">
              <w:rPr>
                <w:rFonts w:ascii="Arial" w:hAnsi="Arial" w:cs="Arial"/>
              </w:rPr>
              <w:t xml:space="preserve"> data specification</w:t>
            </w:r>
            <w:r w:rsidR="00EF1008" w:rsidRPr="00334452">
              <w:rPr>
                <w:rFonts w:ascii="Arial" w:hAnsi="Arial" w:cs="Arial"/>
              </w:rPr>
              <w:t>s</w:t>
            </w:r>
            <w:r w:rsidR="00EC1119" w:rsidRPr="0033445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)</w:t>
            </w:r>
            <w:r w:rsidR="00EC1119" w:rsidRPr="00334452">
              <w:rPr>
                <w:rFonts w:ascii="Arial" w:hAnsi="Arial" w:cs="Arial"/>
              </w:rPr>
              <w:t xml:space="preserve">  </w:t>
            </w:r>
          </w:p>
          <w:p w:rsidR="00A95D30" w:rsidRDefault="00A95D30" w:rsidP="00A95D30">
            <w:pPr>
              <w:ind w:left="1080"/>
              <w:rPr>
                <w:rFonts w:ascii="Arial" w:hAnsi="Arial" w:cs="Arial"/>
              </w:rPr>
            </w:pPr>
          </w:p>
          <w:p w:rsidR="00A95D30" w:rsidRDefault="00A95D30" w:rsidP="00A95D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  Determine Baseline:</w:t>
            </w:r>
          </w:p>
          <w:p w:rsidR="00A95D30" w:rsidRDefault="00A95D30" w:rsidP="00A95D30">
            <w:pPr>
              <w:ind w:left="-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:rsidR="00334452" w:rsidRPr="00334452" w:rsidRDefault="00A95D30" w:rsidP="00334452">
            <w:pPr>
              <w:numPr>
                <w:ilvl w:val="1"/>
                <w:numId w:val="8"/>
              </w:numPr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</w:t>
            </w:r>
            <w:r w:rsidR="00482559">
              <w:rPr>
                <w:rFonts w:ascii="Arial" w:hAnsi="Arial" w:cs="Arial"/>
              </w:rPr>
              <w:t xml:space="preserve"> LOTTR</w:t>
            </w:r>
            <w:r>
              <w:rPr>
                <w:rFonts w:ascii="Arial" w:hAnsi="Arial" w:cs="Arial"/>
              </w:rPr>
              <w:t xml:space="preserve"> based on actual </w:t>
            </w:r>
            <w:r w:rsidR="00EF1008">
              <w:rPr>
                <w:rFonts w:ascii="Arial" w:hAnsi="Arial" w:cs="Arial"/>
              </w:rPr>
              <w:t xml:space="preserve">2017 </w:t>
            </w:r>
            <w:r>
              <w:rPr>
                <w:rFonts w:ascii="Arial" w:hAnsi="Arial" w:cs="Arial"/>
              </w:rPr>
              <w:t>data.  This is the 2018 baseline.</w:t>
            </w:r>
          </w:p>
          <w:p w:rsidR="00A95D30" w:rsidRDefault="00A95D30" w:rsidP="00A95D30">
            <w:pPr>
              <w:rPr>
                <w:rFonts w:ascii="Arial" w:hAnsi="Arial" w:cs="Arial"/>
              </w:rPr>
            </w:pPr>
          </w:p>
          <w:p w:rsidR="00A95D30" w:rsidRDefault="00A4794F" w:rsidP="00575240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334452">
              <w:rPr>
                <w:rFonts w:ascii="Arial" w:hAnsi="Arial" w:cs="Arial"/>
              </w:rPr>
              <w:t>onsider data challenges, including</w:t>
            </w:r>
            <w:r w:rsidR="00A95D30">
              <w:rPr>
                <w:rFonts w:ascii="Arial" w:hAnsi="Arial" w:cs="Arial"/>
              </w:rPr>
              <w:t>:</w:t>
            </w:r>
          </w:p>
          <w:p w:rsidR="00A95D30" w:rsidRDefault="00A95D30" w:rsidP="00A95D30">
            <w:pPr>
              <w:rPr>
                <w:rFonts w:ascii="Arial" w:hAnsi="Arial" w:cs="Arial"/>
              </w:rPr>
            </w:pPr>
          </w:p>
          <w:p w:rsidR="00EF1008" w:rsidRDefault="00A95D30" w:rsidP="00A95D30">
            <w:pPr>
              <w:numPr>
                <w:ilvl w:val="1"/>
                <w:numId w:val="8"/>
              </w:numPr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2017 </w:t>
            </w:r>
            <w:r w:rsidR="00EF1008">
              <w:rPr>
                <w:rFonts w:ascii="Arial" w:hAnsi="Arial" w:cs="Arial"/>
              </w:rPr>
              <w:t xml:space="preserve">is the only </w:t>
            </w:r>
            <w:r>
              <w:rPr>
                <w:rFonts w:ascii="Arial" w:hAnsi="Arial" w:cs="Arial"/>
              </w:rPr>
              <w:t xml:space="preserve">available </w:t>
            </w:r>
            <w:r w:rsidR="00EF1008">
              <w:rPr>
                <w:rFonts w:ascii="Arial" w:hAnsi="Arial" w:cs="Arial"/>
              </w:rPr>
              <w:t xml:space="preserve">full year of data using the new vendor and </w:t>
            </w:r>
            <w:r w:rsidR="00AF2DFB">
              <w:rPr>
                <w:rFonts w:ascii="Arial" w:hAnsi="Arial" w:cs="Arial"/>
              </w:rPr>
              <w:t xml:space="preserve">revised data </w:t>
            </w:r>
            <w:r w:rsidR="00EF1008">
              <w:rPr>
                <w:rFonts w:ascii="Arial" w:hAnsi="Arial" w:cs="Arial"/>
              </w:rPr>
              <w:t>specifications.</w:t>
            </w:r>
          </w:p>
          <w:p w:rsidR="00EC1119" w:rsidRDefault="00EC1119" w:rsidP="00A95D30">
            <w:pPr>
              <w:numPr>
                <w:ilvl w:val="1"/>
                <w:numId w:val="8"/>
              </w:numPr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no existing framework for forecasting future trends for th</w:t>
            </w:r>
            <w:r w:rsidR="00AF2DFB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s</w:t>
            </w:r>
            <w:r w:rsidR="00AF2DFB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measure</w:t>
            </w:r>
            <w:r w:rsidR="00AF2DF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  <w:p w:rsidR="00A95D30" w:rsidRDefault="00A95D30" w:rsidP="00A95D30">
            <w:pPr>
              <w:numPr>
                <w:ilvl w:val="1"/>
                <w:numId w:val="8"/>
              </w:numPr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NPMRDS dat</w:t>
            </w:r>
            <w:r w:rsidR="00B37B40">
              <w:rPr>
                <w:rFonts w:ascii="Arial" w:hAnsi="Arial" w:cs="Arial"/>
              </w:rPr>
              <w:t>a</w:t>
            </w:r>
            <w:r w:rsidR="005B6A9B">
              <w:rPr>
                <w:rFonts w:ascii="Arial" w:hAnsi="Arial" w:cs="Arial"/>
              </w:rPr>
              <w:t>, particularly truck</w:t>
            </w:r>
            <w:r w:rsidR="00B37B40">
              <w:rPr>
                <w:rFonts w:ascii="Arial" w:hAnsi="Arial" w:cs="Arial"/>
              </w:rPr>
              <w:t xml:space="preserve"> data, </w:t>
            </w:r>
            <w:r>
              <w:rPr>
                <w:rFonts w:ascii="Arial" w:hAnsi="Arial" w:cs="Arial"/>
              </w:rPr>
              <w:t>is improving e</w:t>
            </w:r>
            <w:r w:rsidR="009A30ED">
              <w:rPr>
                <w:rFonts w:ascii="Arial" w:hAnsi="Arial" w:cs="Arial"/>
              </w:rPr>
              <w:t xml:space="preserve">ach year, which could </w:t>
            </w:r>
            <w:r w:rsidR="005B6A9B">
              <w:rPr>
                <w:rFonts w:ascii="Arial" w:hAnsi="Arial" w:cs="Arial"/>
              </w:rPr>
              <w:t>affect</w:t>
            </w:r>
            <w:r w:rsidR="009A30ED">
              <w:rPr>
                <w:rFonts w:ascii="Arial" w:hAnsi="Arial" w:cs="Arial"/>
              </w:rPr>
              <w:t xml:space="preserve"> future</w:t>
            </w:r>
            <w:r>
              <w:rPr>
                <w:rFonts w:ascii="Arial" w:hAnsi="Arial" w:cs="Arial"/>
              </w:rPr>
              <w:t xml:space="preserve"> results.</w:t>
            </w:r>
          </w:p>
          <w:p w:rsidR="00D104AA" w:rsidRPr="00D104AA" w:rsidRDefault="00D104AA" w:rsidP="00D104AA">
            <w:pPr>
              <w:numPr>
                <w:ilvl w:val="1"/>
                <w:numId w:val="8"/>
              </w:numPr>
              <w:tabs>
                <w:tab w:val="clear" w:pos="1440"/>
                <w:tab w:val="num" w:pos="1080"/>
              </w:tabs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Future guidance on specific calculation methods could affect future results. </w:t>
            </w:r>
          </w:p>
          <w:p w:rsidR="00557246" w:rsidRDefault="00557246" w:rsidP="00A95D30">
            <w:pPr>
              <w:numPr>
                <w:ilvl w:val="1"/>
                <w:numId w:val="8"/>
              </w:numPr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is unclear if the </w:t>
            </w:r>
            <w:r w:rsidR="00482559">
              <w:rPr>
                <w:rFonts w:ascii="Arial" w:hAnsi="Arial" w:cs="Arial"/>
              </w:rPr>
              <w:t xml:space="preserve">linear trend developed using 2014-2016 NPMRDS data will </w:t>
            </w:r>
            <w:r>
              <w:rPr>
                <w:rFonts w:ascii="Arial" w:hAnsi="Arial" w:cs="Arial"/>
              </w:rPr>
              <w:t>be representative of future data trends.</w:t>
            </w:r>
          </w:p>
          <w:p w:rsidR="00CB07E9" w:rsidRPr="00CB07E9" w:rsidRDefault="00CB07E9" w:rsidP="00CB07E9">
            <w:pPr>
              <w:numPr>
                <w:ilvl w:val="1"/>
                <w:numId w:val="8"/>
              </w:numPr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is expected to be judged on the data reported in 2020 and 2022.</w:t>
            </w:r>
          </w:p>
          <w:p w:rsidR="00557246" w:rsidRDefault="00557246" w:rsidP="00557246">
            <w:pPr>
              <w:ind w:left="720"/>
              <w:rPr>
                <w:rFonts w:ascii="Arial" w:hAnsi="Arial" w:cs="Arial"/>
              </w:rPr>
            </w:pPr>
          </w:p>
          <w:p w:rsidR="009562CB" w:rsidRDefault="009562CB" w:rsidP="00575240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Establish Targets:</w:t>
            </w:r>
          </w:p>
          <w:p w:rsidR="002F2728" w:rsidRPr="009562CB" w:rsidRDefault="002F2728" w:rsidP="002F2728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9562CB" w:rsidRDefault="009562CB" w:rsidP="00A95D30">
            <w:pPr>
              <w:numPr>
                <w:ilvl w:val="1"/>
                <w:numId w:val="8"/>
              </w:numPr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the 2014-2016 linear trend to determine baseline data for 2020 and 2022.</w:t>
            </w:r>
          </w:p>
          <w:p w:rsidR="00557246" w:rsidRPr="00557246" w:rsidRDefault="006D6F69" w:rsidP="00557246">
            <w:pPr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9562CB">
              <w:rPr>
                <w:rFonts w:ascii="Arial" w:hAnsi="Arial" w:cs="Arial"/>
              </w:rPr>
              <w:t xml:space="preserve">djust trend </w:t>
            </w:r>
            <w:r w:rsidR="009562CB" w:rsidRPr="00FD49A3">
              <w:rPr>
                <w:rFonts w:ascii="Arial" w:hAnsi="Arial" w:cs="Arial"/>
              </w:rPr>
              <w:t>by decreasing the</w:t>
            </w:r>
            <w:r w:rsidR="009562CB">
              <w:rPr>
                <w:rFonts w:ascii="Arial" w:hAnsi="Arial" w:cs="Arial"/>
              </w:rPr>
              <w:t xml:space="preserve"> resulting</w:t>
            </w:r>
            <w:r w:rsidR="009562CB" w:rsidRPr="00FD49A3">
              <w:rPr>
                <w:rFonts w:ascii="Arial" w:hAnsi="Arial" w:cs="Arial"/>
              </w:rPr>
              <w:t xml:space="preserve"> values by </w:t>
            </w:r>
            <w:r w:rsidR="00066ECA">
              <w:rPr>
                <w:rFonts w:ascii="Arial" w:hAnsi="Arial" w:cs="Arial"/>
              </w:rPr>
              <w:t>4</w:t>
            </w:r>
            <w:r w:rsidR="00CB07E9">
              <w:rPr>
                <w:rFonts w:ascii="Arial" w:hAnsi="Arial" w:cs="Arial"/>
              </w:rPr>
              <w:t>0%</w:t>
            </w:r>
            <w:r w:rsidR="009562CB" w:rsidRPr="00FD49A3">
              <w:rPr>
                <w:rFonts w:ascii="Arial" w:hAnsi="Arial" w:cs="Arial"/>
              </w:rPr>
              <w:t>.</w:t>
            </w:r>
          </w:p>
          <w:p w:rsidR="007676A8" w:rsidRPr="007676A8" w:rsidRDefault="002F2728" w:rsidP="007676A8">
            <w:pPr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Reconsider targets in 2020 based on additional data</w:t>
            </w:r>
            <w:r w:rsidR="00557246">
              <w:rPr>
                <w:rFonts w:ascii="Arial" w:hAnsi="Arial" w:cs="Arial"/>
              </w:rPr>
              <w:t>, guidance,</w:t>
            </w:r>
            <w:r>
              <w:rPr>
                <w:rFonts w:ascii="Arial" w:hAnsi="Arial" w:cs="Arial"/>
              </w:rPr>
              <w:t xml:space="preserve"> and analysis.</w:t>
            </w:r>
          </w:p>
        </w:tc>
      </w:tr>
      <w:tr w:rsidR="000866D8" w:rsidRPr="00591AE9" w:rsidTr="004E1D17">
        <w:tc>
          <w:tcPr>
            <w:tcW w:w="5454" w:type="dxa"/>
          </w:tcPr>
          <w:p w:rsidR="006454BE" w:rsidRDefault="006454BE" w:rsidP="00CC4642">
            <w:pPr>
              <w:rPr>
                <w:rFonts w:ascii="Arial" w:hAnsi="Arial" w:cs="Arial"/>
              </w:rPr>
            </w:pPr>
          </w:p>
          <w:p w:rsidR="00D7561B" w:rsidRDefault="00D7561B" w:rsidP="00CC4642">
            <w:pPr>
              <w:rPr>
                <w:rFonts w:ascii="Arial" w:hAnsi="Arial" w:cs="Arial"/>
              </w:rPr>
            </w:pPr>
          </w:p>
          <w:p w:rsidR="0034016D" w:rsidRPr="00591AE9" w:rsidRDefault="0034016D" w:rsidP="00CC4642">
            <w:pPr>
              <w:rPr>
                <w:rFonts w:ascii="Arial" w:hAnsi="Arial" w:cs="Arial"/>
              </w:rPr>
            </w:pPr>
          </w:p>
        </w:tc>
        <w:tc>
          <w:tcPr>
            <w:tcW w:w="5454" w:type="dxa"/>
          </w:tcPr>
          <w:p w:rsidR="006E2E26" w:rsidRDefault="006E2E26">
            <w:pPr>
              <w:rPr>
                <w:rFonts w:ascii="Arial" w:hAnsi="Arial" w:cs="Arial"/>
              </w:rPr>
            </w:pPr>
          </w:p>
          <w:p w:rsidR="008638E1" w:rsidRDefault="008638E1">
            <w:pPr>
              <w:rPr>
                <w:rFonts w:ascii="Arial" w:hAnsi="Arial" w:cs="Arial"/>
              </w:rPr>
            </w:pPr>
          </w:p>
          <w:p w:rsidR="008638E1" w:rsidRDefault="008638E1">
            <w:pPr>
              <w:rPr>
                <w:rFonts w:ascii="Arial" w:hAnsi="Arial" w:cs="Arial"/>
              </w:rPr>
            </w:pPr>
          </w:p>
          <w:p w:rsidR="006D6F69" w:rsidRDefault="006D6F69">
            <w:pPr>
              <w:rPr>
                <w:rFonts w:ascii="Arial" w:hAnsi="Arial" w:cs="Arial"/>
              </w:rPr>
            </w:pPr>
          </w:p>
          <w:p w:rsidR="006D6F69" w:rsidRPr="00591AE9" w:rsidRDefault="006D6F69">
            <w:pPr>
              <w:rPr>
                <w:rFonts w:ascii="Arial" w:hAnsi="Arial" w:cs="Arial"/>
              </w:rPr>
            </w:pPr>
          </w:p>
        </w:tc>
      </w:tr>
    </w:tbl>
    <w:tbl>
      <w:tblPr>
        <w:tblW w:w="1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2"/>
      </w:tblGrid>
      <w:tr w:rsidR="0098241B" w:rsidRPr="0098241B" w:rsidTr="00C0002D">
        <w:trPr>
          <w:trHeight w:val="259"/>
        </w:trPr>
        <w:tc>
          <w:tcPr>
            <w:tcW w:w="11422" w:type="dxa"/>
            <w:shd w:val="clear" w:color="auto" w:fill="0069A6"/>
          </w:tcPr>
          <w:p w:rsidR="0098241B" w:rsidRPr="0098241B" w:rsidRDefault="00180BE3" w:rsidP="0098241B">
            <w:pPr>
              <w:rPr>
                <w:rFonts w:ascii="Arial" w:hAnsi="Arial" w:cs="Arial"/>
                <w:b/>
                <w:i/>
                <w:color w:val="FFFFFF" w:themeColor="background1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</w:rPr>
              <w:lastRenderedPageBreak/>
              <w:t xml:space="preserve">Performance </w:t>
            </w:r>
            <w:r w:rsidR="0098241B" w:rsidRPr="0098241B">
              <w:rPr>
                <w:rFonts w:ascii="Arial" w:hAnsi="Arial" w:cs="Arial"/>
                <w:b/>
                <w:i/>
                <w:color w:val="FFFFFF" w:themeColor="background1"/>
              </w:rPr>
              <w:t>Targets and Supporting Data</w:t>
            </w:r>
          </w:p>
        </w:tc>
      </w:tr>
    </w:tbl>
    <w:p w:rsidR="0098241B" w:rsidRPr="00C06896" w:rsidRDefault="00C06896" w:rsidP="0098241B">
      <w:pPr>
        <w:rPr>
          <w:rFonts w:ascii="Arial" w:hAnsi="Arial" w:cs="Arial"/>
          <w:b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</w:p>
    <w:p w:rsidR="0098241B" w:rsidRPr="00C06896" w:rsidRDefault="0098241B" w:rsidP="0098241B">
      <w:pPr>
        <w:jc w:val="center"/>
        <w:rPr>
          <w:rFonts w:ascii="Arial" w:hAnsi="Arial" w:cs="Arial"/>
          <w:sz w:val="24"/>
          <w:szCs w:val="24"/>
        </w:rPr>
      </w:pPr>
    </w:p>
    <w:p w:rsidR="00C06896" w:rsidRPr="00C06896" w:rsidRDefault="002F2728" w:rsidP="0098241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Historic </w:t>
      </w:r>
      <w:r w:rsidR="00C06896" w:rsidRPr="00C06896">
        <w:rPr>
          <w:rFonts w:ascii="Arial" w:hAnsi="Arial" w:cs="Arial"/>
          <w:b/>
          <w:sz w:val="24"/>
          <w:szCs w:val="24"/>
        </w:rPr>
        <w:t>Data</w:t>
      </w:r>
    </w:p>
    <w:p w:rsidR="00C06896" w:rsidRPr="0098241B" w:rsidRDefault="00C06896" w:rsidP="0098241B">
      <w:pPr>
        <w:jc w:val="center"/>
        <w:rPr>
          <w:rFonts w:ascii="Arial" w:hAnsi="Arial" w:cs="Arial"/>
          <w:sz w:val="16"/>
        </w:rPr>
      </w:pPr>
    </w:p>
    <w:tbl>
      <w:tblPr>
        <w:tblW w:w="3800" w:type="dxa"/>
        <w:jc w:val="center"/>
        <w:tblLook w:val="04A0" w:firstRow="1" w:lastRow="0" w:firstColumn="1" w:lastColumn="0" w:noHBand="0" w:noVBand="1"/>
      </w:tblPr>
      <w:tblGrid>
        <w:gridCol w:w="2120"/>
        <w:gridCol w:w="1680"/>
      </w:tblGrid>
      <w:tr w:rsidR="000B1475" w:rsidRPr="0098241B" w:rsidTr="000B1475">
        <w:trPr>
          <w:trHeight w:val="315"/>
          <w:jc w:val="center"/>
        </w:trPr>
        <w:tc>
          <w:tcPr>
            <w:tcW w:w="212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1475" w:rsidRPr="0098241B" w:rsidRDefault="000B1475" w:rsidP="0098241B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98241B">
              <w:rPr>
                <w:rFonts w:eastAsia="Times New Roman" w:cs="Calibri"/>
                <w:b/>
                <w:bCs/>
                <w:color w:val="000000"/>
              </w:rPr>
              <w:t>Year</w:t>
            </w:r>
          </w:p>
        </w:tc>
        <w:tc>
          <w:tcPr>
            <w:tcW w:w="1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1475" w:rsidRPr="0098241B" w:rsidRDefault="000B1475" w:rsidP="0098241B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TTTR</w:t>
            </w:r>
          </w:p>
        </w:tc>
      </w:tr>
      <w:tr w:rsidR="000B1475" w:rsidRPr="0098241B" w:rsidTr="000B1475">
        <w:trPr>
          <w:trHeight w:val="300"/>
          <w:jc w:val="center"/>
        </w:trPr>
        <w:tc>
          <w:tcPr>
            <w:tcW w:w="2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475" w:rsidRPr="0098241B" w:rsidRDefault="000B1475" w:rsidP="0098241B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98241B">
              <w:rPr>
                <w:rFonts w:eastAsia="Times New Roman" w:cs="Calibri"/>
                <w:b/>
                <w:bCs/>
                <w:color w:val="000000"/>
              </w:rPr>
              <w:t>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475" w:rsidRPr="0098241B" w:rsidRDefault="00066ECA" w:rsidP="0098241B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1.61</w:t>
            </w:r>
          </w:p>
        </w:tc>
      </w:tr>
      <w:tr w:rsidR="000B1475" w:rsidRPr="0098241B" w:rsidTr="000B1475">
        <w:trPr>
          <w:trHeight w:val="300"/>
          <w:jc w:val="center"/>
        </w:trPr>
        <w:tc>
          <w:tcPr>
            <w:tcW w:w="2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475" w:rsidRPr="0098241B" w:rsidRDefault="000B1475" w:rsidP="0098241B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98241B">
              <w:rPr>
                <w:rFonts w:eastAsia="Times New Roman" w:cs="Calibri"/>
                <w:b/>
                <w:bCs/>
                <w:color w:val="000000"/>
              </w:rPr>
              <w:t>2015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475" w:rsidRPr="0098241B" w:rsidRDefault="00066ECA" w:rsidP="0098241B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1.60</w:t>
            </w:r>
          </w:p>
        </w:tc>
      </w:tr>
      <w:tr w:rsidR="000B1475" w:rsidRPr="0098241B" w:rsidTr="000B1475">
        <w:trPr>
          <w:trHeight w:val="300"/>
          <w:jc w:val="center"/>
        </w:trPr>
        <w:tc>
          <w:tcPr>
            <w:tcW w:w="2120" w:type="dxa"/>
            <w:tcBorders>
              <w:top w:val="nil"/>
              <w:left w:val="double" w:sz="6" w:space="0" w:color="auto"/>
              <w:bottom w:val="double" w:sz="4" w:space="0" w:color="4F81BD" w:themeColor="accen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475" w:rsidRPr="0098241B" w:rsidRDefault="000B1475" w:rsidP="0098241B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98241B">
              <w:rPr>
                <w:rFonts w:eastAsia="Times New Roman" w:cs="Calibri"/>
                <w:b/>
                <w:bCs/>
                <w:color w:val="000000"/>
              </w:rPr>
              <w:t>2016</w:t>
            </w:r>
          </w:p>
        </w:tc>
        <w:tc>
          <w:tcPr>
            <w:tcW w:w="1680" w:type="dxa"/>
            <w:tcBorders>
              <w:top w:val="nil"/>
              <w:left w:val="nil"/>
              <w:bottom w:val="double" w:sz="4" w:space="0" w:color="4F81BD" w:themeColor="accen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475" w:rsidRPr="0098241B" w:rsidRDefault="00066ECA" w:rsidP="0098241B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1.65</w:t>
            </w:r>
          </w:p>
        </w:tc>
      </w:tr>
      <w:tr w:rsidR="000B1475" w:rsidRPr="0098241B" w:rsidTr="000B1475">
        <w:trPr>
          <w:trHeight w:val="300"/>
          <w:jc w:val="center"/>
        </w:trPr>
        <w:tc>
          <w:tcPr>
            <w:tcW w:w="2120" w:type="dxa"/>
            <w:tcBorders>
              <w:top w:val="double" w:sz="4" w:space="0" w:color="4F81BD" w:themeColor="accent1"/>
              <w:left w:val="double" w:sz="4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475" w:rsidRPr="0098241B" w:rsidRDefault="000B1475" w:rsidP="0098241B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98241B">
              <w:rPr>
                <w:rFonts w:eastAsia="Times New Roman" w:cs="Calibri"/>
                <w:b/>
                <w:bCs/>
                <w:color w:val="000000"/>
              </w:rPr>
              <w:t>2017</w:t>
            </w:r>
            <w:r>
              <w:rPr>
                <w:rFonts w:eastAsia="Times New Roman" w:cs="Calibri"/>
                <w:b/>
                <w:bCs/>
                <w:color w:val="000000"/>
              </w:rPr>
              <w:t>*</w:t>
            </w:r>
          </w:p>
        </w:tc>
        <w:tc>
          <w:tcPr>
            <w:tcW w:w="1680" w:type="dxa"/>
            <w:tcBorders>
              <w:top w:val="double" w:sz="4" w:space="0" w:color="4F81BD" w:themeColor="accent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475" w:rsidRPr="0098241B" w:rsidRDefault="00066ECA" w:rsidP="0098241B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1.38</w:t>
            </w:r>
          </w:p>
        </w:tc>
      </w:tr>
    </w:tbl>
    <w:p w:rsidR="00066ECA" w:rsidRDefault="000B1475" w:rsidP="000B1475">
      <w:pPr>
        <w:spacing w:after="200" w:line="276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4A0818" w:rsidRDefault="000B1475" w:rsidP="004D7D31">
      <w:pPr>
        <w:spacing w:after="200" w:line="276" w:lineRule="auto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* Data vendor for NPMRDS changed in 2017.</w:t>
      </w:r>
    </w:p>
    <w:p w:rsidR="00C06896" w:rsidRDefault="00C06896" w:rsidP="009562CB">
      <w:pPr>
        <w:spacing w:line="276" w:lineRule="auto"/>
        <w:jc w:val="center"/>
        <w:rPr>
          <w:rFonts w:ascii="Arial" w:hAnsi="Arial" w:cs="Arial"/>
          <w:b/>
        </w:rPr>
      </w:pPr>
      <w:r w:rsidRPr="00C06896">
        <w:rPr>
          <w:rFonts w:ascii="Arial" w:hAnsi="Arial" w:cs="Arial"/>
          <w:b/>
        </w:rPr>
        <w:t>Initial Targets</w:t>
      </w:r>
    </w:p>
    <w:p w:rsidR="009562CB" w:rsidRDefault="008E307D" w:rsidP="009562CB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</w:t>
      </w:r>
      <w:r w:rsidR="009562CB">
        <w:rPr>
          <w:rFonts w:ascii="Arial" w:hAnsi="Arial" w:cs="Arial"/>
          <w:b/>
        </w:rPr>
        <w:t>TTR (Interstate)</w:t>
      </w:r>
    </w:p>
    <w:p w:rsidR="002F2728" w:rsidRDefault="002F2728" w:rsidP="009562CB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W w:w="3800" w:type="dxa"/>
        <w:jc w:val="center"/>
        <w:tblLook w:val="04A0" w:firstRow="1" w:lastRow="0" w:firstColumn="1" w:lastColumn="0" w:noHBand="0" w:noVBand="1"/>
      </w:tblPr>
      <w:tblGrid>
        <w:gridCol w:w="2120"/>
        <w:gridCol w:w="1680"/>
      </w:tblGrid>
      <w:tr w:rsidR="00066ECA" w:rsidRPr="0098241B" w:rsidTr="00066ECA">
        <w:trPr>
          <w:trHeight w:val="315"/>
          <w:jc w:val="center"/>
        </w:trPr>
        <w:tc>
          <w:tcPr>
            <w:tcW w:w="212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66ECA" w:rsidRPr="0098241B" w:rsidRDefault="00066ECA" w:rsidP="008E7324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98241B">
              <w:rPr>
                <w:rFonts w:eastAsia="Times New Roman" w:cs="Calibri"/>
                <w:b/>
                <w:bCs/>
                <w:color w:val="000000"/>
              </w:rPr>
              <w:t>Year</w:t>
            </w:r>
          </w:p>
        </w:tc>
        <w:tc>
          <w:tcPr>
            <w:tcW w:w="1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66ECA" w:rsidRPr="0098241B" w:rsidRDefault="00066ECA" w:rsidP="008E7324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TTTR</w:t>
            </w:r>
          </w:p>
        </w:tc>
      </w:tr>
      <w:tr w:rsidR="00066ECA" w:rsidRPr="0098241B" w:rsidTr="00066ECA">
        <w:trPr>
          <w:trHeight w:val="300"/>
          <w:jc w:val="center"/>
        </w:trPr>
        <w:tc>
          <w:tcPr>
            <w:tcW w:w="2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ECA" w:rsidRPr="0098241B" w:rsidRDefault="00066ECA" w:rsidP="008E7324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98241B">
              <w:rPr>
                <w:rFonts w:eastAsia="Times New Roman" w:cs="Calibri"/>
                <w:b/>
                <w:bCs/>
                <w:color w:val="000000"/>
              </w:rPr>
              <w:t>201</w:t>
            </w:r>
            <w:r>
              <w:rPr>
                <w:rFonts w:eastAsia="Times New Roman" w:cs="Calibri"/>
                <w:b/>
                <w:bCs/>
                <w:color w:val="000000"/>
              </w:rPr>
              <w:t>8 (Baseline)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ECA" w:rsidRPr="0098241B" w:rsidRDefault="00C02A71" w:rsidP="008E7324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  <w:r w:rsidR="00066ECA">
              <w:rPr>
                <w:rFonts w:eastAsia="Times New Roman" w:cs="Calibri"/>
                <w:color w:val="000000"/>
              </w:rPr>
              <w:t>.</w:t>
            </w:r>
            <w:r>
              <w:rPr>
                <w:rFonts w:eastAsia="Times New Roman" w:cs="Calibri"/>
                <w:color w:val="000000"/>
              </w:rPr>
              <w:t>38</w:t>
            </w:r>
          </w:p>
        </w:tc>
      </w:tr>
      <w:tr w:rsidR="00066ECA" w:rsidRPr="0098241B" w:rsidTr="00066ECA">
        <w:trPr>
          <w:trHeight w:val="300"/>
          <w:jc w:val="center"/>
        </w:trPr>
        <w:tc>
          <w:tcPr>
            <w:tcW w:w="21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ECA" w:rsidRPr="0098241B" w:rsidRDefault="00066ECA" w:rsidP="008E7324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2020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ECA" w:rsidRPr="0098241B" w:rsidRDefault="00C02A71" w:rsidP="008E7324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2.00</w:t>
            </w:r>
          </w:p>
        </w:tc>
      </w:tr>
      <w:tr w:rsidR="00066ECA" w:rsidRPr="0098241B" w:rsidTr="00066ECA">
        <w:trPr>
          <w:trHeight w:val="300"/>
          <w:jc w:val="center"/>
        </w:trPr>
        <w:tc>
          <w:tcPr>
            <w:tcW w:w="2120" w:type="dxa"/>
            <w:tcBorders>
              <w:top w:val="nil"/>
              <w:left w:val="doub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ECA" w:rsidRPr="0098241B" w:rsidRDefault="00066ECA" w:rsidP="008E7324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ECA" w:rsidRPr="0098241B" w:rsidRDefault="00C02A71" w:rsidP="008E7324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2.1</w:t>
            </w:r>
            <w:r w:rsidR="00001A5C">
              <w:rPr>
                <w:rFonts w:eastAsia="Times New Roman" w:cs="Calibri"/>
                <w:color w:val="000000"/>
              </w:rPr>
              <w:t>1</w:t>
            </w:r>
          </w:p>
        </w:tc>
      </w:tr>
    </w:tbl>
    <w:p w:rsidR="00110619" w:rsidRDefault="00110619" w:rsidP="00482559">
      <w:pPr>
        <w:spacing w:line="276" w:lineRule="auto"/>
        <w:rPr>
          <w:rFonts w:ascii="Arial" w:hAnsi="Arial" w:cs="Arial"/>
          <w:b/>
        </w:rPr>
      </w:pPr>
    </w:p>
    <w:p w:rsidR="00482559" w:rsidRDefault="00482559" w:rsidP="00482559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Important Note</w:t>
      </w:r>
      <w:r w:rsidR="00E7340A">
        <w:rPr>
          <w:rFonts w:ascii="Arial" w:hAnsi="Arial" w:cs="Arial"/>
          <w:b/>
        </w:rPr>
        <w:t>s on Targets</w:t>
      </w:r>
      <w:r>
        <w:rPr>
          <w:rFonts w:ascii="Arial" w:hAnsi="Arial" w:cs="Arial"/>
          <w:b/>
        </w:rPr>
        <w:t>:</w:t>
      </w:r>
    </w:p>
    <w:p w:rsidR="00482559" w:rsidRPr="004D7D31" w:rsidRDefault="00482559" w:rsidP="004D7D31">
      <w:pPr>
        <w:spacing w:line="276" w:lineRule="auto"/>
        <w:rPr>
          <w:rFonts w:ascii="Arial" w:hAnsi="Arial" w:cs="Arial"/>
          <w:b/>
        </w:rPr>
      </w:pPr>
    </w:p>
    <w:p w:rsidR="007010DA" w:rsidRPr="007010DA" w:rsidRDefault="00482559" w:rsidP="00482559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</w:t>
      </w:r>
      <w:r w:rsidR="00240C2B">
        <w:rPr>
          <w:rFonts w:ascii="Arial" w:hAnsi="Arial" w:cs="Arial"/>
        </w:rPr>
        <w:t>increasing</w:t>
      </w:r>
      <w:r>
        <w:rPr>
          <w:rFonts w:ascii="Arial" w:hAnsi="Arial" w:cs="Arial"/>
        </w:rPr>
        <w:t xml:space="preserve"> targets </w:t>
      </w:r>
      <w:r w:rsidR="00656A77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NOT </w:t>
      </w:r>
      <w:r>
        <w:rPr>
          <w:rFonts w:ascii="Arial" w:hAnsi="Arial" w:cs="Arial"/>
        </w:rPr>
        <w:t>reflective of an analysis of</w:t>
      </w:r>
      <w:r w:rsidR="00656A77">
        <w:rPr>
          <w:rFonts w:ascii="Arial" w:hAnsi="Arial" w:cs="Arial"/>
        </w:rPr>
        <w:t xml:space="preserve"> future performance.  </w:t>
      </w:r>
      <w:r w:rsidR="007010DA">
        <w:rPr>
          <w:rFonts w:ascii="Arial" w:hAnsi="Arial" w:cs="Arial"/>
        </w:rPr>
        <w:t>T</w:t>
      </w:r>
      <w:r w:rsidR="00656A77">
        <w:rPr>
          <w:rFonts w:ascii="Arial" w:hAnsi="Arial" w:cs="Arial"/>
        </w:rPr>
        <w:t xml:space="preserve">he targets have been intentionally set to reflect the unknown </w:t>
      </w:r>
      <w:r w:rsidR="009A31A6">
        <w:rPr>
          <w:rFonts w:ascii="Arial" w:hAnsi="Arial" w:cs="Arial"/>
        </w:rPr>
        <w:t xml:space="preserve">and emerging </w:t>
      </w:r>
      <w:r w:rsidR="00656A77">
        <w:rPr>
          <w:rFonts w:ascii="Arial" w:hAnsi="Arial" w:cs="Arial"/>
        </w:rPr>
        <w:t>nature of this data</w:t>
      </w:r>
      <w:r w:rsidR="007676A8">
        <w:rPr>
          <w:rFonts w:ascii="Arial" w:hAnsi="Arial" w:cs="Arial"/>
        </w:rPr>
        <w:t xml:space="preserve"> </w:t>
      </w:r>
      <w:r w:rsidR="00575F83">
        <w:rPr>
          <w:rFonts w:ascii="Arial" w:hAnsi="Arial" w:cs="Arial"/>
        </w:rPr>
        <w:t>as noted in Step 3 above</w:t>
      </w:r>
      <w:r w:rsidR="007010DA">
        <w:rPr>
          <w:rFonts w:ascii="Arial" w:hAnsi="Arial" w:cs="Arial"/>
        </w:rPr>
        <w:t xml:space="preserve">. </w:t>
      </w:r>
    </w:p>
    <w:p w:rsidR="007010DA" w:rsidRDefault="007010DA" w:rsidP="007010DA">
      <w:pPr>
        <w:pStyle w:val="ListParagraph"/>
        <w:numPr>
          <w:ilvl w:val="0"/>
          <w:numId w:val="25"/>
        </w:numPr>
        <w:spacing w:after="40" w:line="276" w:lineRule="auto"/>
        <w:rPr>
          <w:rFonts w:ascii="Arial" w:hAnsi="Arial" w:cs="Arial"/>
        </w:rPr>
      </w:pPr>
      <w:r w:rsidRPr="006A42AD">
        <w:rPr>
          <w:rFonts w:ascii="Arial" w:hAnsi="Arial" w:cs="Arial"/>
        </w:rPr>
        <w:t xml:space="preserve">2017 is the only available full year of data. Targets are speculative pending a reliable data trend. </w:t>
      </w:r>
    </w:p>
    <w:p w:rsidR="003E7850" w:rsidRPr="006A42AD" w:rsidRDefault="003E7850" w:rsidP="007010DA">
      <w:pPr>
        <w:pStyle w:val="ListParagraph"/>
        <w:numPr>
          <w:ilvl w:val="0"/>
          <w:numId w:val="25"/>
        </w:numPr>
        <w:spacing w:after="40" w:line="276" w:lineRule="auto"/>
        <w:rPr>
          <w:rFonts w:ascii="Arial" w:hAnsi="Arial" w:cs="Arial"/>
        </w:rPr>
      </w:pPr>
      <w:r>
        <w:rPr>
          <w:rFonts w:ascii="Arial" w:hAnsi="Arial" w:cs="Arial"/>
        </w:rPr>
        <w:t>Targets will be revisited in 2020.</w:t>
      </w:r>
    </w:p>
    <w:p w:rsidR="007010DA" w:rsidRPr="00482559" w:rsidRDefault="007010DA" w:rsidP="007010DA">
      <w:pPr>
        <w:pStyle w:val="ListParagraph"/>
        <w:spacing w:line="276" w:lineRule="auto"/>
        <w:rPr>
          <w:rFonts w:ascii="Arial" w:hAnsi="Arial" w:cs="Arial"/>
          <w:b/>
        </w:rPr>
      </w:pPr>
    </w:p>
    <w:sectPr w:rsidR="007010DA" w:rsidRPr="00482559" w:rsidSect="00CC46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30E" w:rsidRDefault="000B630E" w:rsidP="0022662C">
      <w:r>
        <w:separator/>
      </w:r>
    </w:p>
  </w:endnote>
  <w:endnote w:type="continuationSeparator" w:id="0">
    <w:p w:rsidR="000B630E" w:rsidRDefault="000B630E" w:rsidP="00226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62C" w:rsidRDefault="002266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62C" w:rsidRDefault="002266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62C" w:rsidRDefault="00226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30E" w:rsidRDefault="000B630E" w:rsidP="0022662C">
      <w:r>
        <w:separator/>
      </w:r>
    </w:p>
  </w:footnote>
  <w:footnote w:type="continuationSeparator" w:id="0">
    <w:p w:rsidR="000B630E" w:rsidRDefault="000B630E" w:rsidP="00226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62C" w:rsidRDefault="002266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62C" w:rsidRDefault="002266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62C" w:rsidRDefault="00226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A71"/>
    <w:multiLevelType w:val="hybridMultilevel"/>
    <w:tmpl w:val="C892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649F"/>
    <w:multiLevelType w:val="hybridMultilevel"/>
    <w:tmpl w:val="CBB0B1E8"/>
    <w:lvl w:ilvl="0" w:tplc="2756505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0739"/>
    <w:multiLevelType w:val="hybridMultilevel"/>
    <w:tmpl w:val="8B769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412FE"/>
    <w:multiLevelType w:val="hybridMultilevel"/>
    <w:tmpl w:val="A24E1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42466"/>
    <w:multiLevelType w:val="hybridMultilevel"/>
    <w:tmpl w:val="9372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66FA4"/>
    <w:multiLevelType w:val="hybridMultilevel"/>
    <w:tmpl w:val="8B769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07909"/>
    <w:multiLevelType w:val="hybridMultilevel"/>
    <w:tmpl w:val="66043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57DFA"/>
    <w:multiLevelType w:val="hybridMultilevel"/>
    <w:tmpl w:val="69182740"/>
    <w:lvl w:ilvl="0" w:tplc="2756505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7800D3C"/>
    <w:multiLevelType w:val="hybridMultilevel"/>
    <w:tmpl w:val="AA44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117A8C"/>
    <w:multiLevelType w:val="multilevel"/>
    <w:tmpl w:val="B262E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36106"/>
    <w:multiLevelType w:val="hybridMultilevel"/>
    <w:tmpl w:val="D1121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A77139"/>
    <w:multiLevelType w:val="hybridMultilevel"/>
    <w:tmpl w:val="B58A1A32"/>
    <w:lvl w:ilvl="0" w:tplc="2756505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5AEA9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5862A0">
      <w:start w:val="71"/>
      <w:numFmt w:val="bullet"/>
      <w:lvlText w:val=""/>
      <w:lvlJc w:val="left"/>
      <w:pPr>
        <w:ind w:left="2160" w:hanging="360"/>
      </w:pPr>
      <w:rPr>
        <w:rFonts w:ascii="Symbol" w:eastAsiaTheme="minorEastAsia" w:hAnsi="Symbol" w:cs="Arial" w:hint="default"/>
      </w:rPr>
    </w:lvl>
    <w:lvl w:ilvl="3" w:tplc="6E3ECD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6859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F2737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063C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851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4A02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B62FC"/>
    <w:multiLevelType w:val="hybridMultilevel"/>
    <w:tmpl w:val="6CAE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E4649"/>
    <w:multiLevelType w:val="hybridMultilevel"/>
    <w:tmpl w:val="63C8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94398"/>
    <w:multiLevelType w:val="hybridMultilevel"/>
    <w:tmpl w:val="CE7C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648D8"/>
    <w:multiLevelType w:val="multilevel"/>
    <w:tmpl w:val="D1121F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224D28"/>
    <w:multiLevelType w:val="hybridMultilevel"/>
    <w:tmpl w:val="6554BC38"/>
    <w:lvl w:ilvl="0" w:tplc="2756505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94180"/>
    <w:multiLevelType w:val="hybridMultilevel"/>
    <w:tmpl w:val="27E6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1260B3"/>
    <w:multiLevelType w:val="hybridMultilevel"/>
    <w:tmpl w:val="8B7698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544B27"/>
    <w:multiLevelType w:val="hybridMultilevel"/>
    <w:tmpl w:val="CD28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A727FA"/>
    <w:multiLevelType w:val="hybridMultilevel"/>
    <w:tmpl w:val="5DE47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49413B"/>
    <w:multiLevelType w:val="hybridMultilevel"/>
    <w:tmpl w:val="4ED81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7607F8"/>
    <w:multiLevelType w:val="hybridMultilevel"/>
    <w:tmpl w:val="B65442BC"/>
    <w:lvl w:ilvl="0" w:tplc="5DAADFB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17EA5"/>
    <w:multiLevelType w:val="hybridMultilevel"/>
    <w:tmpl w:val="8E96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F4487"/>
    <w:multiLevelType w:val="hybridMultilevel"/>
    <w:tmpl w:val="7A9E9DF4"/>
    <w:lvl w:ilvl="0" w:tplc="2756505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5"/>
  </w:num>
  <w:num w:numId="5">
    <w:abstractNumId w:val="20"/>
  </w:num>
  <w:num w:numId="6">
    <w:abstractNumId w:val="23"/>
  </w:num>
  <w:num w:numId="7">
    <w:abstractNumId w:val="18"/>
  </w:num>
  <w:num w:numId="8">
    <w:abstractNumId w:val="11"/>
  </w:num>
  <w:num w:numId="9">
    <w:abstractNumId w:val="13"/>
  </w:num>
  <w:num w:numId="10">
    <w:abstractNumId w:val="10"/>
  </w:num>
  <w:num w:numId="11">
    <w:abstractNumId w:val="4"/>
  </w:num>
  <w:num w:numId="12">
    <w:abstractNumId w:val="15"/>
  </w:num>
  <w:num w:numId="13">
    <w:abstractNumId w:val="9"/>
  </w:num>
  <w:num w:numId="14">
    <w:abstractNumId w:val="3"/>
  </w:num>
  <w:num w:numId="15">
    <w:abstractNumId w:val="19"/>
  </w:num>
  <w:num w:numId="16">
    <w:abstractNumId w:val="21"/>
  </w:num>
  <w:num w:numId="17">
    <w:abstractNumId w:val="12"/>
  </w:num>
  <w:num w:numId="18">
    <w:abstractNumId w:val="6"/>
  </w:num>
  <w:num w:numId="19">
    <w:abstractNumId w:val="7"/>
  </w:num>
  <w:num w:numId="20">
    <w:abstractNumId w:val="16"/>
  </w:num>
  <w:num w:numId="21">
    <w:abstractNumId w:val="17"/>
  </w:num>
  <w:num w:numId="22">
    <w:abstractNumId w:val="24"/>
  </w:num>
  <w:num w:numId="23">
    <w:abstractNumId w:val="0"/>
  </w:num>
  <w:num w:numId="24">
    <w:abstractNumId w:val="14"/>
  </w:num>
  <w:num w:numId="25">
    <w:abstractNumId w:val="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42"/>
    <w:rsid w:val="00001A5C"/>
    <w:rsid w:val="000247A2"/>
    <w:rsid w:val="00046E10"/>
    <w:rsid w:val="00066ECA"/>
    <w:rsid w:val="00067517"/>
    <w:rsid w:val="000866D8"/>
    <w:rsid w:val="00091CDA"/>
    <w:rsid w:val="000B1475"/>
    <w:rsid w:val="000B5013"/>
    <w:rsid w:val="000B5AC1"/>
    <w:rsid w:val="000B630E"/>
    <w:rsid w:val="000B6401"/>
    <w:rsid w:val="000D7C94"/>
    <w:rsid w:val="000E1969"/>
    <w:rsid w:val="00104BA0"/>
    <w:rsid w:val="00110619"/>
    <w:rsid w:val="001130E2"/>
    <w:rsid w:val="00113C58"/>
    <w:rsid w:val="001314DE"/>
    <w:rsid w:val="00151054"/>
    <w:rsid w:val="0015277F"/>
    <w:rsid w:val="00162D18"/>
    <w:rsid w:val="0016396E"/>
    <w:rsid w:val="001807CD"/>
    <w:rsid w:val="00180BE3"/>
    <w:rsid w:val="00184044"/>
    <w:rsid w:val="00185923"/>
    <w:rsid w:val="001926BC"/>
    <w:rsid w:val="00195278"/>
    <w:rsid w:val="001A2E52"/>
    <w:rsid w:val="001F7F1E"/>
    <w:rsid w:val="0022662C"/>
    <w:rsid w:val="00227D8C"/>
    <w:rsid w:val="00231372"/>
    <w:rsid w:val="00234134"/>
    <w:rsid w:val="00240C2B"/>
    <w:rsid w:val="00263EC4"/>
    <w:rsid w:val="002642B1"/>
    <w:rsid w:val="0028334B"/>
    <w:rsid w:val="00290E50"/>
    <w:rsid w:val="002A1DB3"/>
    <w:rsid w:val="002B15B2"/>
    <w:rsid w:val="002D06EF"/>
    <w:rsid w:val="002E0C8A"/>
    <w:rsid w:val="002F2728"/>
    <w:rsid w:val="00303DBB"/>
    <w:rsid w:val="003309F4"/>
    <w:rsid w:val="00334452"/>
    <w:rsid w:val="0034016D"/>
    <w:rsid w:val="003576FF"/>
    <w:rsid w:val="00365B9E"/>
    <w:rsid w:val="00377F7A"/>
    <w:rsid w:val="00386841"/>
    <w:rsid w:val="00390F6A"/>
    <w:rsid w:val="003D6261"/>
    <w:rsid w:val="003E04AA"/>
    <w:rsid w:val="003E7850"/>
    <w:rsid w:val="003F31AE"/>
    <w:rsid w:val="003F4B68"/>
    <w:rsid w:val="00425504"/>
    <w:rsid w:val="00425FF1"/>
    <w:rsid w:val="004401DE"/>
    <w:rsid w:val="004452A1"/>
    <w:rsid w:val="004457BF"/>
    <w:rsid w:val="0047236C"/>
    <w:rsid w:val="00482559"/>
    <w:rsid w:val="00493568"/>
    <w:rsid w:val="004937EF"/>
    <w:rsid w:val="004A0818"/>
    <w:rsid w:val="004A42BB"/>
    <w:rsid w:val="004C3C96"/>
    <w:rsid w:val="004D7D31"/>
    <w:rsid w:val="004E1D17"/>
    <w:rsid w:val="004E7048"/>
    <w:rsid w:val="00515489"/>
    <w:rsid w:val="00530F2C"/>
    <w:rsid w:val="00547190"/>
    <w:rsid w:val="00557246"/>
    <w:rsid w:val="00575240"/>
    <w:rsid w:val="005756B7"/>
    <w:rsid w:val="00575F83"/>
    <w:rsid w:val="00577AC2"/>
    <w:rsid w:val="00584283"/>
    <w:rsid w:val="00585141"/>
    <w:rsid w:val="005857D8"/>
    <w:rsid w:val="00591AE9"/>
    <w:rsid w:val="005A1101"/>
    <w:rsid w:val="005A2355"/>
    <w:rsid w:val="005A4DEF"/>
    <w:rsid w:val="005B0200"/>
    <w:rsid w:val="005B11BA"/>
    <w:rsid w:val="005B6A9B"/>
    <w:rsid w:val="005C6336"/>
    <w:rsid w:val="005E49DB"/>
    <w:rsid w:val="00602CF8"/>
    <w:rsid w:val="00605A06"/>
    <w:rsid w:val="0063577C"/>
    <w:rsid w:val="00641630"/>
    <w:rsid w:val="006454BE"/>
    <w:rsid w:val="00656A77"/>
    <w:rsid w:val="00663321"/>
    <w:rsid w:val="00667D2E"/>
    <w:rsid w:val="00670173"/>
    <w:rsid w:val="006922DD"/>
    <w:rsid w:val="006C678C"/>
    <w:rsid w:val="006C77D4"/>
    <w:rsid w:val="006D6F69"/>
    <w:rsid w:val="006E2E26"/>
    <w:rsid w:val="006F6B23"/>
    <w:rsid w:val="007010DA"/>
    <w:rsid w:val="00702EAE"/>
    <w:rsid w:val="00717F76"/>
    <w:rsid w:val="007323DD"/>
    <w:rsid w:val="007364FC"/>
    <w:rsid w:val="0074645B"/>
    <w:rsid w:val="00754BAE"/>
    <w:rsid w:val="007676A8"/>
    <w:rsid w:val="00787215"/>
    <w:rsid w:val="007C72A2"/>
    <w:rsid w:val="00807DEA"/>
    <w:rsid w:val="00820D09"/>
    <w:rsid w:val="0082250D"/>
    <w:rsid w:val="00841561"/>
    <w:rsid w:val="00844C2D"/>
    <w:rsid w:val="008638E1"/>
    <w:rsid w:val="00870DC0"/>
    <w:rsid w:val="00887942"/>
    <w:rsid w:val="008A10CA"/>
    <w:rsid w:val="008B42A6"/>
    <w:rsid w:val="008C6D5A"/>
    <w:rsid w:val="008D40C5"/>
    <w:rsid w:val="008D7C1B"/>
    <w:rsid w:val="008E307D"/>
    <w:rsid w:val="008E7F4B"/>
    <w:rsid w:val="008F33C8"/>
    <w:rsid w:val="0090520B"/>
    <w:rsid w:val="00935B01"/>
    <w:rsid w:val="009422BB"/>
    <w:rsid w:val="0094455A"/>
    <w:rsid w:val="009562CB"/>
    <w:rsid w:val="00956D38"/>
    <w:rsid w:val="0096388E"/>
    <w:rsid w:val="009676AC"/>
    <w:rsid w:val="0098241B"/>
    <w:rsid w:val="00997813"/>
    <w:rsid w:val="009A30ED"/>
    <w:rsid w:val="009A31A6"/>
    <w:rsid w:val="009C341D"/>
    <w:rsid w:val="009D6C5D"/>
    <w:rsid w:val="009E0D17"/>
    <w:rsid w:val="009E3389"/>
    <w:rsid w:val="009F14D8"/>
    <w:rsid w:val="00A229D0"/>
    <w:rsid w:val="00A4794F"/>
    <w:rsid w:val="00A56289"/>
    <w:rsid w:val="00A6394B"/>
    <w:rsid w:val="00A63B62"/>
    <w:rsid w:val="00A65B33"/>
    <w:rsid w:val="00A73809"/>
    <w:rsid w:val="00A95D30"/>
    <w:rsid w:val="00AD0F45"/>
    <w:rsid w:val="00AD3CE4"/>
    <w:rsid w:val="00AF2DFB"/>
    <w:rsid w:val="00B00D19"/>
    <w:rsid w:val="00B10E51"/>
    <w:rsid w:val="00B11743"/>
    <w:rsid w:val="00B12DE1"/>
    <w:rsid w:val="00B26458"/>
    <w:rsid w:val="00B35A68"/>
    <w:rsid w:val="00B37B40"/>
    <w:rsid w:val="00B55861"/>
    <w:rsid w:val="00B7343E"/>
    <w:rsid w:val="00B73BD6"/>
    <w:rsid w:val="00B81AA7"/>
    <w:rsid w:val="00B937C4"/>
    <w:rsid w:val="00B942F2"/>
    <w:rsid w:val="00BA0A44"/>
    <w:rsid w:val="00BA165A"/>
    <w:rsid w:val="00BB566C"/>
    <w:rsid w:val="00BC6857"/>
    <w:rsid w:val="00BE2420"/>
    <w:rsid w:val="00BF22DB"/>
    <w:rsid w:val="00C02A71"/>
    <w:rsid w:val="00C06896"/>
    <w:rsid w:val="00C07413"/>
    <w:rsid w:val="00C42B5F"/>
    <w:rsid w:val="00C4349E"/>
    <w:rsid w:val="00C71845"/>
    <w:rsid w:val="00C93CEA"/>
    <w:rsid w:val="00CA0B5C"/>
    <w:rsid w:val="00CA3B03"/>
    <w:rsid w:val="00CB07E9"/>
    <w:rsid w:val="00CC1C5B"/>
    <w:rsid w:val="00CC3D36"/>
    <w:rsid w:val="00CC4642"/>
    <w:rsid w:val="00CC5D67"/>
    <w:rsid w:val="00CD1C66"/>
    <w:rsid w:val="00CD5915"/>
    <w:rsid w:val="00CE5484"/>
    <w:rsid w:val="00D104AA"/>
    <w:rsid w:val="00D300F1"/>
    <w:rsid w:val="00D301DD"/>
    <w:rsid w:val="00D418A0"/>
    <w:rsid w:val="00D4264D"/>
    <w:rsid w:val="00D75598"/>
    <w:rsid w:val="00D7561B"/>
    <w:rsid w:val="00DB12DD"/>
    <w:rsid w:val="00DB3226"/>
    <w:rsid w:val="00DB5EE5"/>
    <w:rsid w:val="00DC2B97"/>
    <w:rsid w:val="00DD764B"/>
    <w:rsid w:val="00E011BD"/>
    <w:rsid w:val="00E21D1D"/>
    <w:rsid w:val="00E33B4B"/>
    <w:rsid w:val="00E4055D"/>
    <w:rsid w:val="00E4200C"/>
    <w:rsid w:val="00E63053"/>
    <w:rsid w:val="00E670CC"/>
    <w:rsid w:val="00E7340A"/>
    <w:rsid w:val="00E82BE7"/>
    <w:rsid w:val="00E91153"/>
    <w:rsid w:val="00E94609"/>
    <w:rsid w:val="00E9621A"/>
    <w:rsid w:val="00EB4D73"/>
    <w:rsid w:val="00EB5FE7"/>
    <w:rsid w:val="00EB6F64"/>
    <w:rsid w:val="00EC0809"/>
    <w:rsid w:val="00EC1119"/>
    <w:rsid w:val="00ED49E8"/>
    <w:rsid w:val="00EF1008"/>
    <w:rsid w:val="00EF4AC8"/>
    <w:rsid w:val="00F01765"/>
    <w:rsid w:val="00F104D4"/>
    <w:rsid w:val="00F11F5C"/>
    <w:rsid w:val="00F2040E"/>
    <w:rsid w:val="00F50D4E"/>
    <w:rsid w:val="00F51900"/>
    <w:rsid w:val="00F52C49"/>
    <w:rsid w:val="00F55D9B"/>
    <w:rsid w:val="00F67D25"/>
    <w:rsid w:val="00F80AB9"/>
    <w:rsid w:val="00FC02BD"/>
    <w:rsid w:val="00FD49A3"/>
    <w:rsid w:val="00F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A8958E"/>
  <w15:docId w15:val="{4097CC77-1CEA-4554-8151-9783D6B4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4642"/>
    <w:pPr>
      <w:spacing w:after="0" w:line="240" w:lineRule="auto"/>
    </w:pPr>
    <w:rPr>
      <w:rFonts w:ascii="Calibri" w:eastAsiaTheme="minorEastAsia" w:hAnsi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7E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7E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7E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7E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7E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7EF"/>
    <w:pPr>
      <w:spacing w:before="240" w:after="60"/>
      <w:outlineLvl w:val="5"/>
    </w:pPr>
    <w:rPr>
      <w:rFonts w:cstheme="maj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7E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7E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7EF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7E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7E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7E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7E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7E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7E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7E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7E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7EF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93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937E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7E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937E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937EF"/>
    <w:rPr>
      <w:b/>
      <w:bCs/>
    </w:rPr>
  </w:style>
  <w:style w:type="character" w:styleId="Emphasis">
    <w:name w:val="Emphasis"/>
    <w:basedOn w:val="DefaultParagraphFont"/>
    <w:uiPriority w:val="20"/>
    <w:qFormat/>
    <w:rsid w:val="004937E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937EF"/>
    <w:rPr>
      <w:szCs w:val="32"/>
    </w:rPr>
  </w:style>
  <w:style w:type="paragraph" w:styleId="ListParagraph">
    <w:name w:val="List Paragraph"/>
    <w:basedOn w:val="Normal"/>
    <w:uiPriority w:val="34"/>
    <w:qFormat/>
    <w:rsid w:val="004937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37E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937E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7EF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7EF"/>
    <w:rPr>
      <w:b/>
      <w:i/>
      <w:sz w:val="24"/>
    </w:rPr>
  </w:style>
  <w:style w:type="character" w:styleId="SubtleEmphasis">
    <w:name w:val="Subtle Emphasis"/>
    <w:uiPriority w:val="19"/>
    <w:qFormat/>
    <w:rsid w:val="004937E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937E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937E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937E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937E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7EF"/>
    <w:pPr>
      <w:outlineLvl w:val="9"/>
    </w:pPr>
  </w:style>
  <w:style w:type="table" w:styleId="TableGrid">
    <w:name w:val="Table Grid"/>
    <w:basedOn w:val="TableNormal"/>
    <w:uiPriority w:val="39"/>
    <w:rsid w:val="00CC4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6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642"/>
    <w:rPr>
      <w:rFonts w:ascii="Tahoma" w:eastAsiaTheme="minorEastAsia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unhideWhenUsed/>
    <w:rsid w:val="009D6C5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18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18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1845"/>
    <w:rPr>
      <w:rFonts w:ascii="Calibri" w:eastAsiaTheme="minorEastAsia" w:hAnsi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845"/>
    <w:rPr>
      <w:rFonts w:ascii="Calibri" w:eastAsiaTheme="minorEastAsia" w:hAnsi="Calibri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C71845"/>
    <w:pPr>
      <w:spacing w:after="0" w:line="240" w:lineRule="auto"/>
    </w:pPr>
    <w:rPr>
      <w:rFonts w:ascii="Calibri" w:eastAsiaTheme="minorEastAsia" w:hAnsi="Calibri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266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62C"/>
    <w:rPr>
      <w:rFonts w:ascii="Calibri" w:eastAsiaTheme="minorEastAsia" w:hAnsi="Calibr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266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62C"/>
    <w:rPr>
      <w:rFonts w:ascii="Calibri" w:eastAsiaTheme="minorEastAsia" w:hAnsi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E84CC7-D85F-47B6-A55A-12CBDEB80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State Department of Transportation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Zitowsky</dc:creator>
  <cp:lastModifiedBy>Weiskopf, Lynn (DOT)</cp:lastModifiedBy>
  <cp:revision>3</cp:revision>
  <cp:lastPrinted>2018-05-11T13:02:00Z</cp:lastPrinted>
  <dcterms:created xsi:type="dcterms:W3CDTF">2018-05-17T15:25:00Z</dcterms:created>
  <dcterms:modified xsi:type="dcterms:W3CDTF">2018-05-17T15:49:00Z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