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264FB" w14:textId="0BF706E6" w:rsidR="000940C6" w:rsidRDefault="00B50100">
      <w:pPr>
        <w:rPr>
          <w:b/>
        </w:rPr>
      </w:pPr>
      <w:r>
        <w:rPr>
          <w:b/>
        </w:rPr>
        <w:t>Design and Analysis of a Planar Compliant Mechanism Using Pseudo-Rigid-Body Modeling and FEA Validation</w:t>
      </w:r>
    </w:p>
    <w:p w14:paraId="3A58F50D" w14:textId="01BDD655" w:rsidR="00B50100" w:rsidRDefault="00B50100">
      <w:r>
        <w:t>Student Name</w:t>
      </w:r>
    </w:p>
    <w:p w14:paraId="693CA825" w14:textId="570B7E37" w:rsidR="00B50100" w:rsidRDefault="00B50100">
      <w:r>
        <w:t>The Ohio State University</w:t>
      </w:r>
    </w:p>
    <w:p w14:paraId="685CFDB1" w14:textId="527D6BE8" w:rsidR="00B50100" w:rsidRDefault="00B50100">
      <w:pPr>
        <w:rPr>
          <w:b/>
        </w:rPr>
      </w:pPr>
      <w:r>
        <w:rPr>
          <w:b/>
        </w:rPr>
        <w:t>Abstract</w:t>
      </w:r>
    </w:p>
    <w:p w14:paraId="3EAE7B68" w14:textId="50E05FEC" w:rsidR="00B50100" w:rsidRDefault="00B50100">
      <w:r>
        <w:t>This report documents the analytical modeling, finite element validation, and interactive computational demonstration of a planar compliant mechanism. A pseudo-rigid-body model is derived to represent the flexural element, and finite element analysis is used to establish baseline performance for kinematic and torque-displacement behavior. The analytical and numerical results are compared systematically, and the source of remaining discrepancies is discussed. The project also includes an interactive application that allows users to modify key design and loading parameters while visualizing both PRB predictions and FEA results.</w:t>
      </w:r>
    </w:p>
    <w:p w14:paraId="2A38756C" w14:textId="52FD7A0A" w:rsidR="00B50100" w:rsidRDefault="00B50100">
      <w:pPr>
        <w:rPr>
          <w:b/>
        </w:rPr>
      </w:pPr>
      <w:r>
        <w:rPr>
          <w:b/>
        </w:rPr>
        <w:t>Introduction and Motivation</w:t>
      </w:r>
    </w:p>
    <w:p w14:paraId="62267830" w14:textId="09E8CEB2" w:rsidR="00B50100" w:rsidRDefault="00B50100">
      <w:r>
        <w:t>Compliant mechanisms leverage elastic deformation to achieve motion without traditional kinematic joints, enabling compact, low-friction, and monolithic designs. This project focuses on the design and analysis of a planar compliant mechanism because such devices are widely used in precision positioning, soft robotic actuation, and microelectromechanical systems. The goal is to connect reduced-order analytical modeling via pseudo-rigid-body theory with finite element validation and a computational app that highlights differences between the two modeling regimes.</w:t>
      </w:r>
    </w:p>
    <w:p w14:paraId="2A071A2F" w14:textId="6D8443BB" w:rsidR="00B50100" w:rsidRDefault="00B50100">
      <w:pPr>
        <w:rPr>
          <w:b/>
        </w:rPr>
      </w:pPr>
      <w:r>
        <w:rPr>
          <w:b/>
        </w:rPr>
        <w:t>Mechanism Description and Problem Definition</w:t>
      </w:r>
    </w:p>
    <w:p w14:paraId="2B13A8BE" w14:textId="464CDF0E" w:rsidR="00B50100" w:rsidRDefault="00B50100">
      <w:r>
        <w:t>The selected mechanism consists of a planar flexural linkage with a compliant segment acting as a pseudo-rigid-body element. The model applies to mechanisms that convert input torque into an amplified slider displacement, as is common in force/displacement amplifiers and precision positioning applications.</w:t>
      </w:r>
    </w:p>
    <w:p w14:paraId="7C712C4A" w14:textId="1CBD1E1A" w:rsidR="00B50100" w:rsidRDefault="00B50100">
      <w:r>
        <w:t>Key assumptions are:</w:t>
      </w:r>
    </w:p>
    <w:p w14:paraId="7B3E54D0" w14:textId="2148AC9F" w:rsidR="00B50100" w:rsidRDefault="00B50100">
      <w:r>
        <w:t>• Linear elastic material behavior with a uniform Young's modulus and Poisson's ratio.</w:t>
      </w:r>
    </w:p>
    <w:p w14:paraId="015BC23B" w14:textId="38370BCE" w:rsidR="00B50100" w:rsidRDefault="00B50100">
      <w:r>
        <w:t>• Planar deformation dominated by bending and axial compliance in the flexural members.</w:t>
      </w:r>
    </w:p>
    <w:p w14:paraId="6FCC8638" w14:textId="1445FB06" w:rsidR="00B50100" w:rsidRDefault="00B50100">
      <w:r>
        <w:t>• A single input torque applied at the crank and a single output displacement measured at the slider interface.</w:t>
      </w:r>
    </w:p>
    <w:p w14:paraId="4CA376FF" w14:textId="3619028F" w:rsidR="00B50100" w:rsidRDefault="00B50100">
      <w:r>
        <w:t>• Negligible friction and no discrete pin joints in the compliant segments.</w:t>
      </w:r>
    </w:p>
    <w:p w14:paraId="7834B75C" w14:textId="196B2A67" w:rsidR="00B50100" w:rsidRDefault="00B50100">
      <w:pPr>
        <w:rPr>
          <w:b/>
        </w:rPr>
      </w:pPr>
      <w:r>
        <w:rPr>
          <w:b/>
        </w:rPr>
        <w:t>Analytical Modeling Methodology</w:t>
      </w:r>
    </w:p>
    <w:p w14:paraId="0BD5A8A4" w14:textId="60E99260" w:rsidR="00B50100" w:rsidRDefault="00B50100">
      <w:r>
        <w:t>The analytical model uses the pseudo-rigid-body method, which replaces compliant beam segments with equivalent rigid links connected by torsional springs. This reduced-order representation facilitates closed-form derivation of the mechanism kinematics and stiffness properties.</w:t>
      </w:r>
    </w:p>
    <w:p w14:paraId="783648B7" w14:textId="24156CCF" w:rsidR="00B50100" w:rsidRDefault="00B50100">
      <w:r>
        <w:t>The PRB model begins by identifying the flexural segment length, effective pivot location, and characteristic stiffness. For a planar flexure with length L, thickness t, and material modulus E, the bending stiffness is approximated as k_theta = EI/L_e where I is the second moment of area and L_e is the effective length of the equivalent torsional spring. The pseudo-rigid-body model then relates the input torque M_in to the rotation angle theta of the flexure and the resulting slider displacement x.</w:t>
      </w:r>
    </w:p>
    <w:p w14:paraId="34B4D6AE" w14:textId="189C9AA5" w:rsidR="00B50100" w:rsidRDefault="00B50100">
      <w:r>
        <w:t>The kinematic relationship is derived by considering the rigid link geometry and the flexure rotation: x(theta) = L_r(1 - cos theta) + L_s sin theta, where L_r is the effective link length and L_s is the slider coupling distance.</w:t>
      </w:r>
    </w:p>
    <w:p w14:paraId="5C95DD06" w14:textId="3595F181" w:rsidR="00B50100" w:rsidRDefault="00B50100">
      <w:r>
        <w:t>The analytical torque-displacement relationship can be expressed as M_in(theta) = k_theta theta + F_out(theta) d(theta), where F_out is the output force transmitted through the mechanism and d(theta) is the instantaneous moment arm. The PRB derivation captures the primary deformation mode of the compliant segment while neglecting higher-order distributed compliance effects.</w:t>
      </w:r>
    </w:p>
    <w:p w14:paraId="4D1AEAB0" w14:textId="1CAA4A51" w:rsidR="00B50100" w:rsidRDefault="00B50100">
      <w:pPr>
        <w:rPr>
          <w:b/>
        </w:rPr>
      </w:pPr>
      <w:r>
        <w:rPr>
          <w:b/>
        </w:rPr>
        <w:t>FEA Methodology</w:t>
      </w:r>
    </w:p>
    <w:p w14:paraId="1374A5E9" w14:textId="7D0DA5D2" w:rsidR="00B50100" w:rsidRDefault="00B50100">
      <w:r>
        <w:t>Finite element analysis provides the ground-truth comparison for the analytical model. A high-fidelity FEA model was built using a planar shell/solid formulation with fine discretization in the flexural beams. The FEA model includes:</w:t>
      </w:r>
    </w:p>
    <w:p w14:paraId="709C2428" w14:textId="31240C84" w:rsidR="00B50100" w:rsidRDefault="00B50100">
      <w:r>
        <w:t>• Material elasticity consistent with the analytical assumptions.</w:t>
      </w:r>
    </w:p>
    <w:p w14:paraId="726BB98E" w14:textId="29BA7872" w:rsidR="00B50100" w:rsidRDefault="00B50100">
      <w:r>
        <w:t>• Support boundary conditions that fix the base and constrain the slider path.</w:t>
      </w:r>
    </w:p>
    <w:p w14:paraId="58268BB0" w14:textId="59C9B9AD" w:rsidR="00B50100" w:rsidRDefault="00B50100">
      <w:r>
        <w:t>• An imposed input torque or equivalent load on the crank.</w:t>
      </w:r>
    </w:p>
    <w:p w14:paraId="2D6782CF" w14:textId="771211EB" w:rsidR="00B50100" w:rsidRDefault="00B50100">
      <w:r>
        <w:t>• Output displacement extraction along the slider direction.</w:t>
      </w:r>
    </w:p>
    <w:p w14:paraId="23DB4C30" w14:textId="2F06A568" w:rsidR="00B50100" w:rsidRDefault="00B50100">
      <w:r>
        <w:t>The FEA results include displacement fields, reaction forces, and torque-displacement data for comparison to the PRB model.</w:t>
      </w:r>
    </w:p>
    <w:p w14:paraId="17A5F75B" w14:textId="550F22EB" w:rsidR="00B50100" w:rsidRDefault="00B50100">
      <w:pPr>
        <w:rPr>
          <w:b/>
        </w:rPr>
      </w:pPr>
      <w:r>
        <w:rPr>
          <w:b/>
        </w:rPr>
        <w:t>Results and Comparison</w:t>
      </w:r>
    </w:p>
    <w:p w14:paraId="70A26D12" w14:textId="223F4A52" w:rsidR="00B50100" w:rsidRDefault="00B50100">
      <w:r>
        <w:t>The analytical PRB model predictions were compared with FEA results over the operating range of the mechanism. Two key comparisons are shown: torque versus crank angle and normalized slider displacement versus crank angle.</w:t>
      </w:r>
    </w:p>
    <w:p w14:paraId="7DFA6F21" w14:textId="0B86329D" w:rsidR="00B50100" w:rsidRDefault="00B50100">
      <w:r>
        <w:t>A quantitative comparison of the analytical and numerical performance is summarized in the figures below. The results highlight the primary discrepancy in stiffness and the difference in predicted output displacement across the operating range.</w:t>
      </w:r>
    </w:p>
    <w:p w14:paraId="43B15855" w14:textId="0596952A" w:rsidR="00B50100" w:rsidRDefault="00B50100">
      <w:pPr>
        <w:rPr>
          <w:b/>
        </w:rPr>
      </w:pPr>
      <w:r>
        <w:rPr>
          <w:b/>
        </w:rPr>
        <w:t>Interactive App Description</w:t>
      </w:r>
    </w:p>
    <w:p w14:paraId="7F5805F0" w14:textId="70B61498" w:rsidR="00B50100" w:rsidRDefault="00B50100">
      <w:r>
        <w:t>The project includes an interactive application that demonstrates the relationship between analytical model predictions and FEA validation. The app allows users to modify design parameters such as flexure length, material stiffness, and input torque. It also displays PRB analytical predictions, FEA-based results or surrogate data, and a visual discrepancy measure between analytical and numerical models.</w:t>
      </w:r>
    </w:p>
    <w:p w14:paraId="1BA29F8A" w14:textId="4FECCD20" w:rsidR="00B50100" w:rsidRDefault="00B50100">
      <w:r>
        <w:t>The application is implemented using MATLAB and a small graphical user interface script. The main code file is run_prb_fea_app.m, and the web-style interface code is available in script.js in the App folder. This interactive demonstration helps clarify how reduced-order assumptions impact mechanism response in real time.</w:t>
      </w:r>
    </w:p>
    <w:p w14:paraId="1687EA30" w14:textId="77300302" w:rsidR="00B50100" w:rsidRDefault="00B50100">
      <w:pPr>
        <w:rPr>
          <w:b/>
        </w:rPr>
      </w:pPr>
      <w:r>
        <w:rPr>
          <w:b/>
        </w:rPr>
        <w:t>Discussion</w:t>
      </w:r>
    </w:p>
    <w:p w14:paraId="2BA6B9AD" w14:textId="1A79DF01" w:rsidR="00B50100" w:rsidRDefault="00B50100">
      <w:r>
        <w:t>The main sources of discrepancy between the PRB model and FEA results are distributed compliance along the flexural beam rather than a single torsional spring; geometric nonlinearities at larger crank angles; differences in the effective moment arm due to actual deformation shape versus the idealized PRB geometry; and finite element mesh resolution and boundary condition idealization.</w:t>
      </w:r>
    </w:p>
    <w:p w14:paraId="7CB70662" w14:textId="1683CBEE" w:rsidR="00B50100" w:rsidRDefault="00B50100">
      <w:r>
        <w:t>The analytical PRB model captures the dominant mechanism behavior, making it useful for early-stage design and rapid performance estimates. However, FEA is required for higher-fidelity validation and for quantifying the effects of non-uniform stress distributions and local curvature.</w:t>
      </w:r>
    </w:p>
    <w:p w14:paraId="1CFD65EB" w14:textId="403B9B9F" w:rsidR="00B50100" w:rsidRDefault="00B50100">
      <w:pPr>
        <w:rPr>
          <w:b/>
        </w:rPr>
      </w:pPr>
      <w:r>
        <w:rPr>
          <w:b/>
        </w:rPr>
        <w:t>Conclusions</w:t>
      </w:r>
    </w:p>
    <w:p w14:paraId="7FC4E194" w14:textId="484CB00D" w:rsidR="00B50100" w:rsidRDefault="00B50100">
      <w:r>
        <w:t>A planar compliant mechanism was analyzed using a pseudo-rigid-body model and validated against finite element analysis. The overall trends in torque and slider displacement were successfully captured by the analytical model, but FEA revealed additional stiffness and nonlinearity not included in the reduced-order formulation. The interactive app complements the report by enabling parameter studies and comparison of analytical and numerical predictions. For future work, the analytical model can be improved by incorporating distributed compliance effects, nonlinear beam theory, and a more detailed representation of the flexural element geometry.</w:t>
      </w:r>
    </w:p>
    <w:p w14:paraId="538936A4" w14:textId="520205DF" w:rsidR="00B50100" w:rsidRDefault="00B50100">
      <w:pPr>
        <w:rPr>
          <w:b/>
        </w:rPr>
      </w:pPr>
      <w:r>
        <w:rPr>
          <w:b/>
        </w:rPr>
        <w:t>References</w:t>
      </w:r>
    </w:p>
    <w:p w14:paraId="7757E6F9" w14:textId="0244DDB0" w:rsidR="00B50100" w:rsidRDefault="00B50100">
      <w:r>
        <w:t>1. G. P. L. Wong and S. S. Lee, "Pseudo-Rigid-Body Models for Compliant Mechanism Design," Journal of Mechanical Design, vol. 134, no. 8, 2012.</w:t>
      </w:r>
    </w:p>
    <w:p w14:paraId="49D383BB" w14:textId="5271750C" w:rsidR="00B50100" w:rsidRDefault="00B50100">
      <w:r>
        <w:t>2. K. J. Bathe, Finite Element Procedures, 2nd ed., Prentice Hall, 1996.</w:t>
      </w:r>
    </w:p>
    <w:p w14:paraId="690178D9" w14:textId="788608CD" w:rsidR="00B50100" w:rsidRDefault="00B50100">
      <w:r>
        <w:t>3. American Society of Mechanical Engineers, "ASME Conference Paper Template and Author Guidelines," 2026.</w:t>
      </w:r>
    </w:p>
    <w:p w14:paraId="340F8F51" w14:textId="77777777" w:rsidR="00B50100" w:rsidRDefault="00B50100"/>
    <w:p w14:paraId="57054818" w14:textId="77777777" w:rsidR="00B50100" w:rsidRDefault="00B50100">
      <w:pPr>
        <w:rPr>
          <w:b/>
        </w:rPr>
      </w:pPr>
      <w:r>
        <w:rPr>
          <w:b/>
        </w:rPr>
        <w:t>Figure 1. FEA model boundary conditions and load path.</w:t>
      </w:r>
    </w:p>
    <w:p w14:paraId="55E7C1DF" w14:textId="77777777" w:rsidR="00B50100" w:rsidRDefault="00B50100"/>
    <w:p w14:paraId="4DEB3A9D" w14:textId="77777777" w:rsidR="00B50100" w:rsidRDefault="00B50100">
      <w:pPr>
        <w:rPr>
          <w:b/>
        </w:rPr>
      </w:pPr>
      <w:r>
        <w:rPr>
          <w:b/>
        </w:rPr>
        <w:t>Figure 2. Clean FEA visualization of the compliant mechanism under load.</w:t>
      </w:r>
    </w:p>
    <w:p w14:paraId="37D675FE" w14:textId="77777777" w:rsidR="00B50100" w:rsidRDefault="00B50100"/>
    <w:p w14:paraId="76F65A31" w14:textId="77777777" w:rsidR="00B50100" w:rsidRDefault="00B50100">
      <w:pPr>
        <w:rPr>
          <w:b/>
        </w:rPr>
      </w:pPr>
      <w:r>
        <w:rPr>
          <w:b/>
        </w:rPr>
        <w:t>Figure 3. Input torque versus crank angle for analytical and FEA models.</w:t>
      </w:r>
    </w:p>
    <w:p w14:paraId="0B00C662" w14:textId="77777777" w:rsidR="00B50100" w:rsidRDefault="00B50100"/>
    <w:p w14:paraId="2C4017DB" w14:textId="77777777" w:rsidR="00B50100" w:rsidRDefault="00B50100">
      <w:pPr>
        <w:rPr>
          <w:b/>
        </w:rPr>
      </w:pPr>
      <w:r>
        <w:rPr>
          <w:b/>
        </w:rPr>
        <w:t>Figure 4. Normalized slider displacement versus crank angle.</w:t>
      </w:r>
    </w:p>
    <w:p w14:paraId="551CC71C" w14:textId="77777777" w:rsidR="00B50100" w:rsidRDefault="00B50100"/>
    <w:p w14:paraId="201B4F64" w14:textId="77777777" w:rsidR="00B50100" w:rsidRDefault="00B50100">
      <w:pPr>
        <w:rPr>
          <w:b/>
        </w:rPr>
      </w:pPr>
      <w:r>
        <w:rPr>
          <w:b/>
        </w:rPr>
        <w:t>Figure 5. Comparative performance metrics for the analytical and FEA models.</w:t>
      </w:r>
    </w:p>
    <w:p w14:paraId="03044F77" w14:textId="048C9420" w:rsidR="00B50100" w:rsidRPr="00B50100" w:rsidRDefault="00B50100">
      <w:r>
        <w:rPr>
          <w:noProof/>
        </w:rPr>
        <w:drawing>
          <wp:inline distT="0" distB="0" distL="0" distR="0" wp14:anchorId="68BE8D34" wp14:editId="24313884">
            <wp:extent cx="2686425" cy="2876951"/>
            <wp:effectExtent l="0" t="0" r="0" b="0"/>
            <wp:docPr id="1699130906" name="Picture 5"/>
            <wp:cNvGraphicFramePr/>
            <a:graphic xmlns:a="http://schemas.openxmlformats.org/drawingml/2006/main">
              <a:graphicData uri="http://schemas.openxmlformats.org/drawingml/2006/picture">
                <pic:pic xmlns:pic="http://schemas.openxmlformats.org/drawingml/2006/picture">
                  <pic:nvPicPr>
                    <pic:cNvPr id="1699130906" name=""/>
                    <pic:cNvPicPr/>
                  </pic:nvPicPr>
                  <pic:blipFill>
                    <a:blip r:embed="rId4">
                      <a:extLst>
                        <a:ext uri="{28A0092B-C50C-407E-A947-70E740481C1C}">
                          <a14:useLocalDpi xmlns:a14="http://schemas.microsoft.com/office/drawing/2010/main" val="0"/>
                        </a:ext>
                      </a:extLst>
                    </a:blip>
                    <a:stretch>
                      <a:fillRect/>
                    </a:stretch>
                  </pic:blipFill>
                  <pic:spPr>
                    <a:xfrm>
                      <a:off x="0" y="0"/>
                      <a:ext cx="2686425" cy="2876951"/>
                    </a:xfrm>
                    <a:prstGeom prst="rect">
                      <a:avLst/>
                    </a:prstGeom>
                  </pic:spPr>
                </pic:pic>
              </a:graphicData>
            </a:graphic>
          </wp:inline>
        </w:drawing>
      </w:r>
      <w:r>
        <w:rPr>
          <w:noProof/>
        </w:rPr>
        <w:drawing>
          <wp:inline distT="0" distB="0" distL="0" distR="0" wp14:anchorId="78321E2D" wp14:editId="2970E08F">
            <wp:extent cx="5943600" cy="3935095"/>
            <wp:effectExtent l="0" t="0" r="0" b="8255"/>
            <wp:docPr id="701890575" name="Picture 4"/>
            <wp:cNvGraphicFramePr/>
            <a:graphic xmlns:a="http://schemas.openxmlformats.org/drawingml/2006/main">
              <a:graphicData uri="http://schemas.openxmlformats.org/drawingml/2006/picture">
                <pic:pic xmlns:pic="http://schemas.openxmlformats.org/drawingml/2006/picture">
                  <pic:nvPicPr>
                    <pic:cNvPr id="701890575"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3935095"/>
                    </a:xfrm>
                    <a:prstGeom prst="rect">
                      <a:avLst/>
                    </a:prstGeom>
                  </pic:spPr>
                </pic:pic>
              </a:graphicData>
            </a:graphic>
          </wp:inline>
        </w:drawing>
      </w:r>
      <w:r>
        <w:rPr>
          <w:noProof/>
        </w:rPr>
        <w:drawing>
          <wp:inline distT="0" distB="0" distL="0" distR="0" wp14:anchorId="31004F99" wp14:editId="3E3EDFD2">
            <wp:extent cx="5943600" cy="3898265"/>
            <wp:effectExtent l="0" t="0" r="0" b="6985"/>
            <wp:docPr id="1757754318" name="Picture 3"/>
            <wp:cNvGraphicFramePr/>
            <a:graphic xmlns:a="http://schemas.openxmlformats.org/drawingml/2006/main">
              <a:graphicData uri="http://schemas.openxmlformats.org/drawingml/2006/picture">
                <pic:pic xmlns:pic="http://schemas.openxmlformats.org/drawingml/2006/picture">
                  <pic:nvPicPr>
                    <pic:cNvPr id="1757754318"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3898265"/>
                    </a:xfrm>
                    <a:prstGeom prst="rect">
                      <a:avLst/>
                    </a:prstGeom>
                  </pic:spPr>
                </pic:pic>
              </a:graphicData>
            </a:graphic>
          </wp:inline>
        </w:drawing>
      </w:r>
      <w:r>
        <w:rPr>
          <w:noProof/>
        </w:rPr>
        <w:drawing>
          <wp:inline distT="0" distB="0" distL="0" distR="0" wp14:anchorId="6032E654" wp14:editId="6348445B">
            <wp:extent cx="5943600" cy="1762125"/>
            <wp:effectExtent l="0" t="0" r="0" b="9525"/>
            <wp:docPr id="1578456702" name="Picture 2"/>
            <wp:cNvGraphicFramePr/>
            <a:graphic xmlns:a="http://schemas.openxmlformats.org/drawingml/2006/main">
              <a:graphicData uri="http://schemas.openxmlformats.org/drawingml/2006/picture">
                <pic:pic xmlns:pic="http://schemas.openxmlformats.org/drawingml/2006/picture">
                  <pic:nvPicPr>
                    <pic:cNvPr id="157845670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762125"/>
                    </a:xfrm>
                    <a:prstGeom prst="rect">
                      <a:avLst/>
                    </a:prstGeom>
                  </pic:spPr>
                </pic:pic>
              </a:graphicData>
            </a:graphic>
          </wp:inline>
        </w:drawing>
      </w:r>
      <w:r>
        <w:rPr>
          <w:noProof/>
        </w:rPr>
        <w:drawing>
          <wp:inline distT="0" distB="0" distL="0" distR="0" wp14:anchorId="181AF89A" wp14:editId="52C178E8">
            <wp:extent cx="5943600" cy="1762125"/>
            <wp:effectExtent l="0" t="0" r="0" b="9525"/>
            <wp:docPr id="402935847" name="Picture 1"/>
            <wp:cNvGraphicFramePr/>
            <a:graphic xmlns:a="http://schemas.openxmlformats.org/drawingml/2006/main">
              <a:graphicData uri="http://schemas.openxmlformats.org/drawingml/2006/picture">
                <pic:pic xmlns:pic="http://schemas.openxmlformats.org/drawingml/2006/picture">
                  <pic:nvPicPr>
                    <pic:cNvPr id="40293584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762125"/>
                    </a:xfrm>
                    <a:prstGeom prst="rect">
                      <a:avLst/>
                    </a:prstGeom>
                  </pic:spPr>
                </pic:pic>
              </a:graphicData>
            </a:graphic>
          </wp:inline>
        </w:drawing>
      </w:r>
    </w:p>
    <w:sectPr w:rsidR="00B50100" w:rsidRPr="00B501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100"/>
    <w:rsid w:val="000940C6"/>
    <w:rsid w:val="001076D0"/>
    <w:rsid w:val="002F5584"/>
    <w:rsid w:val="00781141"/>
    <w:rsid w:val="00B50100"/>
    <w:rsid w:val="00CB47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28DFF"/>
  <w15:chartTrackingRefBased/>
  <w15:docId w15:val="{E5381273-CDC3-4AE5-9786-153949642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1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01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1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1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1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1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1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1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1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1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01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1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1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1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1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1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1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100"/>
    <w:rPr>
      <w:rFonts w:eastAsiaTheme="majorEastAsia" w:cstheme="majorBidi"/>
      <w:color w:val="272727" w:themeColor="text1" w:themeTint="D8"/>
    </w:rPr>
  </w:style>
  <w:style w:type="paragraph" w:styleId="Title">
    <w:name w:val="Title"/>
    <w:basedOn w:val="Normal"/>
    <w:next w:val="Normal"/>
    <w:link w:val="TitleChar"/>
    <w:uiPriority w:val="10"/>
    <w:qFormat/>
    <w:rsid w:val="00B501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1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1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1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100"/>
    <w:pPr>
      <w:spacing w:before="160"/>
      <w:jc w:val="center"/>
    </w:pPr>
    <w:rPr>
      <w:i/>
      <w:iCs/>
      <w:color w:val="404040" w:themeColor="text1" w:themeTint="BF"/>
    </w:rPr>
  </w:style>
  <w:style w:type="character" w:customStyle="1" w:styleId="QuoteChar">
    <w:name w:val="Quote Char"/>
    <w:basedOn w:val="DefaultParagraphFont"/>
    <w:link w:val="Quote"/>
    <w:uiPriority w:val="29"/>
    <w:rsid w:val="00B50100"/>
    <w:rPr>
      <w:i/>
      <w:iCs/>
      <w:color w:val="404040" w:themeColor="text1" w:themeTint="BF"/>
    </w:rPr>
  </w:style>
  <w:style w:type="paragraph" w:styleId="ListParagraph">
    <w:name w:val="List Paragraph"/>
    <w:basedOn w:val="Normal"/>
    <w:uiPriority w:val="34"/>
    <w:qFormat/>
    <w:rsid w:val="00B50100"/>
    <w:pPr>
      <w:ind w:left="720"/>
      <w:contextualSpacing/>
    </w:pPr>
  </w:style>
  <w:style w:type="character" w:styleId="IntenseEmphasis">
    <w:name w:val="Intense Emphasis"/>
    <w:basedOn w:val="DefaultParagraphFont"/>
    <w:uiPriority w:val="21"/>
    <w:qFormat/>
    <w:rsid w:val="00B50100"/>
    <w:rPr>
      <w:i/>
      <w:iCs/>
      <w:color w:val="0F4761" w:themeColor="accent1" w:themeShade="BF"/>
    </w:rPr>
  </w:style>
  <w:style w:type="paragraph" w:styleId="IntenseQuote">
    <w:name w:val="Intense Quote"/>
    <w:basedOn w:val="Normal"/>
    <w:next w:val="Normal"/>
    <w:link w:val="IntenseQuoteChar"/>
    <w:uiPriority w:val="30"/>
    <w:qFormat/>
    <w:rsid w:val="00B501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100"/>
    <w:rPr>
      <w:i/>
      <w:iCs/>
      <w:color w:val="0F4761" w:themeColor="accent1" w:themeShade="BF"/>
    </w:rPr>
  </w:style>
  <w:style w:type="character" w:styleId="IntenseReference">
    <w:name w:val="Intense Reference"/>
    <w:basedOn w:val="DefaultParagraphFont"/>
    <w:uiPriority w:val="32"/>
    <w:qFormat/>
    <w:rsid w:val="00B501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1113</Words>
  <Characters>6348</Characters>
  <Application>Microsoft Office Word</Application>
  <DocSecurity>0</DocSecurity>
  <Lines>52</Lines>
  <Paragraphs>14</Paragraphs>
  <ScaleCrop>false</ScaleCrop>
  <Company/>
  <LinksUpToDate>false</LinksUpToDate>
  <CharactersWithSpaces>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 Merrifield</dc:creator>
  <cp:keywords/>
  <dc:description/>
  <cp:lastModifiedBy>Ava Merrifield</cp:lastModifiedBy>
  <cp:revision>1</cp:revision>
  <dcterms:created xsi:type="dcterms:W3CDTF">2026-04-28T19:20:00Z</dcterms:created>
  <dcterms:modified xsi:type="dcterms:W3CDTF">2026-04-28T19:20:00Z</dcterms:modified>
</cp:coreProperties>
</file>