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00B4" w14:textId="4974834C" w:rsidR="008C321F" w:rsidRDefault="007B0A8A" w:rsidP="007B0A8A">
      <w:pPr>
        <w:pStyle w:val="Heading2"/>
      </w:pPr>
      <w:r>
        <w:t xml:space="preserve">Methods </w:t>
      </w:r>
    </w:p>
    <w:p w14:paraId="79B9169E" w14:textId="48BEE1D6" w:rsidR="007B0A8A" w:rsidRDefault="00AB0481" w:rsidP="007B0A8A">
      <w:r>
        <w:t xml:space="preserve">This project analyzed </w:t>
      </w:r>
      <w:r w:rsidR="00751DE6">
        <w:t>Total Coliform Rule (TCR</w:t>
      </w:r>
      <w:r w:rsidR="000121AB">
        <w:t>)</w:t>
      </w:r>
      <w:r w:rsidR="00751DE6">
        <w:t xml:space="preserve"> violations across 5 U.S. states that are each located in a different EPA region.</w:t>
      </w:r>
      <w:r w:rsidR="00125EF9">
        <w:t xml:space="preserve"> </w:t>
      </w:r>
      <w:r w:rsidR="00F66946">
        <w:t xml:space="preserve">The analysis was conducted to support the UMass Amherst Water Research Team’s investigation into geographic variation in drinking water violations and difference between small and large public water systems. </w:t>
      </w:r>
      <w:r w:rsidR="00072C8E">
        <w:t>All analyses were performed using a fully reproducible Python workflow</w:t>
      </w:r>
      <w:r w:rsidR="00E37029">
        <w:t xml:space="preserve"> in Jupyter Notebook. Provided with </w:t>
      </w:r>
      <w:proofErr w:type="gramStart"/>
      <w:r w:rsidR="00E37029">
        <w:t>a</w:t>
      </w:r>
      <w:proofErr w:type="gramEnd"/>
      <w:r w:rsidR="00E37029">
        <w:t xml:space="preserve"> Annotated Code Document with detailed documentation to ensure that another analyst could replicate the results. </w:t>
      </w:r>
    </w:p>
    <w:p w14:paraId="555FFED4" w14:textId="6FFD284E" w:rsidR="00E37029" w:rsidRDefault="00E90A81" w:rsidP="007B0A8A">
      <w:r>
        <w:t xml:space="preserve">The first step in this project was to review </w:t>
      </w:r>
      <w:r w:rsidR="00CF01C4">
        <w:t>all</w:t>
      </w:r>
      <w:r w:rsidR="00E37029">
        <w:t xml:space="preserve"> violation data </w:t>
      </w:r>
      <w:r w:rsidR="00CF01C4">
        <w:t xml:space="preserve">that </w:t>
      </w:r>
      <w:r w:rsidR="00E37029">
        <w:t>wa</w:t>
      </w:r>
      <w:r w:rsidR="00843585">
        <w:t>s obtained from the Safe Drinking Water Information System (SDWIS)</w:t>
      </w:r>
      <w:r w:rsidR="004349A8">
        <w:t xml:space="preserve"> portal</w:t>
      </w:r>
      <w:r w:rsidR="004A3A3E">
        <w:t>, which provides publicly accessible drinking water compl</w:t>
      </w:r>
      <w:r w:rsidR="00980A74">
        <w:t>iance data (EPA, 2023)</w:t>
      </w:r>
      <w:r w:rsidR="00EF6863">
        <w:t xml:space="preserve"> to identify inputs, outputs, and structure of the Water System </w:t>
      </w:r>
      <w:r w:rsidR="00344DC2">
        <w:t>Violation report</w:t>
      </w:r>
      <w:r w:rsidR="00980A74">
        <w:t xml:space="preserve">. </w:t>
      </w:r>
      <w:r w:rsidR="005120EC">
        <w:t xml:space="preserve">The five states were selected based on </w:t>
      </w:r>
      <w:r w:rsidR="00BE43AE">
        <w:t xml:space="preserve">the requirements: representation of 5 different EPA regions, strong and complete SDWIS reporting, and sufficient TCR violation counts for meaningful comparison. </w:t>
      </w:r>
      <w:r w:rsidR="00C05AB1">
        <w:t xml:space="preserve">The final states include </w:t>
      </w:r>
      <w:r w:rsidR="00DE567E">
        <w:t xml:space="preserve">Massachusetts region 1, </w:t>
      </w:r>
      <w:r w:rsidR="00F83836">
        <w:t xml:space="preserve">Pennsylvania region 3, Illinois region 5, Iowa region 7, and California region 9. </w:t>
      </w:r>
      <w:r w:rsidR="001A0A1C">
        <w:t>Instead of do</w:t>
      </w:r>
      <w:r w:rsidR="009A2ACE">
        <w:t xml:space="preserve">wnloading CSV files, each </w:t>
      </w:r>
      <w:r w:rsidR="00AB3AFA">
        <w:t>state’s</w:t>
      </w:r>
      <w:r w:rsidR="009A2ACE">
        <w:t xml:space="preserve"> report was accessed directly through its SDWIS URL</w:t>
      </w:r>
      <w:r w:rsidR="00C33A15">
        <w:t xml:space="preserve">, and the violation table was extracted using Python. This </w:t>
      </w:r>
      <w:r w:rsidR="00AB3AFA">
        <w:t>approach</w:t>
      </w:r>
      <w:r w:rsidR="00C33A15">
        <w:t xml:space="preserve"> ensures that the analysis </w:t>
      </w:r>
      <w:proofErr w:type="gramStart"/>
      <w:r w:rsidR="00C33A15">
        <w:t>used</w:t>
      </w:r>
      <w:proofErr w:type="gramEnd"/>
      <w:r w:rsidR="00C33A15">
        <w:t xml:space="preserve"> the most up-to-date</w:t>
      </w:r>
      <w:r w:rsidR="00AB3AFA">
        <w:t xml:space="preserve"> data and improved reproducibility. </w:t>
      </w:r>
    </w:p>
    <w:p w14:paraId="4538B3AA" w14:textId="77777777" w:rsidR="009854A9" w:rsidRDefault="000121AB" w:rsidP="007B0A8A">
      <w:r>
        <w:t xml:space="preserve">Each dataset was cleaned using a series of </w:t>
      </w:r>
      <w:r w:rsidR="00F61B68">
        <w:t xml:space="preserve">Python functions and ensuring each transformation step was transparent and replicable. </w:t>
      </w:r>
      <w:r w:rsidR="000B5404">
        <w:t xml:space="preserve">To standardize the </w:t>
      </w:r>
      <w:r w:rsidR="00955DB2">
        <w:t xml:space="preserve">mixed-case column names that had spaces, a </w:t>
      </w:r>
      <w:proofErr w:type="spellStart"/>
      <w:proofErr w:type="gramStart"/>
      <w:r w:rsidR="00955DB2">
        <w:t>df.colums</w:t>
      </w:r>
      <w:proofErr w:type="spellEnd"/>
      <w:proofErr w:type="gramEnd"/>
      <w:r w:rsidR="00955DB2">
        <w:t xml:space="preserve"> function was used to lowercase and replace spaces with underscores, ensuring consistency across states. </w:t>
      </w:r>
      <w:r w:rsidR="009D108F">
        <w:t xml:space="preserve">The </w:t>
      </w:r>
      <w:r w:rsidR="00702DE5">
        <w:t>volitation</w:t>
      </w:r>
      <w:r w:rsidR="009D108F">
        <w:t xml:space="preserve"> dates were also converted </w:t>
      </w:r>
      <w:r w:rsidR="00EF14D3">
        <w:t xml:space="preserve">using </w:t>
      </w:r>
      <w:r w:rsidR="00702DE5">
        <w:t xml:space="preserve">datetime format </w:t>
      </w:r>
      <w:r w:rsidR="009D108F">
        <w:t xml:space="preserve">to </w:t>
      </w:r>
      <w:r w:rsidR="00EF14D3">
        <w:t xml:space="preserve">extract the year for trend </w:t>
      </w:r>
      <w:r w:rsidR="00702DE5">
        <w:t xml:space="preserve">analysis. To answer the </w:t>
      </w:r>
      <w:r w:rsidR="00061854">
        <w:t>client’s</w:t>
      </w:r>
      <w:r w:rsidR="00702DE5">
        <w:t xml:space="preserve"> </w:t>
      </w:r>
      <w:r w:rsidR="00516BB2">
        <w:t>questions</w:t>
      </w:r>
      <w:r w:rsidR="00702DE5">
        <w:t xml:space="preserve"> about differences between small and large systems, </w:t>
      </w:r>
      <w:r w:rsidR="00EA5316">
        <w:t>a function was defined to classify each water system based on population served</w:t>
      </w:r>
      <w:r w:rsidR="00CB696A">
        <w:t xml:space="preserve"> </w:t>
      </w:r>
      <w:r w:rsidR="00516BB2">
        <w:t>and applied to each dataset</w:t>
      </w:r>
      <w:r w:rsidR="00EA5316">
        <w:t xml:space="preserve">. </w:t>
      </w:r>
      <w:r w:rsidR="00516BB2">
        <w:t xml:space="preserve">This step mirrors the logic used in EPA documentation, where 10,000 people </w:t>
      </w:r>
      <w:r w:rsidR="00061854">
        <w:t>are</w:t>
      </w:r>
      <w:r w:rsidR="00516BB2">
        <w:t xml:space="preserve"> the standard threshold for distinguishing small and large systems (EPA, 2023).</w:t>
      </w:r>
      <w:r w:rsidR="00CB696A">
        <w:t xml:space="preserve"> The five datasets were then merged into a single combined dataset to allow cross-state comparisons and system-size analysis. </w:t>
      </w:r>
      <w:r w:rsidR="00BD3320">
        <w:t xml:space="preserve">After using the </w:t>
      </w:r>
      <w:proofErr w:type="spellStart"/>
      <w:r w:rsidR="00BD3320">
        <w:t>groupby</w:t>
      </w:r>
      <w:proofErr w:type="spellEnd"/>
      <w:r w:rsidR="00BD3320">
        <w:t xml:space="preserve"> function to </w:t>
      </w:r>
      <w:r w:rsidR="00BA7A6B">
        <w:t>group violations by state and year,</w:t>
      </w:r>
      <w:r w:rsidR="0022783B">
        <w:t xml:space="preserve"> and system</w:t>
      </w:r>
      <w:r w:rsidR="00BA7A6B">
        <w:t xml:space="preserve"> size</w:t>
      </w:r>
      <w:r w:rsidR="0022783B">
        <w:t xml:space="preserve"> two primary figures were </w:t>
      </w:r>
      <w:r w:rsidR="00452B10">
        <w:t>produced</w:t>
      </w:r>
      <w:r w:rsidR="0022783B">
        <w:t>.</w:t>
      </w:r>
      <w:r w:rsidR="00452B10">
        <w:t xml:space="preserve"> </w:t>
      </w:r>
    </w:p>
    <w:p w14:paraId="19B9B8CC" w14:textId="77777777" w:rsidR="002769AB" w:rsidRDefault="00452B10" w:rsidP="007046B6">
      <w:r>
        <w:t xml:space="preserve">The first </w:t>
      </w:r>
      <w:r w:rsidR="00795CC6">
        <w:t xml:space="preserve">figure </w:t>
      </w:r>
      <w:r w:rsidR="009854A9">
        <w:t xml:space="preserve">provides a clear </w:t>
      </w:r>
      <w:r w:rsidR="007046B6">
        <w:t>pattern</w:t>
      </w:r>
      <w:r w:rsidR="009854A9">
        <w:t xml:space="preserve"> of TCR violations across states for each</w:t>
      </w:r>
      <w:r w:rsidR="007046B6">
        <w:t xml:space="preserve"> </w:t>
      </w:r>
      <w:r w:rsidR="00675A36">
        <w:t xml:space="preserve">using </w:t>
      </w:r>
      <w:r w:rsidR="00990A31">
        <w:t>multi-</w:t>
      </w:r>
      <w:r w:rsidR="00696CE5">
        <w:t>line plot</w:t>
      </w:r>
      <w:r w:rsidR="00675A36">
        <w:t xml:space="preserve">. </w:t>
      </w:r>
      <w:r w:rsidR="003A48A4">
        <w:t>This figure allows the reader to observe how violation counts change over time within each state and to compare the shapes of the trends across states.</w:t>
      </w:r>
      <w:r w:rsidR="000D592E">
        <w:t xml:space="preserve"> The lines make it easy to identify years with unusually high or low violations, periods of increase of decline, </w:t>
      </w:r>
      <w:r w:rsidR="000D592E">
        <w:lastRenderedPageBreak/>
        <w:t xml:space="preserve">and whether states follow similar of different temporal </w:t>
      </w:r>
      <w:r w:rsidR="002769AB">
        <w:t>patterns</w:t>
      </w:r>
      <w:r w:rsidR="000D592E">
        <w:t>.</w:t>
      </w:r>
      <w:r w:rsidR="002769AB">
        <w:t xml:space="preserve"> The plot can be read by scanning horizontally across year or vertically within a single state’s trajectory.</w:t>
      </w:r>
    </w:p>
    <w:p w14:paraId="5F0F635E" w14:textId="664A6A27" w:rsidR="004C44D6" w:rsidRDefault="002769AB" w:rsidP="007046B6">
      <w:r>
        <w:t xml:space="preserve">The second figure compares violation counts between small and large water systems using a bar chart.  </w:t>
      </w:r>
      <w:r w:rsidR="00AE67D7">
        <w:t>The bars allow for direct comparison of total violation counts between the two categories, and the height of each bar clearly communicates the magnitude of the difference.</w:t>
      </w:r>
      <w:r w:rsidR="00210CE1">
        <w:t xml:space="preserve"> This chart is read by comparing the relative bar heights, </w:t>
      </w:r>
      <w:r w:rsidR="00097468">
        <w:t>making it</w:t>
      </w:r>
      <w:r w:rsidR="00210CE1">
        <w:t xml:space="preserve"> straightforward to determine which system size contributes more heavily to TCR violations. </w:t>
      </w:r>
    </w:p>
    <w:p w14:paraId="5FA2BBC0" w14:textId="45DBD6CD" w:rsidR="009D16DA" w:rsidRDefault="009D16DA" w:rsidP="007046B6">
      <w:r>
        <w:t xml:space="preserve">The </w:t>
      </w:r>
      <w:r w:rsidR="00C905E7">
        <w:t xml:space="preserve">full </w:t>
      </w:r>
      <w:r>
        <w:t>analysis</w:t>
      </w:r>
      <w:r w:rsidR="000D71A4">
        <w:t xml:space="preserve"> required the following inputs from the SDWIS </w:t>
      </w:r>
      <w:r w:rsidR="00AB3AFA">
        <w:t>violation tables accessed through URLs</w:t>
      </w:r>
      <w:r w:rsidR="000D71A4">
        <w:t xml:space="preserve">: state name, public water system ID (PWSID), population served, violation type, violation </w:t>
      </w:r>
      <w:r w:rsidR="00AB3AFA">
        <w:t>begin date</w:t>
      </w:r>
      <w:r w:rsidR="000D71A4">
        <w:t xml:space="preserve">, and system type (CWS, NTNCWS, TNCWS). The </w:t>
      </w:r>
      <w:r w:rsidR="00C905E7">
        <w:t xml:space="preserve">outputs that were produced included: violations by state and year, violations by system size, combined dataset for all five </w:t>
      </w:r>
      <w:r w:rsidR="00097468">
        <w:t>states</w:t>
      </w:r>
      <w:r w:rsidR="00C905E7">
        <w:t xml:space="preserve">, two required figures, and summary tables for the results section. </w:t>
      </w:r>
      <w:r w:rsidR="00F86E42">
        <w:t xml:space="preserve">To </w:t>
      </w:r>
      <w:r w:rsidR="00097468">
        <w:t>ensure</w:t>
      </w:r>
      <w:r w:rsidR="00F86E42">
        <w:t xml:space="preserve"> </w:t>
      </w:r>
      <w:r w:rsidR="00097468">
        <w:t>reproducibility</w:t>
      </w:r>
      <w:r w:rsidR="00F86E42">
        <w:t xml:space="preserve"> all codes were </w:t>
      </w:r>
      <w:r w:rsidR="00097468">
        <w:t>annotated</w:t>
      </w:r>
      <w:r w:rsidR="00F86E42">
        <w:t xml:space="preserve"> with comments, a consistent directory was used, all </w:t>
      </w:r>
      <w:r w:rsidR="00097468">
        <w:t>functions</w:t>
      </w:r>
      <w:r w:rsidR="00F86E42">
        <w:t xml:space="preserve"> were clear</w:t>
      </w:r>
      <w:r w:rsidR="00CB3A13">
        <w:t>,</w:t>
      </w:r>
      <w:r w:rsidR="00097468">
        <w:t xml:space="preserve"> and</w:t>
      </w:r>
      <w:r w:rsidR="00CB3A13">
        <w:t xml:space="preserve"> a README file documented how to rerun the analysis</w:t>
      </w:r>
      <w:r w:rsidR="00097468">
        <w:t xml:space="preserve">. </w:t>
      </w:r>
    </w:p>
    <w:p w14:paraId="7E4ADAE4" w14:textId="77777777" w:rsidR="00DF06BC" w:rsidRPr="007B0A8A" w:rsidRDefault="00DF06BC" w:rsidP="007B0A8A"/>
    <w:sectPr w:rsidR="00DF06BC" w:rsidRPr="007B0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5E"/>
    <w:rsid w:val="000121AB"/>
    <w:rsid w:val="00042921"/>
    <w:rsid w:val="00061854"/>
    <w:rsid w:val="000722D5"/>
    <w:rsid w:val="00072C8E"/>
    <w:rsid w:val="00091C0D"/>
    <w:rsid w:val="00097468"/>
    <w:rsid w:val="000A415E"/>
    <w:rsid w:val="000B5404"/>
    <w:rsid w:val="000D2686"/>
    <w:rsid w:val="000D592E"/>
    <w:rsid w:val="000D71A4"/>
    <w:rsid w:val="00125EF9"/>
    <w:rsid w:val="00140CEA"/>
    <w:rsid w:val="001A0A1C"/>
    <w:rsid w:val="00210CE1"/>
    <w:rsid w:val="0022783B"/>
    <w:rsid w:val="002769AB"/>
    <w:rsid w:val="00317F97"/>
    <w:rsid w:val="00344DC2"/>
    <w:rsid w:val="003A48A4"/>
    <w:rsid w:val="004349A8"/>
    <w:rsid w:val="00452B10"/>
    <w:rsid w:val="004A3A3E"/>
    <w:rsid w:val="004C44D6"/>
    <w:rsid w:val="005120EC"/>
    <w:rsid w:val="00516BB2"/>
    <w:rsid w:val="00675A36"/>
    <w:rsid w:val="00696CE5"/>
    <w:rsid w:val="006F0853"/>
    <w:rsid w:val="00702DE5"/>
    <w:rsid w:val="007046B6"/>
    <w:rsid w:val="00751DE6"/>
    <w:rsid w:val="00795CC6"/>
    <w:rsid w:val="007B0A8A"/>
    <w:rsid w:val="00843585"/>
    <w:rsid w:val="008C321F"/>
    <w:rsid w:val="00955DB2"/>
    <w:rsid w:val="00980A74"/>
    <w:rsid w:val="009854A9"/>
    <w:rsid w:val="00990A31"/>
    <w:rsid w:val="009A2ACE"/>
    <w:rsid w:val="009D108F"/>
    <w:rsid w:val="009D16DA"/>
    <w:rsid w:val="00AA1964"/>
    <w:rsid w:val="00AB0481"/>
    <w:rsid w:val="00AB3AFA"/>
    <w:rsid w:val="00AE67D7"/>
    <w:rsid w:val="00B469CE"/>
    <w:rsid w:val="00BA7A6B"/>
    <w:rsid w:val="00BD3320"/>
    <w:rsid w:val="00BE43AE"/>
    <w:rsid w:val="00C05AB1"/>
    <w:rsid w:val="00C33A15"/>
    <w:rsid w:val="00C87B38"/>
    <w:rsid w:val="00C905E7"/>
    <w:rsid w:val="00CB3A13"/>
    <w:rsid w:val="00CB696A"/>
    <w:rsid w:val="00CF01C4"/>
    <w:rsid w:val="00DE567E"/>
    <w:rsid w:val="00DF06BC"/>
    <w:rsid w:val="00E024E5"/>
    <w:rsid w:val="00E37029"/>
    <w:rsid w:val="00E90A81"/>
    <w:rsid w:val="00EA1424"/>
    <w:rsid w:val="00EA5316"/>
    <w:rsid w:val="00EF14D3"/>
    <w:rsid w:val="00EF6863"/>
    <w:rsid w:val="00F61B68"/>
    <w:rsid w:val="00F66946"/>
    <w:rsid w:val="00F72B44"/>
    <w:rsid w:val="00F83836"/>
    <w:rsid w:val="00F8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C898F"/>
  <w15:chartTrackingRefBased/>
  <w15:docId w15:val="{2664B5C4-172E-411C-AC1C-FFAD3D64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8BB06-4E14-4E70-A397-B27EC2F57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2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avamadelyn432@gmail.com</dc:creator>
  <cp:keywords/>
  <dc:description/>
  <cp:lastModifiedBy>avamadelyn432@gmail.com</cp:lastModifiedBy>
  <cp:revision>70</cp:revision>
  <dcterms:created xsi:type="dcterms:W3CDTF">2026-03-23T22:01:00Z</dcterms:created>
  <dcterms:modified xsi:type="dcterms:W3CDTF">2026-03-24T18:55:00Z</dcterms:modified>
</cp:coreProperties>
</file>