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09E0" w14:textId="77777777" w:rsidR="004E4AB3" w:rsidRDefault="004E4AB3" w:rsidP="004E4AB3">
      <w:pPr>
        <w:pStyle w:val="Heading1"/>
        <w:jc w:val="center"/>
      </w:pPr>
      <w:r w:rsidRPr="004E4AB3">
        <w:t>TCR Violations Analysis Non-Technical Executive Summary – Project #5</w:t>
      </w:r>
    </w:p>
    <w:p w14:paraId="05F8602E" w14:textId="090D1675" w:rsidR="004E4AB3" w:rsidRPr="004E4AB3" w:rsidRDefault="004E4AB3" w:rsidP="004E4AB3">
      <w:pPr>
        <w:pStyle w:val="Heading2"/>
        <w:jc w:val="center"/>
      </w:pPr>
      <w:r>
        <w:t xml:space="preserve">Client: </w:t>
      </w:r>
      <w:r w:rsidRPr="004E4AB3">
        <w:t>UMass Amherst Water Research Team</w:t>
      </w:r>
    </w:p>
    <w:p w14:paraId="3A54E21E" w14:textId="77777777" w:rsidR="004E4AB3" w:rsidRPr="004E4AB3" w:rsidRDefault="004E4AB3" w:rsidP="004E4AB3">
      <w:pPr>
        <w:pStyle w:val="Heading3"/>
      </w:pPr>
      <w:r w:rsidRPr="004E4AB3">
        <w:t>1. Project Purpose</w:t>
      </w:r>
    </w:p>
    <w:p w14:paraId="398FEBB4" w14:textId="22CCB0D6" w:rsidR="00463AE3" w:rsidRDefault="00463AE3" w:rsidP="00463AE3">
      <w:r w:rsidRPr="00463AE3">
        <w:t>This project examined drinking water safety by analyzing Total Coliform Rule (TCR) violations across five U.S. states using a cleaned dataset prepared from EPA records. The goal was to understand how violations differ between states, how they change over time, and whether smaller water systems face more challenges than larger ones.</w:t>
      </w:r>
    </w:p>
    <w:p w14:paraId="45C9B7D9" w14:textId="77777777" w:rsidR="00463AE3" w:rsidRPr="00463AE3" w:rsidRDefault="00463AE3" w:rsidP="00463AE3">
      <w:pPr>
        <w:pStyle w:val="Heading3"/>
      </w:pPr>
      <w:r w:rsidRPr="00463AE3">
        <w:t>2. Project Methods</w:t>
      </w:r>
    </w:p>
    <w:p w14:paraId="669EEB0D" w14:textId="77777777" w:rsidR="00463AE3" w:rsidRPr="00463AE3" w:rsidRDefault="00463AE3" w:rsidP="00463AE3">
      <w:r w:rsidRPr="00463AE3">
        <w:t>We used publicly available EPA data that had been merged and cleaned before analysis. In Python, we organized the dataset, corrected formatting issues, extracted the year from reporting dates, and classified water systems as “Small” or “Large” based on population served. We then created summary tables and graphs to compare violations across states, system sizes, and years.</w:t>
      </w:r>
    </w:p>
    <w:p w14:paraId="25A93DC9" w14:textId="6DD296BA" w:rsidR="00463AE3" w:rsidRPr="00463AE3" w:rsidRDefault="00463AE3" w:rsidP="00463AE3">
      <w:pPr>
        <w:pStyle w:val="Heading3"/>
      </w:pPr>
      <w:r w:rsidRPr="00463AE3">
        <w:t>3. Project Findings</w:t>
      </w:r>
    </w:p>
    <w:p w14:paraId="7A7618BA" w14:textId="77777777" w:rsidR="00463AE3" w:rsidRPr="00463AE3" w:rsidRDefault="00463AE3" w:rsidP="00463AE3">
      <w:r w:rsidRPr="00463AE3">
        <w:t>• Some states had noticeably more violations than others. • Small water systems had significantly more violations than large systems. • Violations varied by year, showing patterns that help explain system performance over time.</w:t>
      </w:r>
    </w:p>
    <w:p w14:paraId="1F9FA1BE" w14:textId="77777777" w:rsidR="00463AE3" w:rsidRPr="00463AE3" w:rsidRDefault="00463AE3" w:rsidP="00463AE3">
      <w:pPr>
        <w:pStyle w:val="Heading3"/>
      </w:pPr>
      <w:r w:rsidRPr="00463AE3">
        <w:t>4. Conclusions</w:t>
      </w:r>
    </w:p>
    <w:p w14:paraId="01FBC321" w14:textId="7A0CAA4D" w:rsidR="004E4AB3" w:rsidRDefault="00463AE3">
      <w:r w:rsidRPr="00463AE3">
        <w:t>The results suggest that smaller water systems may struggle more to meet safety standards, likely due to limited staffing, funding, or infrastructure. Differences between states may reflect environmental conditions, system age, or how aggressively each state enforces regulations.</w:t>
      </w:r>
    </w:p>
    <w:p w14:paraId="7A721F1B" w14:textId="77777777" w:rsidR="008C58D6" w:rsidRPr="008C58D6" w:rsidRDefault="008C58D6" w:rsidP="00463AE3">
      <w:pPr>
        <w:pStyle w:val="Heading3"/>
      </w:pPr>
      <w:r w:rsidRPr="008C58D6">
        <w:t>5. Important Considerations</w:t>
      </w:r>
    </w:p>
    <w:p w14:paraId="072056CF" w14:textId="77777777" w:rsidR="008C58D6" w:rsidRPr="008C58D6" w:rsidRDefault="008C58D6" w:rsidP="008C58D6">
      <w:r w:rsidRPr="008C58D6">
        <w:t>The analysis uses total violation counts, which means states with more water systems may naturally show higher totals. The dataset also includes only the states selected for this project, so results should not be generalized to the entire country.</w:t>
      </w:r>
    </w:p>
    <w:p w14:paraId="7EAEEA62" w14:textId="77777777" w:rsidR="008C58D6" w:rsidRPr="008C58D6" w:rsidRDefault="008C58D6" w:rsidP="00463AE3">
      <w:pPr>
        <w:pStyle w:val="Heading3"/>
      </w:pPr>
      <w:r w:rsidRPr="008C58D6">
        <w:lastRenderedPageBreak/>
        <w:t>6. Final Takeaways</w:t>
      </w:r>
    </w:p>
    <w:p w14:paraId="1762B1BB" w14:textId="77777777" w:rsidR="008C58D6" w:rsidRPr="008C58D6" w:rsidRDefault="008C58D6" w:rsidP="008C58D6">
      <w:r w:rsidRPr="008C58D6">
        <w:t>While drinking water safety appears stable overall, smaller systems remain more vulnerable to violations. Supporting these systems with additional resources may help improve compliance and protect public health.</w:t>
      </w:r>
    </w:p>
    <w:p w14:paraId="6E04362B" w14:textId="77777777" w:rsidR="004E4AB3" w:rsidRDefault="004E4AB3"/>
    <w:sectPr w:rsidR="004E4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B3"/>
    <w:rsid w:val="00463AE3"/>
    <w:rsid w:val="004E4AB3"/>
    <w:rsid w:val="006F5238"/>
    <w:rsid w:val="008C321F"/>
    <w:rsid w:val="008C58D6"/>
    <w:rsid w:val="00AA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BFDE"/>
  <w15:chartTrackingRefBased/>
  <w15:docId w15:val="{EF7B0423-82EF-4AA4-A2B8-D5BB34B7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4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4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AB3"/>
    <w:rPr>
      <w:rFonts w:eastAsiaTheme="majorEastAsia" w:cstheme="majorBidi"/>
      <w:color w:val="272727" w:themeColor="text1" w:themeTint="D8"/>
    </w:rPr>
  </w:style>
  <w:style w:type="paragraph" w:styleId="Title">
    <w:name w:val="Title"/>
    <w:basedOn w:val="Normal"/>
    <w:next w:val="Normal"/>
    <w:link w:val="TitleChar"/>
    <w:uiPriority w:val="10"/>
    <w:qFormat/>
    <w:rsid w:val="004E4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AB3"/>
    <w:pPr>
      <w:spacing w:before="160"/>
      <w:jc w:val="center"/>
    </w:pPr>
    <w:rPr>
      <w:i/>
      <w:iCs/>
      <w:color w:val="404040" w:themeColor="text1" w:themeTint="BF"/>
    </w:rPr>
  </w:style>
  <w:style w:type="character" w:customStyle="1" w:styleId="QuoteChar">
    <w:name w:val="Quote Char"/>
    <w:basedOn w:val="DefaultParagraphFont"/>
    <w:link w:val="Quote"/>
    <w:uiPriority w:val="29"/>
    <w:rsid w:val="004E4AB3"/>
    <w:rPr>
      <w:i/>
      <w:iCs/>
      <w:color w:val="404040" w:themeColor="text1" w:themeTint="BF"/>
    </w:rPr>
  </w:style>
  <w:style w:type="paragraph" w:styleId="ListParagraph">
    <w:name w:val="List Paragraph"/>
    <w:basedOn w:val="Normal"/>
    <w:uiPriority w:val="34"/>
    <w:qFormat/>
    <w:rsid w:val="004E4AB3"/>
    <w:pPr>
      <w:ind w:left="720"/>
      <w:contextualSpacing/>
    </w:pPr>
  </w:style>
  <w:style w:type="character" w:styleId="IntenseEmphasis">
    <w:name w:val="Intense Emphasis"/>
    <w:basedOn w:val="DefaultParagraphFont"/>
    <w:uiPriority w:val="21"/>
    <w:qFormat/>
    <w:rsid w:val="004E4AB3"/>
    <w:rPr>
      <w:i/>
      <w:iCs/>
      <w:color w:val="0F4761" w:themeColor="accent1" w:themeShade="BF"/>
    </w:rPr>
  </w:style>
  <w:style w:type="paragraph" w:styleId="IntenseQuote">
    <w:name w:val="Intense Quote"/>
    <w:basedOn w:val="Normal"/>
    <w:next w:val="Normal"/>
    <w:link w:val="IntenseQuoteChar"/>
    <w:uiPriority w:val="30"/>
    <w:qFormat/>
    <w:rsid w:val="004E4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AB3"/>
    <w:rPr>
      <w:i/>
      <w:iCs/>
      <w:color w:val="0F4761" w:themeColor="accent1" w:themeShade="BF"/>
    </w:rPr>
  </w:style>
  <w:style w:type="character" w:styleId="IntenseReference">
    <w:name w:val="Intense Reference"/>
    <w:basedOn w:val="DefaultParagraphFont"/>
    <w:uiPriority w:val="32"/>
    <w:qFormat/>
    <w:rsid w:val="004E4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avamadelyn432@gmail.com</dc:creator>
  <cp:keywords/>
  <dc:description/>
  <cp:lastModifiedBy>avamadelyn432@gmail.com</cp:lastModifiedBy>
  <cp:revision>3</cp:revision>
  <dcterms:created xsi:type="dcterms:W3CDTF">2026-05-08T20:26:00Z</dcterms:created>
  <dcterms:modified xsi:type="dcterms:W3CDTF">2026-05-08T20:35:00Z</dcterms:modified>
</cp:coreProperties>
</file>