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 w:eastAsia="Microsoft YaHei"/>
          <w:b/>
          <w:color w:val="A66A00"/>
          <w:sz w:val="22"/>
        </w:rPr>
        <w:t>产品与技术架构报告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54"/>
        </w:rPr>
        <w:t>华为云 DataArts Studio</w:t>
        <w:br/>
        <w:t>数据服务应用架构梳理</w:t>
      </w:r>
    </w:p>
    <w:p>
      <w:pPr>
        <w:pStyle w:val="Subtitle"/>
        <w:jc w:val="center"/>
      </w:pPr>
      <w:r>
        <w:rPr>
          <w:rFonts w:ascii="Calibri" w:hAnsi="Calibri" w:eastAsia="Microsoft YaHei"/>
          <w:color w:val="5B6573"/>
          <w:sz w:val="28"/>
        </w:rPr>
        <w:t>基于国际站官方用户指南与 API 参考，含产品原图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调研入口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https://support.huaweicloud.com/intl/zh-cn/dataartsstudio/index.html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官网范围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用户指南 &gt; 数据服务；共5层文档深度、52个页面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原图资产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106 张官网原图；正文精选关键架构与操作界面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资料日期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截至 2026-08-25，各页更新时间详见附录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口径</w:t>
            </w:r>
          </w:p>
        </w:tc>
        <w:tc>
          <w:tcPr>
            <w:tcW w:type="dxa" w:w="7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“官网明确”与“架构归纳”分开陈述，不把推断写成产品承诺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一句话结论  </w:t>
      </w:r>
      <w:r>
        <w:rPr>
          <w:rFonts w:ascii="Calibri" w:hAnsi="Calibri" w:eastAsia="Microsoft YaHei"/>
          <w:color w:val="0B2545"/>
          <w:sz w:val="21"/>
        </w:rPr>
        <w:t>DataArts Studio 数据服务是一套以专享集群为运行时、以API为数据产品、以应用与授权为消费边界，并由审批、流控、监控、日志和版本管理保障的数据开放平台。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业务定位：</w:t>
      </w:r>
      <w:r>
        <w:rPr>
          <w:rFonts w:ascii="Calibri" w:hAnsi="Calibri" w:eastAsia="Microsoft YaHei"/>
        </w:rPr>
        <w:t>把表数据和查询逻辑封装为统一 RESTful API，减少上层应用与数据库的直接耦合。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核心分层：</w:t>
      </w:r>
      <w:r>
        <w:rPr>
          <w:rFonts w:ascii="Calibri" w:hAnsi="Calibri" w:eastAsia="Microsoft YaHei"/>
        </w:rPr>
        <w:t>数据连接与取数逻辑 → API开发/编排 → 审核/发布 → 专享集群运行 → 应用授权与调用。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两条主链：</w:t>
      </w:r>
      <w:r>
        <w:rPr>
          <w:rFonts w:ascii="Calibri" w:hAnsi="Calibri" w:eastAsia="Microsoft YaHei"/>
        </w:rPr>
        <w:t>提供方完成开发、调试、发布和授权；调用方完成发现、申请授权和认证调用。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运行边界：</w:t>
      </w:r>
      <w:r>
        <w:rPr>
          <w:rFonts w:ascii="Calibri" w:hAnsi="Calibri" w:eastAsia="Microsoft YaHei"/>
        </w:rPr>
        <w:t>官网主流程以专享版为主，需先购买专享集群，再在工作空间内分配 API 配额。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安全边界：</w:t>
      </w:r>
      <w:r>
        <w:rPr>
          <w:rFonts w:ascii="Calibri" w:hAnsi="Calibri" w:eastAsia="Microsoft YaHei"/>
        </w:rPr>
        <w:t>入网由 VPC/EIP/域名/安全组控制，调用由 APP 签名、IAM Token 或无认证模式控制，再叠加审批、可见性和流控。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适用场景：</w:t>
      </w:r>
      <w:r>
        <w:rPr>
          <w:rFonts w:ascii="Calibri" w:hAnsi="Calibri" w:eastAsia="Microsoft YaHei"/>
        </w:rPr>
        <w:t>小批量、快速响应、稳定数据契约的业务查询与系统集成；不适合将大数据集作为批量文件式导出。</w:t>
      </w:r>
    </w:p>
    <w:p>
      <w:pPr/>
      <w:r>
        <w:rPr>
          <w:rFonts w:ascii="Calibri" w:hAnsi="Calibri" w:eastAsia="Microsoft YaHei"/>
        </w:rPr>
        <w:t>以上结论主要来自数据服务简介、专享集群、调用方式与规格说明。</w:t>
      </w:r>
      <w:r>
        <w:rPr>
          <w:rFonts w:ascii="Calibri" w:hAnsi="Calibri" w:eastAsia="Microsoft YaHei"/>
          <w:b/>
          <w:color w:val="2E74B5"/>
          <w:sz w:val="18"/>
        </w:rPr>
        <w:t xml:space="preserve"> [S01/S02/S03/S10]</w:t>
      </w:r>
    </w:p>
    <w:p>
      <w:pPr>
        <w:pStyle w:val="Heading2"/>
      </w:pPr>
      <w:r>
        <w:t>阅读地图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60"/>
        <w:gridCol w:w="29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回答的问题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主要读者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总体应用架构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整体如何分层，数据流与控制流如何衔接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架构师、产品负责人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部署与网络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专享集群部署在哪里，如何被内外网访问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云架构师、运维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核心对象模型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API、应用、授权、集群与工作空间如何关联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产品、研发、治理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服务生产链路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如何创建、调试、发布、版本化与编排 API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API开发者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 服务消费与安全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如何发现、授权、认证和调用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应用开发者、安全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 治理与可观测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如何审核、限流、监控、查日志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治理、审核、运维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 开放接口与集成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如何对控制面进行自动化与集成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平台研发、集成工程师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 非功能边界与落地蓝图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怎样选型，哪些约束要前置验证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决策者、实施团队</w:t>
            </w:r>
          </w:p>
        </w:tc>
      </w:tr>
    </w:tbl>
    <w:p>
      <w:pPr>
        <w:spacing w:after="0"/>
      </w:pPr>
    </w:p>
    <w:p>
      <w:pPr>
        <w:pStyle w:val="Heading1"/>
      </w:pPr>
      <w:r>
        <w:t>1 总体应用架构</w:t>
      </w:r>
    </w:p>
    <w:p>
      <w:pPr/>
      <w:r>
        <w:rPr>
          <w:rFonts w:ascii="Calibri" w:hAnsi="Calibri" w:eastAsia="Microsoft YaHei"/>
        </w:rPr>
        <w:t>DataArts Studio 将数据服务定位为企业统一数据服务总线：把数据表快速生成数据 API，并管理 API 的发布、运维与对内对外开放。</w:t>
      </w:r>
      <w:r>
        <w:rPr>
          <w:rFonts w:ascii="Calibri" w:hAnsi="Calibri" w:eastAsia="Microsoft YaHei"/>
          <w:b/>
          <w:color w:val="2E74B5"/>
          <w:sz w:val="18"/>
        </w:rPr>
        <w:t xml:space="preserve"> [S01]</w:t>
      </w:r>
    </w:p>
    <w:p>
      <w:pPr/>
      <w:r>
        <w:rPr>
          <w:rFonts w:ascii="Calibri" w:hAnsi="Calibri" w:eastAsia="Microsoft YaHei"/>
        </w:rPr>
        <w:t>官网同时明确了产品边界：这是将数据逻辑封装成 RESTful API 的小批量快速交互方案，大量数据开放应选用数据共享交换或其他方案。</w:t>
      </w:r>
      <w:r>
        <w:rPr>
          <w:rFonts w:ascii="Calibri" w:hAnsi="Calibri" w:eastAsia="Microsoft YaHei"/>
          <w:b/>
          <w:color w:val="2E74B5"/>
          <w:sz w:val="18"/>
        </w:rPr>
        <w:t xml:space="preserve"> [S01/S02]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1830"/>
            <wp:docPr id="1" name="Picture 1" descr="华为云 DataArts Studio 数据服务产品截图：图1 数据服务架构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0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1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  官方数据服务架构图：数据源与已有API经数据服务集群向用户/应用开放</w:t>
      </w:r>
    </w:p>
    <w:p>
      <w:pPr>
        <w:pStyle w:val="Heading2"/>
      </w:pPr>
      <w:r>
        <w:t>1.1 分层架构（基于官网功能重构）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79008" cy="3973068"/>
            <wp:docPr id="2" name="Picture 2" descr="DataArts Studio 数据服务应用架构图，展示消费、安全、运行、服务生产、数据访问及治理控制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-data-service-application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97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  DataArts Studio 数据服务分层应用架构（架构归纳，非官方原图）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口径说明  </w:t>
      </w:r>
      <w:r>
        <w:rPr>
          <w:rFonts w:ascii="Calibri" w:hAnsi="Calibri" w:eastAsia="Microsoft YaHei"/>
          <w:color w:val="0B2545"/>
          <w:sz w:val="21"/>
        </w:rPr>
        <w:t>官方文档按功能菜单组织，并未直接命名以上六层。这一分层是将 52 个页面按数据流、控制流和运行边界重组后得出的架构视图。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500"/>
        <w:gridCol w:w="26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架构层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AF4FD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1. 调用与消费层</w:t>
            </w:r>
          </w:p>
        </w:tc>
        <w:tc>
          <w:tcPr>
            <w:tcW w:type="dxa" w:w="4500"/>
            <w:vAlign w:val="center"/>
            <w:shd w:fill="EAF4FD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内部应用、合作伙伴、开发者、SDK、API 工具和受限浏览器调用</w:t>
            </w:r>
          </w:p>
        </w:tc>
        <w:tc>
          <w:tcPr>
            <w:tcW w:type="dxa" w:w="2660"/>
            <w:vAlign w:val="center"/>
            <w:shd w:fill="EAF4FD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把数据能力嵌入上层业务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3D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 接入与安全层</w:t>
            </w:r>
          </w:p>
        </w:tc>
        <w:tc>
          <w:tcPr>
            <w:tcW w:type="dxa" w:w="4500"/>
            <w:vAlign w:val="center"/>
            <w:shd w:fill="FFF3D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VPC终端节点、EIP、内/公网域名、HTTPS、安全组、APP/IAM/无认证</w:t>
            </w:r>
          </w:p>
        </w:tc>
        <w:tc>
          <w:tcPr>
            <w:tcW w:type="dxa" w:w="2660"/>
            <w:vAlign w:val="center"/>
            <w:shd w:fill="FFF3D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建立网络与身份边界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5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 服务运行层</w:t>
            </w:r>
          </w:p>
        </w:tc>
        <w:tc>
          <w:tcPr>
            <w:tcW w:type="dxa" w:w="4500"/>
            <w:vAlign w:val="center"/>
            <w:shd w:fill="E8F5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专享版集群、终端节点服务、ELB、节点、路由、流控</w:t>
            </w:r>
          </w:p>
        </w:tc>
        <w:tc>
          <w:tcPr>
            <w:tcW w:type="dxa" w:w="2660"/>
            <w:vAlign w:val="center"/>
            <w:shd w:fill="E8F5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执行API请求并保护后端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0EB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 服务生产层</w:t>
            </w:r>
          </w:p>
        </w:tc>
        <w:tc>
          <w:tcPr>
            <w:tcW w:type="dxa" w:w="4500"/>
            <w:vAlign w:val="center"/>
            <w:shd w:fill="F0EB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API目录、配置式、脚本/MyBatis式、调试、审核发布、API编排</w:t>
            </w:r>
          </w:p>
        </w:tc>
        <w:tc>
          <w:tcPr>
            <w:tcW w:type="dxa" w:w="2660"/>
            <w:vAlign w:val="center"/>
            <w:shd w:fill="F0EB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把数据逻辑产品化为服务契约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CEC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5. 数据访问层</w:t>
            </w:r>
          </w:p>
        </w:tc>
        <w:tc>
          <w:tcPr>
            <w:tcW w:type="dxa" w:w="4500"/>
            <w:vAlign w:val="center"/>
            <w:shd w:fill="FCEC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管理中心数据连接、表字段、SQL取数、多种数据源</w:t>
            </w:r>
          </w:p>
        </w:tc>
        <w:tc>
          <w:tcPr>
            <w:tcW w:type="dxa" w:w="2660"/>
            <w:vAlign w:val="center"/>
            <w:shd w:fill="FCEC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让API在后端执行可治理的查询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EF3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6. 治理与控制面</w:t>
            </w:r>
          </w:p>
        </w:tc>
        <w:tc>
          <w:tcPr>
            <w:tcW w:type="dxa" w:w="4500"/>
            <w:vAlign w:val="center"/>
            <w:shd w:fill="EEF3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工作空间、IAM、目录、应用、授权、审批、版本、可见性、监控与日志</w:t>
            </w:r>
          </w:p>
        </w:tc>
        <w:tc>
          <w:tcPr>
            <w:tcW w:type="dxa" w:w="2660"/>
            <w:vAlign w:val="center"/>
            <w:shd w:fill="EEF3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贯穿服务生命周期</w:t>
            </w:r>
          </w:p>
        </w:tc>
      </w:tr>
    </w:tbl>
    <w:p>
      <w:pPr>
        <w:spacing w:after="0"/>
      </w:pPr>
    </w:p>
    <w:p>
      <w:pPr>
        <w:pStyle w:val="Heading2"/>
      </w:pPr>
      <w:r>
        <w:t>1.2 两个视角：API提供方与调用方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800"/>
        <w:gridCol w:w="2360"/>
        <w:gridCol w:w="175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主流程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关键对象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API提供方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集群准备 → 审核人 → 创建 → 调试 → 发布 → 管理/编排 → 流控 → 主动授权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API目录、API、版本、审核单、流控策略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API已发布、可见、可被授权和稳定调用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API调用方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服务目录发现 → 申请授权 → 审批 → 获取认证信息 → SDK/工具调用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服务目录、应用、授权、AppKey/AppSecret或Token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在授权期、认证与流控范围内得到预期数据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官网将数据服务的使用者明确分成 API 开放方和 API 调用方，两条链路在发布后的服务目录、应用授权和审核中心会合。</w:t>
      </w:r>
      <w:r>
        <w:rPr>
          <w:rFonts w:ascii="Calibri" w:hAnsi="Calibri" w:eastAsia="Microsoft YaHei"/>
          <w:b/>
          <w:color w:val="2E74B5"/>
          <w:sz w:val="18"/>
        </w:rPr>
        <w:t xml:space="preserve"> [S01/S11/S12/S17]</w:t>
      </w:r>
    </w:p>
    <w:p>
      <w:pPr>
        <w:pStyle w:val="Heading2"/>
      </w:pPr>
      <w:r>
        <w:t>1.3 平台总览是运营驾驶舱</w:t>
      </w:r>
    </w:p>
    <w:p>
      <w:pPr/>
      <w:r>
        <w:rPr>
          <w:rFonts w:ascii="Calibri" w:hAnsi="Calibri" w:eastAsia="Microsoft YaHei"/>
        </w:rPr>
        <w:t>总览页从 API 和 APP 两个视角统计已发布/开发中、授权关系、调用总量、成功/失败、合法/非法请求、调用趋势和 TOP5。这说明产品并不只关注开发，还把服务产品和消费应用作为运营对象。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97285"/>
            <wp:docPr id="3" name="Picture 3" descr="华为云 DataArts Studio 数据服务产品截图：图2 API视角数据统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01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9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  API视角数据统计：发布、调用趋势、调用率/时长/次数 TOP5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9446"/>
            <wp:docPr id="4" name="Picture 4" descr="华为云 DataArts Studio 数据服务产品截图：图3 APP视角数据统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01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  APP视角数据统计：认证调用与应用消费表现</w:t>
      </w:r>
    </w:p>
    <w:p>
      <w:pPr>
        <w:pStyle w:val="Heading1"/>
      </w:pPr>
      <w:r>
        <w:t>2 部署与网络架构</w:t>
      </w:r>
    </w:p>
    <w:p>
      <w:pPr/>
      <w:r>
        <w:rPr>
          <w:rFonts w:ascii="Calibri" w:hAnsi="Calibri" w:eastAsia="Microsoft YaHei"/>
        </w:rPr>
        <w:t>专享版集群位于资源租户区，使用 ELB 对集群节点做负载均衡。用户 VPC 内的终端节点通过终端节点服务访问集群；如开启公网入口，还可通过绑定在 ELB 上的 EIP 访问。</w:t>
      </w:r>
      <w:r>
        <w:rPr>
          <w:rFonts w:ascii="Calibri" w:hAnsi="Calibri" w:eastAsia="Microsoft YaHei"/>
          <w:b/>
          <w:color w:val="2E74B5"/>
          <w:sz w:val="18"/>
        </w:rPr>
        <w:t xml:space="preserve"> [S03]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99301"/>
            <wp:docPr id="5" name="Picture 5" descr="华为云 DataArts Studio 数据服务产品截图：图1 专享版集群网络架构说明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14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5  官方专享版集群网络架构：VPC终端节点、终端节点服务、ELB、节点与EIP</w:t>
      </w:r>
    </w:p>
    <w:p>
      <w:pPr>
        <w:pStyle w:val="Heading2"/>
      </w:pPr>
      <w:r>
        <w:t>2.1 四种访问入口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000"/>
        <w:gridCol w:w="3760"/>
        <w:gridCol w:w="31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是否默认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关键前提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内网地址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 VPC 或通过终端节点打通的内部调用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用户 VPC 终端节点 IP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外网地址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否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本地、跨网或公网业务系统调用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创建集群时开启公网入口并绑定 EIP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内网域名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否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 VPC 内用稳定域名代替内网 IP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绑定自定义内网域名并与内网地址关联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公网域名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否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互联网调用和可管理的公共入口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已注册域名 + 已开启公网入口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安全组：</w:t>
      </w:r>
      <w:r>
        <w:rPr>
          <w:rFonts w:ascii="Calibri" w:hAnsi="Calibri" w:eastAsia="Microsoft YaHei"/>
        </w:rPr>
        <w:t>如果从公网或其他安全组调用，入方向需按需放行 80/443。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后端连通：</w:t>
      </w:r>
      <w:r>
        <w:rPr>
          <w:rFonts w:ascii="Calibri" w:hAnsi="Calibri" w:eastAsia="Microsoft YaHei"/>
        </w:rPr>
        <w:t>如果后端服务在公网或其他安全组，出方向需放行后端地址与监听端口。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路由：</w:t>
      </w:r>
      <w:r>
        <w:rPr>
          <w:rFonts w:ascii="Calibri" w:hAnsi="Calibri" w:eastAsia="Microsoft YaHei"/>
        </w:rPr>
        <w:t>物理机纳管网段与集群网段不一致时，需在集群详情中配置路由。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可用性：</w:t>
      </w:r>
      <w:r>
        <w:rPr>
          <w:rFonts w:ascii="Calibri" w:hAnsi="Calibri" w:eastAsia="Microsoft YaHei"/>
        </w:rPr>
        <w:t>采购时可选单 AZ 或 2-10 个 AZ 的多 AZ 方式；官网推荐多 AZ 以提升容灾能力。</w:t>
      </w:r>
    </w:p>
    <w:p>
      <w:pPr/>
      <w:r>
        <w:rPr>
          <w:rFonts w:ascii="Calibri" w:hAnsi="Calibri" w:eastAsia="Microsoft YaHei"/>
        </w:rPr>
        <w:t>专享集群创建完成后不支持切换 VPC、子网和安全组，因此这些是上线前必须确定的架构决策。</w:t>
      </w:r>
      <w:r>
        <w:rPr>
          <w:rFonts w:ascii="Calibri" w:hAnsi="Calibri" w:eastAsia="Microsoft YaHei"/>
          <w:b/>
          <w:color w:val="2E74B5"/>
          <w:sz w:val="18"/>
        </w:rPr>
        <w:t xml:space="preserve"> [S03]</w:t>
      </w:r>
    </w:p>
    <w:p>
      <w:pPr>
        <w:pStyle w:val="Heading2"/>
      </w:pPr>
      <w:r>
        <w:t>2.2 容量与运行规格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100"/>
        <w:gridCol w:w="2850"/>
        <w:gridCol w:w="271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专享集群规格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节点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最大支持发布API数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官网标注延时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小规格 8U16G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500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&lt;20 ms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中规格 16U32G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1000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&lt;15 ms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大规格 32U64G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2000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&lt;10 ms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上表是官网规格页给出的产品级参数；实际端到端响应还受网络、数据源、SQL复杂度和返回量影响，不应把该数值当作所有业务的应用级 SLA。</w:t>
      </w:r>
      <w:r>
        <w:rPr>
          <w:rFonts w:ascii="Calibri" w:hAnsi="Calibri" w:eastAsia="Microsoft YaHei"/>
          <w:b/>
          <w:color w:val="2E74B5"/>
          <w:sz w:val="18"/>
        </w:rPr>
        <w:t xml:space="preserve"> [S02]</w:t>
      </w:r>
    </w:p>
    <w:p>
      <w:pPr>
        <w:pStyle w:val="Heading1"/>
      </w:pPr>
      <w:r>
        <w:t>3 核心对象模型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架构归纳  </w:t>
      </w:r>
      <w:r>
        <w:rPr>
          <w:rFonts w:ascii="Calibri" w:hAnsi="Calibri" w:eastAsia="Microsoft YaHei"/>
          <w:color w:val="0B2545"/>
          <w:sz w:val="21"/>
        </w:rPr>
        <w:t>数据服务的真正管理单元不是一个 API URL，而是“工作空间 + 专享集群 + API产品 + 消费应用 + 授权/审批 + 运行策略”共同组成的服务上下文。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3330"/>
        <w:gridCol w:w="243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定位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关联要素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架构价值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DataArts Studio实例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顶层产品载体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工作空间、专享集群增量包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提供数据治理的统一入口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工作空间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组织、权限和配额边界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API、数据连接、审核人、集群共享关系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确定谁可见、谁可开发与审核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专享集群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API运行时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VPC、子网、安全组、ELB、节点、域名、日志/监控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承载已发布 API 并提供稳定入口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API目录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API分类与检索单元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API、服务目录路径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组织开发和消费视图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数据服务产品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路径、协议、请求方式、参数、取数逻辑、认证、版本、可见性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定义对外稳定契约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API编排工作流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组合型 API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入口 API、普通 API、条件、并行、输出处理算子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无需复杂代码即可复用和重组服务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 APP/IAM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API消费身份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AppKey/AppSecret 或 IAM 身份、已绑定 API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将授权与真实调用方绑定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API与消费身份的时效关系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API、应用/白名单、截止时间、集群、Static参数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决定谁在什么范围内可以调用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审核单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治理工作流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发布、授权、续约、解除授权等操作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把高风险变更从直接操作变为可审计流程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流控/监控/日志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运行保障对象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API、用户、应用、集群、指标、访问记录</w:t>
            </w:r>
          </w:p>
        </w:tc>
        <w:tc>
          <w:tcPr>
            <w:tcW w:type="dxa" w:w="24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保护后端、定位异常、支持审计</w:t>
            </w:r>
          </w:p>
        </w:tc>
      </w:tr>
    </w:tbl>
    <w:p>
      <w:pPr>
        <w:spacing w:after="0"/>
      </w:pPr>
    </w:p>
    <w:p>
      <w:pPr>
        <w:pStyle w:val="Heading2"/>
      </w:pPr>
      <w:r>
        <w:t>3.1 关系主链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开发关系：</w:t>
      </w:r>
      <w:r>
        <w:rPr>
          <w:rFonts w:ascii="Calibri" w:hAnsi="Calibri" w:eastAsia="Microsoft YaHei"/>
        </w:rPr>
        <w:t>工作空间 → API目录 → API/编排 → 调试 → 版本 → 集群发布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消费关系：</w:t>
      </w:r>
      <w:r>
        <w:rPr>
          <w:rFonts w:ascii="Calibri" w:hAnsi="Calibri" w:eastAsia="Microsoft YaHei"/>
        </w:rPr>
        <w:t>服务目录中的已发布API → 应用 → 授权/审批 → 认证信息 → 实际调用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网络关系：</w:t>
      </w:r>
      <w:r>
        <w:rPr>
          <w:rFonts w:ascii="Calibri" w:hAnsi="Calibri" w:eastAsia="Microsoft YaHei"/>
        </w:rPr>
        <w:t>用户 VPC 终端节点或 EIP/域名 → ELB → 专享集群节点 → 后端数据源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治理关系：</w:t>
      </w:r>
      <w:r>
        <w:rPr>
          <w:rFonts w:ascii="Calibri" w:hAnsi="Calibri" w:eastAsia="Microsoft YaHei"/>
        </w:rPr>
        <w:t>开发/调用操作 → 审核单 → 审批生效 → 监控/日志 → 变更或故障处理</w:t>
      </w:r>
    </w:p>
    <w:p>
      <w:pPr>
        <w:pStyle w:val="Heading1"/>
      </w:pPr>
      <w:r>
        <w:t>4 API提供方：服务生产与生命周期</w:t>
      </w:r>
    </w:p>
    <w:p>
      <w:pPr/>
      <w:r>
        <w:rPr>
          <w:rFonts w:ascii="Calibri" w:hAnsi="Calibri" w:eastAsia="Microsoft YaHei"/>
        </w:rPr>
        <w:t>官网给出的提供方主流程是：管理专享集群 → 新建审核人 → 创建 API → 调试 → 发布 → 管理/编排 → 可选流控 → 授权。</w:t>
      </w:r>
      <w:r>
        <w:rPr>
          <w:rFonts w:ascii="Calibri" w:hAnsi="Calibri" w:eastAsia="Microsoft YaHei"/>
          <w:b/>
          <w:color w:val="2E74B5"/>
          <w:sz w:val="18"/>
        </w:rPr>
        <w:t xml:space="preserve"> [S01]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360"/>
        <w:gridCol w:w="235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主要动作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出口条件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准备运行时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购买专享集群，决定 AZ、VPC、子网、安全组、公网入口，为工作空间分配 API 配额。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集群可运行，网络可达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准备数据连接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在管理中心配置数据源连接，让 API 开发时能读取表与字段。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数据源可连通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组织 API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建立 API 目录，设置名称、请求Path、协议、方法、认证、可见性、审核人、入参。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服务契约成形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实现取数逻辑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选择配置式或脚本/MyBatis式，定义请求参数、返回参数、排序和分页。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数据契约可执行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调试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在指定集群上填写参数并查看请求与返回结果；触发数据源与超时问题时回到开发页修正。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功能与性能基线通过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审核与发布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选择已调试通过的集群发布；非审核人提交审批，审批生效后 API 才能被调用。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API进入运行态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运营与变更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管理版本、可见性、停用/恢复、下线/删除、复制、同步、导入导出、授权、流控和监控。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服务可持续演进</w:t>
            </w:r>
          </w:p>
        </w:tc>
      </w:tr>
    </w:tbl>
    <w:p>
      <w:pPr>
        <w:spacing w:after="0"/>
      </w:pPr>
    </w:p>
    <w:p>
      <w:pPr>
        <w:pStyle w:val="Heading2"/>
      </w:pPr>
      <w:r>
        <w:t>4.1 两种主要API生产模式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00"/>
        <w:gridCol w:w="2250"/>
        <w:gridCol w:w="236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实现方式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优势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主要约束/适用性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配置式 API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在界面中选数据源、连接、库表和字段，配置请求/返回/排序参数与操作符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无需编码，上手快，输入和返回契约可视化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适合单表或规则化查询；官网说明暂不支持 Hive 中文表/列场景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脚本/MyBatis API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编写 SQL 或 MyBatis 动态语句，再解析参数、绑定类型并测试 SQL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可表达复杂逻辑，MyBatis 支持更丰富的 Body 参数类型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需要 SQL 能力，必须审视动态条件、超时与返回量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API编排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拖拽入口 API、普通 API、条件、并行、输出处理算子形成工作流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减少上层多次调用，支持结果映射和格式转换</w:t>
            </w:r>
          </w:p>
        </w:tc>
        <w:tc>
          <w:tcPr>
            <w:tcW w:type="dxa" w:w="2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仅 3.0.6+ 专享集群；工作流无环、无孤立算子、最多20层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当前国际站用户指南的创建章节主要详解配置式和脚本/MyBatis式；API 参考的创建接口还枚举了注册、Groovy和编排类型。这里将用户指南中的两种交互式开发作为应用架构主干。</w:t>
      </w:r>
      <w:r>
        <w:rPr>
          <w:rFonts w:ascii="Calibri" w:hAnsi="Calibri" w:eastAsia="Microsoft YaHei"/>
          <w:b/>
          <w:color w:val="2E74B5"/>
          <w:sz w:val="18"/>
        </w:rPr>
        <w:t xml:space="preserve"> [S04/S05/S09/S19]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84425"/>
            <wp:docPr id="6" name="Picture 6" descr="华为云 DataArts Studio 数据服务产品截图：图1 基本配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7696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6  API基本配置：名称、目录、路径、协议、认证、可见性与入参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27169"/>
            <wp:docPr id="7" name="Picture 7" descr="华为云 DataArts Studio 数据服务产品截图：图3 添加参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7696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7  从数据表字段选择请求、返回与排序参数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17018"/>
            <wp:docPr id="8" name="Picture 8" descr="华为云 DataArts Studio 数据服务产品截图：图8 测试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7696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8  API在线测试：左侧配参，右侧查看请求与返回结果</w:t>
      </w:r>
    </w:p>
    <w:p>
      <w:pPr>
        <w:pStyle w:val="Heading2"/>
      </w:pPr>
      <w:r>
        <w:t>4.2 API契约并非只是一个URL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920"/>
        <w:gridCol w:w="269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契约维度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包含内容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架构作用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识别与路由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API名称、API目录、请求Path、HTTP/HTTPS、GET/POST</w:t>
            </w:r>
          </w:p>
        </w:tc>
        <w:tc>
          <w:tcPr>
            <w:tcW w:type="dxa" w:w="2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决定如何被发现和访问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输入契约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Query/Header/Path/Body/Static，类型、必填、默认值、空值、校验规则</w:t>
            </w:r>
          </w:p>
        </w:tc>
        <w:tc>
          <w:tcPr>
            <w:tcW w:type="dxa" w:w="2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在进入后端前统一校验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数据逻辑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数据源/库表/字段/操作符，或 SQL/MyBatis 脚本</w:t>
            </w:r>
          </w:p>
        </w:tc>
        <w:tc>
          <w:tcPr>
            <w:tcW w:type="dxa" w:w="2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将应用逻辑与数据访问逻辑解耦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输出契约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返回字段名、类型、排序、分页、是否返回总条数</w:t>
            </w:r>
          </w:p>
        </w:tc>
        <w:tc>
          <w:tcPr>
            <w:tcW w:type="dxa" w:w="2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稳定上层应用依赖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治理属性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审核人、安全认证、可见性、标签、访问日志、最低保留期限</w:t>
            </w:r>
          </w:p>
        </w:tc>
        <w:tc>
          <w:tcPr>
            <w:tcW w:type="dxa" w:w="2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把发布、共享、审计和下线放进同一契约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请求参数总大小也有明确限制：Query+Path 最大 32KB，Header 最大 128KB，Body 最大 128KB。</w:t>
      </w:r>
      <w:r>
        <w:rPr>
          <w:rFonts w:ascii="Calibri" w:hAnsi="Calibri" w:eastAsia="Microsoft YaHei"/>
          <w:b/>
          <w:color w:val="2E74B5"/>
          <w:sz w:val="18"/>
        </w:rPr>
        <w:t xml:space="preserve"> [S04]</w:t>
      </w:r>
    </w:p>
    <w:p>
      <w:pPr>
        <w:pStyle w:val="Heading2"/>
      </w:pPr>
      <w:r>
        <w:t>4.3 调试、审核、发布与版本演进</w:t>
      </w:r>
    </w:p>
    <w:p>
      <w:pPr/>
      <w:r>
        <w:rPr>
          <w:rFonts w:ascii="Calibri" w:hAnsi="Calibri" w:eastAsia="Microsoft YaHei"/>
        </w:rPr>
        <w:t>API 只有发布后才能被调用。发布时选择已调试通过的集群；若操作人不具备审核人权限，发布会进入审批。</w:t>
      </w:r>
      <w:r>
        <w:rPr>
          <w:rFonts w:ascii="Calibri" w:hAnsi="Calibri" w:eastAsia="Microsoft YaHei"/>
          <w:b/>
          <w:color w:val="2E74B5"/>
          <w:sz w:val="18"/>
        </w:rPr>
        <w:t xml:space="preserve"> [S06/S07/S17]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27819"/>
            <wp:docPr id="9" name="Picture 9" descr="华为云 DataArts Studio 数据服务产品截图：图1 选择集群发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08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9  发布API时选择调试通过的专享集群</w:t>
      </w:r>
    </w:p>
    <w:p>
      <w:pPr/>
      <w:r>
        <w:rPr>
          <w:rFonts w:ascii="Calibri" w:hAnsi="Calibri" w:eastAsia="Microsoft YaHei"/>
        </w:rPr>
        <w:t>专享版通过“编辑已发布API→再次调试→再发布”形成新版本。系统最多保留最近10条版本记录，支持查看、删除、发布和两版本对比。</w:t>
      </w:r>
      <w:r>
        <w:rPr>
          <w:rFonts w:ascii="Calibri" w:hAnsi="Calibri" w:eastAsia="Microsoft YaHei"/>
          <w:b/>
          <w:color w:val="2E74B5"/>
          <w:sz w:val="18"/>
        </w:rPr>
        <w:t xml:space="preserve"> [S08]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088405"/>
            <wp:docPr id="10" name="Picture 10" descr="华为云 DataArts Studio 数据服务产品截图：图3 API版本管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39-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8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10  API版本管理：历史版本、发布与版本对比入口</w:t>
      </w:r>
    </w:p>
    <w:p>
      <w:pPr>
        <w:pStyle w:val="Heading2"/>
      </w:pPr>
      <w:r>
        <w:t>4.4 API编排是平台内的轻量服务组合层</w:t>
      </w:r>
    </w:p>
    <w:p>
      <w:pPr/>
      <w:r>
        <w:rPr>
          <w:rFonts w:ascii="Calibri" w:hAnsi="Calibri" w:eastAsia="Microsoft YaHei"/>
        </w:rPr>
        <w:t>API 编排通过拖拽工作流把多个已开发 API 以串行或并行方式组合，并通过入口 API 对外提供一个统一结果。</w:t>
      </w:r>
      <w:r>
        <w:rPr>
          <w:rFonts w:ascii="Calibri" w:hAnsi="Calibri" w:eastAsia="Microsoft YaHei"/>
          <w:b/>
          <w:color w:val="2E74B5"/>
          <w:sz w:val="18"/>
        </w:rPr>
        <w:t xml:space="preserve"> [S09]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3300"/>
        <w:gridCol w:w="32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算子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是否必须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位置/数量约束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入口API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必须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只能1个，位于最上游，向下1个分支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定义工作流名称、URL、认证与请求参数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普通API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至少1个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位于中间层，上下游均有算子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执行数据查询并传递请求/结果变量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条件分支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2-20个分支，多分支满足时只执行第一个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基于上游参数或结果集选择路径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并行处理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可选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2-20个分支，必须配置失败策略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并发执行互不影响的多分支逻辑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输出处理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必须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只能1个，位于最下游，直接上游必须是普通API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错误码映射、结果集映射和格式转换</w:t>
            </w:r>
          </w:p>
        </w:tc>
      </w:tr>
    </w:tbl>
    <w:p>
      <w:pPr>
        <w:spacing w:after="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67116"/>
            <wp:docPr id="11" name="Picture 11" descr="华为云 DataArts Studio 数据服务产品截图：图1 API工作流编排页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24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11  API工作流编排页：算子面板、画布与算子配置面板</w:t>
      </w:r>
    </w:p>
    <w:p>
      <w:pPr>
        <w:pStyle w:val="Heading1"/>
      </w:pPr>
      <w:r>
        <w:t>5 API调用方：服务发现、授权与安全</w:t>
      </w:r>
    </w:p>
    <w:p>
      <w:pPr/>
      <w:r>
        <w:rPr>
          <w:rFonts w:ascii="Calibri" w:hAnsi="Calibri" w:eastAsia="Microsoft YaHei"/>
        </w:rPr>
        <w:t>调用方从“调用API &gt; 服务目录”发现已发布API。如果开发者没有主动授权，调用方需将API申请绑定到符合认证类型的应用，待审批后才可调用。</w:t>
      </w:r>
      <w:r>
        <w:rPr>
          <w:rFonts w:ascii="Calibri" w:hAnsi="Calibri" w:eastAsia="Microsoft YaHei"/>
          <w:b/>
          <w:color w:val="2E74B5"/>
          <w:sz w:val="18"/>
        </w:rPr>
        <w:t xml:space="preserve"> [S12]</w:t>
      </w:r>
    </w:p>
    <w:p>
      <w:pPr>
        <w:pStyle w:val="Heading2"/>
      </w:pPr>
      <w:r>
        <w:t>5.1 认证方式对比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3110"/>
        <w:gridCol w:w="2400"/>
        <w:gridCol w:w="135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认证方式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安全级别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授权/认证机制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调用方式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APP认证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高</w:t>
            </w:r>
          </w:p>
        </w:tc>
        <w:tc>
          <w:tcPr>
            <w:tcW w:type="dxa" w:w="31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API授权给APP应用，使用AppKey/AppSecret签名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推荐SDK；也可使用API工具生成签名后调用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正式系统首选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IAM认证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31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API授权给IAM应用或白名单，通过IAM服务获取用户Token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API工具携带Token调用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适合账号身份集成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无认证</w:t>
            </w:r>
          </w:p>
        </w:tc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低</w:t>
            </w:r>
          </w:p>
        </w:tc>
        <w:tc>
          <w:tcPr>
            <w:tcW w:type="dxa" w:w="31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不需授权，任意用户可访问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API工具；Query/Path入参时可用浏览器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仅测试，不推荐正式使用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官网明确推荐“APP认证 + SDK调用”。无认证存在数据泄露、数据库高并发和 SQL 注入等风险，不应作为正式业务的常规入口。</w:t>
      </w:r>
      <w:r>
        <w:rPr>
          <w:rFonts w:ascii="Calibri" w:hAnsi="Calibri" w:eastAsia="Microsoft YaHei"/>
          <w:b/>
          <w:color w:val="2E74B5"/>
          <w:sz w:val="18"/>
        </w:rPr>
        <w:t xml:space="preserve"> [S10]</w:t>
      </w:r>
    </w:p>
    <w:p>
      <w:pPr>
        <w:pStyle w:val="Heading2"/>
      </w:pPr>
      <w:r>
        <w:t>5.2 应用是运行时授权主体</w:t>
      </w:r>
    </w:p>
    <w:p>
      <w:pPr/>
      <w:r>
        <w:rPr>
          <w:rFonts w:ascii="Calibri" w:hAnsi="Calibri" w:eastAsia="Microsoft YaHei"/>
        </w:rPr>
        <w:t>应用并非简单的分组标签，它承载 API 授权和调用凭证。APP 认证API只能授权给APP类型应用，IAM认证API只能授权给IAM类型应用，也可按白名单授权 IAM 调用方。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06931"/>
            <wp:docPr id="12" name="Picture 12" descr="华为云 DataArts Studio 数据服务产品截图：图4 添加授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33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12  将APP认证API授权给应用：截止时间、集群、Static参数与应用选择</w:t>
      </w:r>
    </w:p>
    <w:p>
      <w:pPr/>
      <w:r>
        <w:rPr>
          <w:rFonts w:ascii="Calibri" w:hAnsi="Calibri" w:eastAsia="Microsoft YaHei"/>
        </w:rPr>
        <w:t>授权关系还可包含截止时间、发布集群以及 Static 入参值。因此“API可见”不等于“API可调用”：可见性控制服务目录发现，授权与认证控制实际访问。</w:t>
      </w:r>
    </w:p>
    <w:p>
      <w:pPr>
        <w:pStyle w:val="Heading2"/>
      </w:pPr>
      <w:r>
        <w:t>5.3 推荐调用路径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在服务目录选择已发布API，核对路径、方法、入参和可见性。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创建或选择与API认证类型一致的应用，申请或由开发者主动授权。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审核通过后获取调用地址、AppKey/AppSecret或IAM Token，同时确认授权截止时间。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使用官网推荐SDK签名调用APP认证API，对超时、重试、状态码和分页做应用端处理。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</w:rPr>
        <w:t>根据访问日志、调用趋势、延时和4xx/5xx指标持续运营授权与调用。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12421"/>
            <wp:docPr id="13" name="Picture 13" descr="华为云 DataArts Studio 数据服务产品截图：图3 下载SDK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7697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13  从API调用信息页下载SDK代码示例</w:t>
      </w:r>
    </w:p>
    <w:p>
      <w:pPr>
        <w:pStyle w:val="Heading1"/>
      </w:pPr>
      <w:r>
        <w:t>6 治理、可观测与运营架构</w:t>
      </w:r>
    </w:p>
    <w:p>
      <w:pPr>
        <w:pStyle w:val="Heading2"/>
      </w:pPr>
      <w:r>
        <w:t>6.1 审核中心：把发布和授权放进可审计流程</w:t>
      </w:r>
    </w:p>
    <w:p>
      <w:pPr/>
      <w:r>
        <w:rPr>
          <w:rFonts w:ascii="Calibri" w:hAnsi="Calibri" w:eastAsia="Microsoft YaHei"/>
        </w:rPr>
        <w:t>审核中心面向 API 开放方与调用方。当发布人没有审核人权限时，发布要提交审核；具备审核人权限时可直接发布。发起人可在待审核阶段撤销申请。</w:t>
      </w:r>
      <w:r>
        <w:rPr>
          <w:rFonts w:ascii="Calibri" w:hAnsi="Calibri" w:eastAsia="Microsoft YaHei"/>
          <w:b/>
          <w:color w:val="2E74B5"/>
          <w:sz w:val="18"/>
        </w:rPr>
        <w:t xml:space="preserve"> [S17]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996516"/>
            <wp:docPr id="14" name="Picture 14" descr="华为云 DataArts Studio 数据服务产品截图：图2 审核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12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9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14  审核中心待审核列表与“审核”入口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角色边界  </w:t>
      </w:r>
      <w:r>
        <w:rPr>
          <w:rFonts w:ascii="Calibri" w:hAnsi="Calibri" w:eastAsia="Microsoft YaHei"/>
          <w:color w:val="0B2545"/>
          <w:sz w:val="21"/>
        </w:rPr>
        <w:t>审核人可来自工作空间管理员或开发者；运维者和访客不能添加为审核人。工作空间管理员默认也没有审批权，需将自己加入审核人。</w:t>
      </w:r>
    </w:p>
    <w:p>
      <w:pPr>
        <w:pStyle w:val="Heading2"/>
      </w:pPr>
      <w:r>
        <w:t>6.2 流控策略：独立于API的后端保护对象</w:t>
      </w:r>
    </w:p>
    <w:p>
      <w:pPr/>
      <w:r>
        <w:rPr>
          <w:rFonts w:ascii="Calibri" w:hAnsi="Calibri" w:eastAsia="Microsoft YaHei"/>
        </w:rPr>
        <w:t>流控策略可按用户、应用和时间段维度限制API调用次数。策略与API相互独立，只有绑定后才生效；同一环境中一个API只能绑定一个流控策略，一个策略可绑定多个API。</w:t>
      </w:r>
      <w:r>
        <w:rPr>
          <w:rFonts w:ascii="Calibri" w:hAnsi="Calibri" w:eastAsia="Microsoft YaHei"/>
          <w:b/>
          <w:color w:val="2E74B5"/>
          <w:sz w:val="18"/>
        </w:rPr>
        <w:t xml:space="preserve"> [S13]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60"/>
        <w:gridCol w:w="270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限流维度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关系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API流量限制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单个API在单位时间内的请求上限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顶层总量边界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用户流量限制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单个用户在单位时间内的请求上限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不超过API流量限制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应用流量限制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单个APP在单位时间内的请求上限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不超过用户流量限制</w:t>
            </w:r>
          </w:p>
        </w:tc>
      </w:tr>
    </w:tbl>
    <w:p>
      <w:pPr>
        <w:spacing w:after="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866968"/>
            <wp:docPr id="15" name="Picture 15" descr="华为云 DataArts Studio 数据服务产品截图：图1 创建流控策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311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66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15  创建API流控策略：时长、API、用户与应用维度限制</w:t>
      </w:r>
    </w:p>
    <w:p>
      <w:pPr>
        <w:pStyle w:val="Heading2"/>
      </w:pPr>
      <w:r>
        <w:t>6.3 两级可观测：产品运营 + 集群资源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3980"/>
        <w:gridCol w:w="18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观测层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关键内容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API/APP运营层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数据服务总览、访问日志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发布数、授权应用、总调用、成功/失败、合法/非法、TOP5、单次请求详情</w:t>
            </w:r>
          </w:p>
        </w:tc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理解服务被谁、以什么结果消费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集群运行层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Cloud Eye（CES）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平均/最大延时、调用次数、4xx/5xx、健康检查、CPU、内存、网络连接</w:t>
            </w:r>
          </w:p>
        </w:tc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理解专享集群是否健康和需要扩容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日志留存层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集群节点、LTS或OBS转储</w:t>
            </w:r>
          </w:p>
        </w:tc>
        <w:tc>
          <w:tcPr>
            <w:tcW w:type="dxa" w:w="39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API访问记录、请求ID、API/应用、状态码、请求时长</w:t>
            </w:r>
          </w:p>
        </w:tc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故障定位、调用追溯和长期审计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Cloud Eye 监控指标命名空间为 SYS.DLM，原始指标周期为1分钟。需先在专享集群中开启 CES 监控。</w:t>
      </w:r>
      <w:r>
        <w:rPr>
          <w:rFonts w:ascii="Calibri" w:hAnsi="Calibri" w:eastAsia="Microsoft YaHei"/>
          <w:b/>
          <w:color w:val="2E74B5"/>
          <w:sz w:val="18"/>
        </w:rPr>
        <w:t xml:space="preserve"> [S14/S15]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31696"/>
            <wp:docPr id="16" name="Picture 16" descr="华为云 DataArts Studio 数据服务产品截图：图1 查看监控指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7692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16  Cloud Eye中的数据服务集群监控指标</w:t>
      </w:r>
    </w:p>
    <w:p>
      <w:pPr/>
      <w:r>
        <w:rPr>
          <w:rFonts w:ascii="Calibri" w:hAnsi="Calibri" w:eastAsia="Microsoft YaHei"/>
        </w:rPr>
        <w:t>API 访问日志默认保存在集群节点，专享版可转储到 LTS 或 OBS。产品页访问日志仅保留7天，长期审计应使用转储架构。</w:t>
      </w:r>
      <w:r>
        <w:rPr>
          <w:rFonts w:ascii="Calibri" w:hAnsi="Calibri" w:eastAsia="Microsoft YaHei"/>
          <w:b/>
          <w:color w:val="2E74B5"/>
          <w:sz w:val="18"/>
        </w:rPr>
        <w:t xml:space="preserve"> [S16]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64828"/>
            <wp:docPr id="17" name="Picture 17" descr="华为云 DataArts Studio 数据服务产品截图：图3 日志显示格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artsstudio_01_0900-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17  LTS中的API访问日志详情</w:t>
      </w:r>
    </w:p>
    <w:p>
      <w:pPr>
        <w:pStyle w:val="Heading2"/>
      </w:pPr>
      <w:r>
        <w:t>6.4 可见性、授权与认证是三个不同控制点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590"/>
        <w:gridCol w:w="3330"/>
        <w:gridCol w:w="169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控制点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回答的问题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主要选项/对象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不能替代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API可见性</w:t>
            </w:r>
          </w:p>
        </w:tc>
        <w:tc>
          <w:tcPr>
            <w:tcW w:type="dxa" w:w="25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谁能在服务目录看到API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当前工作空间、当前项目、当前租户；可额外按项目ID设置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不等于已授权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API授权</w:t>
            </w:r>
          </w:p>
        </w:tc>
        <w:tc>
          <w:tcPr>
            <w:tcW w:type="dxa" w:w="25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某个应用/账号是否允许调用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APP应用、IAM应用、IAM白名单、授权截止时间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不等于调用请求已认证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请求认证</w:t>
            </w:r>
          </w:p>
        </w:tc>
        <w:tc>
          <w:tcPr>
            <w:tcW w:type="dxa" w:w="25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这次请求是否属于已授权主体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AppKey/AppSecret签名、IAM Token、无认证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不等于业务参数合法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参数校验/流控</w:t>
            </w:r>
          </w:p>
        </w:tc>
        <w:tc>
          <w:tcPr>
            <w:tcW w:type="dxa" w:w="25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请求内容与调用频率是否可接受</w:t>
            </w:r>
          </w:p>
        </w:tc>
        <w:tc>
          <w:tcPr>
            <w:tcW w:type="dxa" w:w="333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类型、长度/枚举/正则、必填、API/用户/应用限额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不等于后端数据一定有结果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上表的四点区分是架构归纳，官网分别在创建API、设置可见、授权、调用方式和流控页面描述了各自机制。</w:t>
      </w:r>
      <w:r>
        <w:rPr>
          <w:rFonts w:ascii="Calibri" w:hAnsi="Calibri" w:eastAsia="Microsoft YaHei"/>
          <w:b/>
          <w:color w:val="2E74B5"/>
          <w:sz w:val="18"/>
        </w:rPr>
        <w:t xml:space="preserve"> [S04/S10/S11/S13/S20]</w:t>
      </w:r>
    </w:p>
    <w:p>
      <w:pPr>
        <w:pStyle w:val="Heading1"/>
      </w:pPr>
      <w:r>
        <w:t>7 开放接口与集成架构</w:t>
      </w:r>
    </w:p>
    <w:p>
      <w:pPr/>
      <w:r>
        <w:rPr>
          <w:rFonts w:ascii="Calibri" w:hAnsi="Calibri" w:eastAsia="Microsoft YaHei"/>
        </w:rPr>
        <w:t>除控制台外，DataArts Studio 还开放数据服务管理 API，便于用代码管理 API、应用、目录、授权和集群。这些是控制面接口，与业务应用调用已发布数据API的运行时入口不同。</w:t>
      </w:r>
      <w:r>
        <w:rPr>
          <w:rFonts w:ascii="Calibri" w:hAnsi="Calibri" w:eastAsia="Microsoft YaHei"/>
          <w:b/>
          <w:color w:val="2E74B5"/>
          <w:sz w:val="18"/>
        </w:rPr>
        <w:t xml:space="preserve"> [S18]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官方接口类型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在应用架构中的作用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创建、查询、更新、发布、调试与生命周期管理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申请管理接口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处理API申请与审批关系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消息管理接口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处理消息和通知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查询API已授权APP及APP已拥有API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服务目录管理接口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创建、更新、查询、移动、删除目录与API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网关管理接口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管理数据服务网关相关信息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创建、查询与管理调用应用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总览接口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获取数据服务总览统计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集群管理接口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查询和管理专享集群相关信息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创建API的控制面路径为 POST /v1/{project_id}/service/apis，请求头包含 X-Auth-Token 和必填的 workspace ID；Dlm-Type 可选用于指定 SHARED 或 EXCLUSIVE。</w:t>
      </w:r>
      <w:r>
        <w:rPr>
          <w:rFonts w:ascii="Calibri" w:hAnsi="Calibri" w:eastAsia="Microsoft YaHei"/>
          <w:b/>
          <w:color w:val="2E74B5"/>
          <w:sz w:val="18"/>
        </w:rPr>
        <w:t xml:space="preserve"> [S19]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集成建议  </w:t>
      </w:r>
      <w:r>
        <w:rPr>
          <w:rFonts w:ascii="Calibri" w:hAnsi="Calibri" w:eastAsia="Microsoft YaHei"/>
          <w:color w:val="0B2545"/>
          <w:sz w:val="21"/>
        </w:rPr>
        <w:t>将控制面自动化与业务数据API调用分开：前者由平台工程和发布流水线使用，后者由业务应用在授权、认证和流控边界内调用。</w:t>
      </w:r>
    </w:p>
    <w:p>
      <w:pPr>
        <w:pStyle w:val="Heading1"/>
      </w:pPr>
      <w:r>
        <w:t>8 非功能边界与选型判断</w:t>
      </w:r>
    </w:p>
    <w:p>
      <w:pPr>
        <w:pStyle w:val="Heading2"/>
      </w:pPr>
      <w:r>
        <w:t>8.1 返回量与分页边界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300"/>
        <w:gridCol w:w="3900"/>
        <w:gridCol w:w="231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API类型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数据源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官网默认/自定义规格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配置类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调试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DLI/DWS/MySQL/RDS/Hive/HBase/ClickHouse/Hetu/GBase/Doris/Oracle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10条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配置类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同上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100条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脚本/MyBatis类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测试SQL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10条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脚本/MyBatis类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调试/调用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DLI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默认分页100；自定义分页1000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脚本/MyBatis类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调试/调用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DWS/MySQL/RDS/Hive/HBase/ClickHouse/Hetu/GBase/Doris/Oracle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默认分页10；自定义分页2000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这些限制再次说明数据服务是交互式API，不是大规模数据导出通道。</w:t>
      </w:r>
      <w:r>
        <w:rPr>
          <w:rFonts w:ascii="Calibri" w:hAnsi="Calibri" w:eastAsia="Microsoft YaHei"/>
          <w:b/>
          <w:color w:val="2E74B5"/>
          <w:sz w:val="18"/>
        </w:rPr>
        <w:t xml:space="preserve"> [S02]</w:t>
      </w:r>
    </w:p>
    <w:p>
      <w:pPr>
        <w:pStyle w:val="Heading2"/>
      </w:pPr>
      <w:r>
        <w:t>8.2 关键架构质量属性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质量属性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产品机制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落地要点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可用性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集群多节点 + ELB；采购时可选多 AZ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通过监控和容量测试验证后端数据源是否也具备对等高可用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性能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官网给出集群规格、API数与延时标注；Cloud Eye有平均/最大延时、CPU、内存等指标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用业务SQL、真实返回量和并发建立性能基线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安全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VPC/安全组/HTTPS + APP/IAM + 可见性/授权/审批 + 参数校验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正式环境禁用无认证，缩小入方向范围，定期轮换应用密钥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可运维性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版本、编辑再发布、停用/下线、导入导出、访问日志与集群监控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把API发布和回退放入变更流程，并对版本与数据契约做回归测试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审计性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审核中心 + API/APP视角运营 + 访问日志转储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根据合规保留期设计 LTS/OBS 长期存储，不依赖产品页7天保留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治理性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工作空间、API目录、可见范围、应用、授权、标签、最低保留期限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明确API责任人、审核人、消费应用、数据口径与下线通知责任</w:t>
            </w:r>
          </w:p>
        </w:tc>
      </w:tr>
    </w:tbl>
    <w:p>
      <w:pPr>
        <w:spacing w:after="0"/>
      </w:pPr>
    </w:p>
    <w:p>
      <w:pPr>
        <w:pStyle w:val="Heading1"/>
      </w:pPr>
      <w:r>
        <w:t>9 建议的企业落地蓝图</w:t>
      </w: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建议架构  </w:t>
      </w:r>
      <w:r>
        <w:rPr>
          <w:rFonts w:ascii="Calibri" w:hAnsi="Calibri" w:eastAsia="Microsoft YaHei"/>
          <w:color w:val="0B2545"/>
          <w:sz w:val="21"/>
        </w:rPr>
        <w:t>生产环境采用专享版多 AZ 集群，以私网调用为主；只为确有跨网需求的API开启公网入口。正式调用默认APP认证+SDK，API发布和授权均经审批，并同时开启Cloud Eye、LTS/OBS转储与流控。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 xml:space="preserve">阶段1：建边界 </w:t>
      </w:r>
      <w:r>
        <w:rPr>
          <w:rFonts w:ascii="Calibri" w:hAnsi="Calibri" w:eastAsia="Microsoft YaHei"/>
        </w:rPr>
        <w:t>定义工作空间、产品/项目责任、IAM角色、审核人、API目录和命名规则。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 xml:space="preserve">阶段2：建运行时 </w:t>
      </w:r>
      <w:r>
        <w:rPr>
          <w:rFonts w:ascii="Calibri" w:hAnsi="Calibri" w:eastAsia="Microsoft YaHei"/>
        </w:rPr>
        <w:t>选择集群规格与 AZ，确定 VPC/子网/安全组，预留端点、域名和后端连通。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 xml:space="preserve">阶段3：建API产品模板 </w:t>
      </w:r>
      <w:r>
        <w:rPr>
          <w:rFonts w:ascii="Calibri" w:hAnsi="Calibri" w:eastAsia="Microsoft YaHei"/>
        </w:rPr>
        <w:t>统一 HTTPS、APP认证、参数校验、分页、错误码、日志、保留期和可见性默认值。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 xml:space="preserve">阶段4：建发布门禁 </w:t>
      </w:r>
      <w:r>
        <w:rPr>
          <w:rFonts w:ascii="Calibri" w:hAnsi="Calibri" w:eastAsia="Microsoft YaHei"/>
        </w:rPr>
        <w:t>把在线调试、数据契约检查、审批、版本记录和回退预案变成上线必经步骤。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 xml:space="preserve">阶段5：建消费运营 </w:t>
      </w:r>
      <w:r>
        <w:rPr>
          <w:rFonts w:ascii="Calibri" w:hAnsi="Calibri" w:eastAsia="Microsoft YaHei"/>
        </w:rPr>
        <w:t>将应用与真实消费方绑定，设置授权截止时间、流控和密钥轮换，按APP视角复盘消费。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 xml:space="preserve">阶段6：建可观测闭环 </w:t>
      </w:r>
      <w:r>
        <w:rPr>
          <w:rFonts w:ascii="Calibri" w:hAnsi="Calibri" w:eastAsia="Microsoft YaHei"/>
        </w:rPr>
        <w:t>以 Cloud Eye 指标观测集群，以总览观测API/APP，以LTS/OBS保留访问证据，为延时和4xx/5xx建立告警。</w:t>
      </w:r>
    </w:p>
    <w:p>
      <w:pPr>
        <w:pStyle w:val="Heading2"/>
      </w:pPr>
      <w:r>
        <w:t>9.1 上线前架构检查清单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VPC、子网、安全组和 AZ 已确定，因为集群创建后不支持切换。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从调用方到API入口、再到后端数据源的入/出方向网络均已验证。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API目录、责任人、审核人、可见性、最低保留期限和下线通知流程已定义。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正式API使用HTTPS与APP/IAM认证，无认证仅用于受控测试。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请求参数类型、必填、校验、默认值与返回契约已回归，不只验证正常路径。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目标并发、后端数据源容量、返回量与分页已通过真实SQL负载测试。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API/用户/应用三级流控值已与后端实际承载能力匹配。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Cloud Eye、延时与4xx/5xx告警、LTS/OBS转储和日志保留期已开启并验证。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版本变更、下线/停用、授权解除、密钥轮换和故障回退已有可执行预案。</w:t>
      </w:r>
    </w:p>
    <w:p>
      <w:pPr>
        <w:pStyle w:val="Heading2"/>
      </w:pPr>
      <w:r>
        <w:t>9.2 不建议使用数据服务的场景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大批量数据导出：</w:t>
      </w:r>
      <w:r>
        <w:rPr>
          <w:rFonts w:ascii="Calibri" w:hAnsi="Calibri" w:eastAsia="Microsoft YaHei"/>
        </w:rPr>
        <w:t>官网定位是小批量快速交互，大量数据应使用共享交换、文件分发或其他批处理方案。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对后端无容量约束的公开查询：</w:t>
      </w:r>
      <w:r>
        <w:rPr>
          <w:rFonts w:ascii="Calibri" w:hAnsi="Calibri" w:eastAsia="Microsoft YaHei"/>
        </w:rPr>
        <w:t>无认证与无流控会把数据泄露、SQL注入和数据库高并发风险直接暴露给上层。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需要复杂长时编排的业务流：</w:t>
      </w:r>
      <w:r>
        <w:rPr>
          <w:rFonts w:ascii="Calibri" w:hAnsi="Calibri" w:eastAsia="Microsoft YaHei"/>
        </w:rPr>
        <w:t>产品的 API 编排适合轻量串并行和映射转换，不应默认代替长事务、耗时任务与复杂补偿引擎。</w:t>
      </w:r>
    </w:p>
    <w:p>
      <w:pPr>
        <w:pStyle w:val="Heading1"/>
      </w:pPr>
      <w:r>
        <w:t>10 结论</w:t>
      </w:r>
    </w:p>
    <w:p>
      <w:pPr/>
      <w:r>
        <w:rPr>
          <w:rFonts w:ascii="Calibri" w:hAnsi="Calibri" w:eastAsia="Microsoft YaHei"/>
        </w:rPr>
        <w:t>DataArts Studio 数据服务的中心不是“生成一个查询接口”，而是把数据连接、服务契约、运行集群、消费身份与治理证据收拢到同一个生命周期。</w:t>
      </w:r>
    </w:p>
    <w:p>
      <w:pPr/>
      <w:r>
        <w:rPr>
          <w:rFonts w:ascii="Calibri" w:hAnsi="Calibri" w:eastAsia="Microsoft YaHei"/>
        </w:rPr>
        <w:t>从应用架构角度，最关键的四个设计点是：把专享集群视为独立运行时；把 API 视为带治理属性的数据产品；把应用与授权视为消费边界；把审批、流控、监控和日志视为上线必需的运行闭环。</w:t>
      </w: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最终判断  </w:t>
      </w:r>
      <w:r>
        <w:rPr>
          <w:rFonts w:ascii="Calibri" w:hAnsi="Calibri" w:eastAsia="Microsoft YaHei"/>
          <w:color w:val="0B2545"/>
          <w:sz w:val="21"/>
        </w:rPr>
        <w:t>如果目标是用可管理、可授权、可审计的方式向上层应用开放小批量数据查询，这套架构与目标高度匹配；如果目标是大量数据搬运、不受控的匿名开放或长时复杂流程编排，则应设计其他专用通道。</w:t>
      </w:r>
    </w:p>
    <w:p>
      <w:r>
        <w:br w:type="page"/>
      </w:r>
    </w:p>
    <w:p>
      <w:pPr>
        <w:pStyle w:val="Heading1"/>
      </w:pPr>
      <w:r>
        <w:t>附录A  官网“数据服务”页面地图</w:t>
      </w:r>
    </w:p>
    <w:p>
      <w:pPr/>
      <w:r>
        <w:rPr>
          <w:rFonts w:ascii="Calibri" w:hAnsi="Calibri" w:eastAsia="Microsoft YaHei"/>
        </w:rPr>
        <w:t>本次从“数据服务”根页面递归读取 52 个官方页面，共收集 106 张唯一官网原图。下表用于回溯功能范围，不表示所有页面都在正文逐张展示。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900"/>
        <w:gridCol w:w="4400"/>
        <w:gridCol w:w="900"/>
        <w:gridCol w:w="25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页面标题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原图数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官网更新时间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根页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2026-02-13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规格说明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2025-11-18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开发数据服务API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2025-09-09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调用数据服务API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管理并查看数据服务监控指标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2026-02-13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查看API访问日志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2025-12-10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配置数据服务审核中心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数据服务典型场景教程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2026-01-23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管理专享版集群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新建数据服务审核人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调试API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2025-01-20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编排API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配置API调用流控策略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授权API调用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申请API授权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通过不同方式调用API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数据服务支持的监控指标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2026-03-17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设置数据服务告警规则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查看数据服务监控指标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2026-08-21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场景说明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2026-01-23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准备工作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2026-01-23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开发API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授权API调用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配置方式生成API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脚本/MyBatis方式生成API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API版本管理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设置API可见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停用/恢复API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下线/删除API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复制API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同步API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全量导出/导出/导入API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编排API简介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2026-05-27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配置入口API算子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2026-03-17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配置条件分支算子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2024-12-18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配置并行处理算子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配置输出处理算子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2024-08-05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API编排典型配置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通过应用授权APP认证方式API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通过应用授权IAM认证方式API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通过白名单授权IAM认证方式API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调用API方式简介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2025-09-09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（推荐）通过SDK调用APP认证方式的API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2026-08-13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通过API工具调用APP认证方式的API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通过API工具调用IAM认证方式的API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通过API工具调用无认证方式的API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三级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通过浏览器调用无认证方式的API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2026-06-25 GMT+08:00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附录B  主要官方来源</w:t>
      </w:r>
    </w:p>
    <w:p>
      <w:pPr/>
      <w:r>
        <w:rPr>
          <w:rFonts w:ascii="Calibri" w:hAnsi="Calibri" w:eastAsia="Microsoft YaHei"/>
        </w:rPr>
        <w:t>以下链接为正文架构判断的主要证据页。截图均下载自对应页面内的原始产品图，未使用重绘界面冒充产品截图。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[S01] 数据服务简介：</w:t>
      </w:r>
      <w:hyperlink r:id="rId28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https://support.huaweicloud.com/intl/zh-cn/usermanual-dataartsstudio/dataartsstudio_01_0301.html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[S02] 规格说明：</w:t>
      </w:r>
      <w:hyperlink r:id="rId29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https://support.huaweicloud.com/intl/zh-cn/usermanual-dataartsstudio/dataartsstudio_01_0315.html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[S03] 管理专享版集群：</w:t>
      </w:r>
      <w:hyperlink r:id="rId30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https://support.huaweicloud.com/intl/zh-cn/usermanual-dataartsstudio/dataartsstudio_01_0314.html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[S04] 配置方式生成API：</w:t>
      </w:r>
      <w:hyperlink r:id="rId3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https://support.huaweicloud.com/intl/zh-cn/usermanual-dataartsstudio/dataartsstudio_01_0305.html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[S05] 脚本/MyBatis方式生成API：</w:t>
      </w:r>
      <w:hyperlink r:id="rId32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https://support.huaweicloud.com/intl/zh-cn/usermanual-dataartsstudio/dataartsstudio_01_0306.html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[S06] 调试API：</w:t>
      </w:r>
      <w:hyperlink r:id="rId3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https://support.huaweicloud.com/intl/zh-cn/usermanual-dataartsstudio/dataartsstudio_01_0316.html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[S07] 发布API：</w:t>
      </w:r>
      <w:hyperlink r:id="rId3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https://support.huaweicloud.com/intl/zh-cn/usermanual-dataartsstudio/dataartsstudio_01_0308.html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[S08] API版本管理：</w:t>
      </w:r>
      <w:hyperlink r:id="rId3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https://support.huaweicloud.com/intl/zh-cn/usermanual-dataartsstudio/dataartsstudio_01_0339.html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[S09] API编排简介：</w:t>
      </w:r>
      <w:hyperlink r:id="rId36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https://support.huaweicloud.com/intl/zh-cn/usermanual-dataartsstudio/dataartsstudio_01_0324.html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[S10] 调用API方式简介：</w:t>
      </w:r>
      <w:hyperlink r:id="rId3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https://support.huaweicloud.com/intl/zh-cn/usermanual-dataartsstudio/dataartsstudio_01_0309.html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[S11] 通过应用授权APP认证方式API：</w:t>
      </w:r>
      <w:hyperlink r:id="rId38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https://support.huaweicloud.com/intl/zh-cn/usermanual-dataartsstudio/dataartsstudio_01_0333.html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[S12] 申请API授权：</w:t>
      </w:r>
      <w:hyperlink r:id="rId39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https://support.huaweicloud.com/intl/zh-cn/usermanual-dataartsstudio/dataartsstudio_01_0334.html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[S13] 配置API调用流控策略：</w:t>
      </w:r>
      <w:hyperlink r:id="rId40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https://support.huaweicloud.com/intl/zh-cn/usermanual-dataartsstudio/dataartsstudio_01_0311.html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[S14] 数据服务支持的监控指标：</w:t>
      </w:r>
      <w:hyperlink r:id="rId4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https://support.huaweicloud.com/intl/zh-cn/usermanual-dataartsstudio/dataartsstudio_01_7690.html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[S15] 查看数据服务监控指标：</w:t>
      </w:r>
      <w:hyperlink r:id="rId42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https://support.huaweicloud.com/intl/zh-cn/usermanual-dataartsstudio/dataartsstudio_01_7692.html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[S16] 查看API访问日志：</w:t>
      </w:r>
      <w:hyperlink r:id="rId4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https://support.huaweicloud.com/intl/zh-cn/usermanual-dataartsstudio/dataartsstudio_01_0900.html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[S17] 配置数据服务审核中心：</w:t>
      </w:r>
      <w:hyperlink r:id="rId4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https://support.huaweicloud.com/intl/zh-cn/usermanual-dataartsstudio/dataartsstudio_01_0312.html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[S18] 数据服务API概览：</w:t>
      </w:r>
      <w:hyperlink r:id="rId4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https://support.huaweicloud.com/intl/zh-cn/api-dataartsstudio/apiOverview_DataService.html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[S19] 创建API - CreateApi：</w:t>
      </w:r>
      <w:hyperlink r:id="rId46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https://support.huaweicloud.com/intl/zh-cn/api-dataartsstudio/CreateApi.html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0B2545"/>
          <w:sz w:val="19"/>
        </w:rPr>
        <w:t>[S20] 设置API可见：</w:t>
      </w:r>
      <w:hyperlink r:id="rId4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https://support.huaweicloud.com/intl/zh-cn/usermanual-dataartsstudio/dataartsstudio_01_0323.html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/>
    <w:r>
      <w:rPr>
        <w:rFonts w:ascii="Calibri" w:hAnsi="Calibri" w:eastAsia="Microsoft YaHei"/>
        <w:color w:val="5B6573"/>
        <w:sz w:val="18"/>
      </w:rPr>
      <w:t>资料截止：2026-08-25</w:t>
    </w:r>
    <w:r>
      <w:tab/>
    </w:r>
    <w:r>
      <w:rPr>
        <w:rFonts w:ascii="Calibri" w:hAnsi="Calibri" w:eastAsia="Microsoft YaHei"/>
        <w:color w:val="5B6573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/ </w:t>
    </w:r>
    <w:r>
      <w:fldChar w:fldCharType="begin"/>
      <w:instrText xml:space="preserve"> NUMPAGES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 w:eastAsia="Microsoft YaHei"/>
        <w:b/>
        <w:color w:val="0B2545"/>
        <w:sz w:val="17"/>
      </w:rPr>
      <w:t>华为云 DataArts Studio | 数据服务应用架构</w:t>
    </w:r>
    <w:r>
      <w:rPr>
        <w:rFonts w:ascii="Calibri" w:hAnsi="Calibri" w:eastAsia="Microsoft YaHei"/>
        <w:color w:val="5B6573"/>
        <w:sz w:val="17"/>
      </w:rPr>
      <w:tab/>
      <w:t>官网证据梳理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hyperlink" Target="https://support.huaweicloud.com/intl/zh-cn/usermanual-dataartsstudio/dataartsstudio_01_0301.html" TargetMode="External"/><Relationship Id="rId29" Type="http://schemas.openxmlformats.org/officeDocument/2006/relationships/hyperlink" Target="https://support.huaweicloud.com/intl/zh-cn/usermanual-dataartsstudio/dataartsstudio_01_0315.html" TargetMode="External"/><Relationship Id="rId30" Type="http://schemas.openxmlformats.org/officeDocument/2006/relationships/hyperlink" Target="https://support.huaweicloud.com/intl/zh-cn/usermanual-dataartsstudio/dataartsstudio_01_0314.html" TargetMode="External"/><Relationship Id="rId31" Type="http://schemas.openxmlformats.org/officeDocument/2006/relationships/hyperlink" Target="https://support.huaweicloud.com/intl/zh-cn/usermanual-dataartsstudio/dataartsstudio_01_0305.html" TargetMode="External"/><Relationship Id="rId32" Type="http://schemas.openxmlformats.org/officeDocument/2006/relationships/hyperlink" Target="https://support.huaweicloud.com/intl/zh-cn/usermanual-dataartsstudio/dataartsstudio_01_0306.html" TargetMode="External"/><Relationship Id="rId33" Type="http://schemas.openxmlformats.org/officeDocument/2006/relationships/hyperlink" Target="https://support.huaweicloud.com/intl/zh-cn/usermanual-dataartsstudio/dataartsstudio_01_0316.html" TargetMode="External"/><Relationship Id="rId34" Type="http://schemas.openxmlformats.org/officeDocument/2006/relationships/hyperlink" Target="https://support.huaweicloud.com/intl/zh-cn/usermanual-dataartsstudio/dataartsstudio_01_0308.html" TargetMode="External"/><Relationship Id="rId35" Type="http://schemas.openxmlformats.org/officeDocument/2006/relationships/hyperlink" Target="https://support.huaweicloud.com/intl/zh-cn/usermanual-dataartsstudio/dataartsstudio_01_0339.html" TargetMode="External"/><Relationship Id="rId36" Type="http://schemas.openxmlformats.org/officeDocument/2006/relationships/hyperlink" Target="https://support.huaweicloud.com/intl/zh-cn/usermanual-dataartsstudio/dataartsstudio_01_0324.html" TargetMode="External"/><Relationship Id="rId37" Type="http://schemas.openxmlformats.org/officeDocument/2006/relationships/hyperlink" Target="https://support.huaweicloud.com/intl/zh-cn/usermanual-dataartsstudio/dataartsstudio_01_0309.html" TargetMode="External"/><Relationship Id="rId38" Type="http://schemas.openxmlformats.org/officeDocument/2006/relationships/hyperlink" Target="https://support.huaweicloud.com/intl/zh-cn/usermanual-dataartsstudio/dataartsstudio_01_0333.html" TargetMode="External"/><Relationship Id="rId39" Type="http://schemas.openxmlformats.org/officeDocument/2006/relationships/hyperlink" Target="https://support.huaweicloud.com/intl/zh-cn/usermanual-dataartsstudio/dataartsstudio_01_0334.html" TargetMode="External"/><Relationship Id="rId40" Type="http://schemas.openxmlformats.org/officeDocument/2006/relationships/hyperlink" Target="https://support.huaweicloud.com/intl/zh-cn/usermanual-dataartsstudio/dataartsstudio_01_0311.html" TargetMode="External"/><Relationship Id="rId41" Type="http://schemas.openxmlformats.org/officeDocument/2006/relationships/hyperlink" Target="https://support.huaweicloud.com/intl/zh-cn/usermanual-dataartsstudio/dataartsstudio_01_7690.html" TargetMode="External"/><Relationship Id="rId42" Type="http://schemas.openxmlformats.org/officeDocument/2006/relationships/hyperlink" Target="https://support.huaweicloud.com/intl/zh-cn/usermanual-dataartsstudio/dataartsstudio_01_7692.html" TargetMode="External"/><Relationship Id="rId43" Type="http://schemas.openxmlformats.org/officeDocument/2006/relationships/hyperlink" Target="https://support.huaweicloud.com/intl/zh-cn/usermanual-dataartsstudio/dataartsstudio_01_0900.html" TargetMode="External"/><Relationship Id="rId44" Type="http://schemas.openxmlformats.org/officeDocument/2006/relationships/hyperlink" Target="https://support.huaweicloud.com/intl/zh-cn/usermanual-dataartsstudio/dataartsstudio_01_0312.html" TargetMode="External"/><Relationship Id="rId45" Type="http://schemas.openxmlformats.org/officeDocument/2006/relationships/hyperlink" Target="https://support.huaweicloud.com/intl/zh-cn/api-dataartsstudio/apiOverview_DataService.html" TargetMode="External"/><Relationship Id="rId46" Type="http://schemas.openxmlformats.org/officeDocument/2006/relationships/hyperlink" Target="https://support.huaweicloud.com/intl/zh-cn/api-dataartsstudio/CreateApi.html" TargetMode="External"/><Relationship Id="rId47" Type="http://schemas.openxmlformats.org/officeDocument/2006/relationships/hyperlink" Target="https://support.huaweicloud.com/intl/zh-cn/usermanual-dataartsstudio/dataartsstudio_01_032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