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 w:eastAsia="Microsoft YaHei"/>
          <w:b/>
          <w:color w:val="0B2545"/>
          <w:sz w:val="46"/>
        </w:rPr>
        <w:t>火山引擎 DataLeap 数据服务业务架构梳理</w:t>
      </w:r>
    </w:p>
    <w:p>
      <w:pPr>
        <w:pStyle w:val="Subtitle"/>
      </w:pPr>
      <w:r>
        <w:rPr>
          <w:rFonts w:ascii="Calibri" w:hAnsi="Calibri" w:eastAsia="Microsoft YaHei"/>
          <w:color w:val="5B6573"/>
          <w:sz w:val="28"/>
        </w:rPr>
        <w:t>基于“大数据研发治理套件 &gt; 用户指南 &gt; 数据服务”官方页面</w:t>
      </w:r>
    </w:p>
    <w:p>
      <w:pPr>
        <w:spacing w:after="40"/>
      </w:pPr>
      <w:r>
        <w:rPr>
          <w:rFonts w:ascii="Calibri" w:hAnsi="Calibri" w:eastAsia="Microsoft YaHei"/>
          <w:b/>
          <w:color w:val="0B2545"/>
        </w:rPr>
        <w:t>调研入口：</w:t>
      </w:r>
      <w:hyperlink r:id="rId11">
        <w:r>
          <w:rPr>
            <w:color w:val="2E74B5"/>
            <w:sz w:val="21"/>
            <w:szCs w:val="21"/>
            <w:rFonts w:ascii="Calibri" w:hAnsi="Calibri" w:eastAsia="Microsoft YaHei"/>
            <w:u w:val="single"/>
          </w:rPr>
          <w:t>官方文档入口（概述）</w:t>
        </w:r>
      </w:hyperlink>
    </w:p>
    <w:p>
      <w:pPr>
        <w:spacing w:after="40"/>
      </w:pPr>
      <w:r>
        <w:rPr>
          <w:rFonts w:ascii="Calibri" w:hAnsi="Calibri" w:eastAsia="Microsoft YaHei"/>
          <w:b/>
          <w:color w:val="0B2545"/>
        </w:rPr>
        <w:t>覆盖范围：</w:t>
      </w:r>
      <w:r>
        <w:rPr>
          <w:rFonts w:ascii="Calibri" w:hAnsi="Calibri" w:eastAsia="Microsoft YaHei"/>
          <w:sz w:val="21"/>
        </w:rPr>
        <w:t>数据服务简介、数据源、API、数据集市、系统管理，共 23 个具体页面</w:t>
      </w:r>
    </w:p>
    <w:p>
      <w:pPr>
        <w:spacing w:after="40"/>
      </w:pPr>
      <w:r>
        <w:rPr>
          <w:rFonts w:ascii="Calibri" w:hAnsi="Calibri" w:eastAsia="Microsoft YaHei"/>
          <w:b/>
          <w:color w:val="0B2545"/>
        </w:rPr>
        <w:t>资料日期：</w:t>
      </w:r>
      <w:r>
        <w:rPr>
          <w:rFonts w:ascii="Calibri" w:hAnsi="Calibri" w:eastAsia="Microsoft YaHei"/>
          <w:sz w:val="21"/>
        </w:rPr>
        <w:t>截至 2026-08-25；各页面更新时间不一，详见附录</w:t>
      </w:r>
    </w:p>
    <w:p>
      <w:pPr>
        <w:spacing w:after="40"/>
      </w:pPr>
      <w:r>
        <w:rPr>
          <w:rFonts w:ascii="Calibri" w:hAnsi="Calibri" w:eastAsia="Microsoft YaHei"/>
          <w:b/>
          <w:color w:val="0B2545"/>
        </w:rPr>
        <w:t>输出口径：</w:t>
      </w:r>
      <w:r>
        <w:rPr>
          <w:rFonts w:ascii="Calibri" w:hAnsi="Calibri" w:eastAsia="Microsoft YaHei"/>
          <w:sz w:val="21"/>
        </w:rPr>
        <w:t>官方明确行为与架构归纳分开陈述</w:t>
      </w:r>
    </w:p>
    <w:p>
      <w:pPr>
        <w:spacing w:after="60"/>
      </w:pPr>
    </w:p>
    <w:p>
      <w:pPr>
        <w:shd w:fill="E8EEF5"/>
        <w:pBdr>
          <w:left w:val="single" w:sz="18" w:space="7" w:color="1F4D78"/>
        </w:pBdr>
        <w:spacing w:before="100" w:after="160" w:line="269" w:lineRule="auto"/>
        <w:ind w:left="144" w:right="115"/>
      </w:pPr>
      <w:r>
        <w:rPr>
          <w:rFonts w:ascii="Calibri" w:hAnsi="Calibri" w:eastAsia="Microsoft YaHei"/>
          <w:b/>
          <w:color w:val="1F4D78"/>
          <w:sz w:val="21"/>
        </w:rPr>
        <w:t xml:space="preserve">一句话结论  </w:t>
      </w:r>
      <w:r>
        <w:rPr>
          <w:rFonts w:ascii="Calibri" w:hAnsi="Calibri" w:eastAsia="Microsoft YaHei"/>
          <w:color w:val="0B2545"/>
          <w:sz w:val="21"/>
        </w:rPr>
        <w:t>数据服务不是单一的 API 生成器，而是一套以项目为访问控制边界、以逻辑表为数据契约、以 API/编排为服务产品、以应用为消费身份，并由审批、网络、监控、告警、血缘和切流共同保障的“数据服务生产与运营体系”。</w:t>
      </w:r>
    </w:p>
    <w:p>
      <w:pPr>
        <w:pStyle w:val="Heading1"/>
      </w:pPr>
      <w:r>
        <w:t>核心结论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/>
          <w:color w:val="0B2545"/>
        </w:rPr>
        <w:t>主价值流：</w:t>
      </w:r>
      <w:r>
        <w:rPr>
          <w:rFonts w:ascii="Calibri" w:hAnsi="Calibri" w:eastAsia="Microsoft YaHei"/>
        </w:rPr>
        <w:t>数据源 → 物理表 → 逻辑表 → API/编排 → 发布授权 → 应用调用 → 运行监控。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/>
          <w:color w:val="0B2545"/>
        </w:rPr>
        <w:t>组织边界：</w:t>
      </w:r>
      <w:r>
        <w:rPr>
          <w:rFonts w:ascii="Calibri" w:hAnsi="Calibri" w:eastAsia="Microsoft YaHei"/>
        </w:rPr>
        <w:t>租户负责全局治理，业务线承载同类业务资源复用，项目承担协作隔离与访问控制，应用承担运行时消费身份。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/>
          <w:color w:val="0B2545"/>
        </w:rPr>
        <w:t>核心解耦点：</w:t>
      </w:r>
      <w:r>
        <w:rPr>
          <w:rFonts w:ascii="Calibri" w:hAnsi="Calibri" w:eastAsia="Microsoft YaHei"/>
        </w:rPr>
        <w:t>API 必须使用逻辑表，不直接绑定物理表；逻辑表屏蔽存储差异，并承载字段规范、安全等级、查询约束、授权和主备。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/>
          <w:color w:val="0B2545"/>
        </w:rPr>
        <w:t>运行闭环：</w:t>
      </w:r>
      <w:r>
        <w:rPr>
          <w:rFonts w:ascii="Calibri" w:hAnsi="Calibri" w:eastAsia="Microsoft YaHei"/>
        </w:rPr>
        <w:t>上线审批、版本、灰度、QPS、授权、告警、调用监控、血缘、数据源切流共同覆盖服务上线后的变更与稳定性。</w:t>
      </w:r>
    </w:p>
    <w:p>
      <w:pPr>
        <w:spacing w:before="80"/>
      </w:pPr>
      <w:r>
        <w:rPr>
          <w:rFonts w:ascii="Calibri" w:hAnsi="Calibri" w:eastAsia="Microsoft YaHei"/>
        </w:rPr>
        <w:t>阅读提示：文中“官方明确”表示页面直接描述；“架构归纳”表示根据多个页面关系整理出的业务架构判断。</w:t>
      </w:r>
    </w:p>
    <w:p>
      <w:r>
        <w:br w:type="page"/>
      </w:r>
    </w:p>
    <w:p>
      <w:pPr>
        <w:pStyle w:val="Heading1"/>
      </w:pPr>
      <w:r>
        <w:t>1 文档范围与目录依据</w:t>
      </w:r>
    </w:p>
    <w:p>
      <w:pPr/>
      <w:r>
        <w:rPr>
          <w:rFonts w:ascii="Calibri" w:hAnsi="Calibri" w:eastAsia="Microsoft YaHei"/>
        </w:rPr>
        <w:t>本报告以用户提供的概述页为入口，按左侧“数据服务”目录读取 5 个一级业务域。截图中的网页操作说明仅作为资料内容，不视为对本报告生成过程的指令。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900"/>
        <w:gridCol w:w="3560"/>
        <w:gridCol w:w="3300"/>
      </w:tblGrid>
      <w:tr>
        <w:trPr>
          <w:tblHeader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一级业务域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页面数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回答的核心问题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核心产物/对象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数据服务简介</w:t>
            </w:r>
          </w:p>
        </w:tc>
        <w:tc>
          <w:tcPr>
            <w:tcW w:type="dxa" w:w="9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3</w:t>
            </w:r>
          </w:p>
        </w:tc>
        <w:tc>
          <w:tcPr>
            <w:tcW w:type="dxa" w:w="35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为什么需要数据服务，完整流程是什么</w:t>
            </w:r>
          </w:p>
        </w:tc>
        <w:tc>
          <w:tcPr>
            <w:tcW w:type="dxa" w:w="33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业务线、项目、物理表、逻辑表、应用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数据源</w:t>
            </w:r>
          </w:p>
        </w:tc>
        <w:tc>
          <w:tcPr>
            <w:tcW w:type="dxa" w:w="9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4</w:t>
            </w:r>
          </w:p>
        </w:tc>
        <w:tc>
          <w:tcPr>
            <w:tcW w:type="dxa" w:w="35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如何把异构存储纳入平台并形成稳定数据契约</w:t>
            </w:r>
          </w:p>
        </w:tc>
        <w:tc>
          <w:tcPr>
            <w:tcW w:type="dxa" w:w="33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数据源、物理表、逻辑表、切流关系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API</w:t>
            </w:r>
          </w:p>
        </w:tc>
        <w:tc>
          <w:tcPr>
            <w:tcW w:type="dxa" w:w="9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6</w:t>
            </w:r>
          </w:p>
        </w:tc>
        <w:tc>
          <w:tcPr>
            <w:tcW w:type="dxa" w:w="35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如何生产、发布、调用和运营数据服务</w:t>
            </w:r>
          </w:p>
        </w:tc>
        <w:tc>
          <w:tcPr>
            <w:tcW w:type="dxa" w:w="33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API、API 编排、版本、授权、监控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数据集市</w:t>
            </w:r>
          </w:p>
        </w:tc>
        <w:tc>
          <w:tcPr>
            <w:tcW w:type="dxa" w:w="9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2</w:t>
            </w:r>
          </w:p>
        </w:tc>
        <w:tc>
          <w:tcPr>
            <w:tcW w:type="dxa" w:w="35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如何发现、申请和复用已有资产</w:t>
            </w:r>
          </w:p>
        </w:tc>
        <w:tc>
          <w:tcPr>
            <w:tcW w:type="dxa" w:w="33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API 商品、逻辑表共享、申请工单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系统管理</w:t>
            </w:r>
          </w:p>
        </w:tc>
        <w:tc>
          <w:tcPr>
            <w:tcW w:type="dxa" w:w="9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8</w:t>
            </w:r>
          </w:p>
        </w:tc>
        <w:tc>
          <w:tcPr>
            <w:tcW w:type="dxa" w:w="35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如何组织、授权、联网、审批和分类</w:t>
            </w:r>
          </w:p>
        </w:tc>
        <w:tc>
          <w:tcPr>
            <w:tcW w:type="dxa" w:w="33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业务线、项目、角色、应用、网络、审批、标签</w:t>
            </w:r>
          </w:p>
        </w:tc>
      </w:tr>
    </w:tbl>
    <w:p>
      <w:pPr>
        <w:spacing w:after="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3850148"/>
            <wp:docPr id="1" name="Picture 1" descr="火山引擎大数据研发治理套件文档截图，左侧红框标出数据服务目录，包括数据服务简介、数据源、API、数据集市和系统管理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9217ad3c-1a86-42ab-b592-2f20126fb44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501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80" w:after="160"/>
        <w:jc w:val="center"/>
      </w:pPr>
      <w:r>
        <w:rPr>
          <w:rFonts w:ascii="Calibri" w:hAnsi="Calibri" w:eastAsia="Microsoft YaHei"/>
          <w:color w:val="5B6573"/>
          <w:sz w:val="18"/>
        </w:rPr>
        <w:t>图 1  用户提供的官方文档截图：左侧红框为本次梳理的“数据服务”目录范围（原图保留）</w:t>
      </w:r>
    </w:p>
    <w:p>
      <w:pPr>
        <w:shd w:fill="F4F6F9"/>
        <w:pBdr>
          <w:left w:val="single" w:sz="18" w:space="7" w:color="2E74B5"/>
        </w:pBdr>
        <w:spacing w:before="100" w:after="160" w:line="269" w:lineRule="auto"/>
        <w:ind w:left="144" w:right="115"/>
      </w:pPr>
      <w:r>
        <w:rPr>
          <w:rFonts w:ascii="Calibri" w:hAnsi="Calibri" w:eastAsia="Microsoft YaHei"/>
          <w:b/>
          <w:color w:val="2E74B5"/>
          <w:sz w:val="21"/>
        </w:rPr>
        <w:t xml:space="preserve">范围说明  </w:t>
      </w:r>
      <w:r>
        <w:rPr>
          <w:rFonts w:ascii="Calibri" w:hAnsi="Calibri" w:eastAsia="Microsoft YaHei"/>
          <w:color w:val="0B2545"/>
          <w:sz w:val="21"/>
        </w:rPr>
        <w:t>“最佳实践”和“常见问题”下另有数据服务页面，但截图红框和用户请求指向“用户指南 &gt; 数据服务”主目录，本报告将它们视为延伸材料，不纳入 23 页主范围。</w:t>
      </w:r>
    </w:p>
    <w:p>
      <w:pPr>
        <w:pStyle w:val="Heading1"/>
      </w:pPr>
      <w:r>
        <w:t>2 总体业务架构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3629025"/>
            <wp:docPr id="2" name="Picture 2" descr="DataLeap 数据服务业务架构图：治理控制面贯穿数据供给、资产注册、逻辑建模、服务生产、服务编排、共享消费和运行保障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-service-business-architectu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29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80" w:after="160"/>
        <w:jc w:val="center"/>
      </w:pPr>
      <w:r>
        <w:rPr>
          <w:rFonts w:ascii="Calibri" w:hAnsi="Calibri" w:eastAsia="Microsoft YaHei"/>
          <w:color w:val="5B6573"/>
          <w:sz w:val="18"/>
        </w:rPr>
        <w:t>图 2  DataLeap 数据服务总体业务架构（架构归纳）</w:t>
      </w:r>
    </w:p>
    <w:p>
      <w:pPr>
        <w:shd w:fill="E8EEF5"/>
        <w:pBdr>
          <w:left w:val="single" w:sz="18" w:space="7" w:color="2E74B5"/>
        </w:pBdr>
        <w:spacing w:before="100" w:after="160" w:line="269" w:lineRule="auto"/>
        <w:ind w:left="144" w:right="115"/>
      </w:pPr>
      <w:r>
        <w:rPr>
          <w:rFonts w:ascii="Calibri" w:hAnsi="Calibri" w:eastAsia="Microsoft YaHei"/>
          <w:b/>
          <w:color w:val="2E74B5"/>
          <w:sz w:val="21"/>
        </w:rPr>
        <w:t xml:space="preserve">架构归纳  </w:t>
      </w:r>
      <w:r>
        <w:rPr>
          <w:rFonts w:ascii="Calibri" w:hAnsi="Calibri" w:eastAsia="Microsoft YaHei"/>
          <w:color w:val="0B2545"/>
          <w:sz w:val="21"/>
        </w:rPr>
        <w:t>整体可分为五层：组织与治理、数据资产与逻辑模型、服务生产、共享与消费、运行保障。官方目录按功能模块组织，本报告按业务价值流重新组合。</w:t>
      </w:r>
    </w:p>
    <w:p>
      <w:pPr>
        <w:pStyle w:val="Heading2"/>
      </w:pPr>
      <w:r>
        <w:t>2.1 五层架构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3560"/>
        <w:gridCol w:w="370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层次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核心能力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业务目的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1. 组织与治理层</w:t>
            </w:r>
          </w:p>
        </w:tc>
        <w:tc>
          <w:tcPr>
            <w:tcW w:type="dxa" w:w="35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租户、业务线、项目、角色、审批、标签、网络</w:t>
            </w:r>
          </w:p>
        </w:tc>
        <w:tc>
          <w:tcPr>
            <w:tcW w:type="dxa" w:w="37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建立所有权、隔离、复用和合规边界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2. 数据资产与逻辑模型层</w:t>
            </w:r>
          </w:p>
        </w:tc>
        <w:tc>
          <w:tcPr>
            <w:tcW w:type="dxa" w:w="35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数据源、物理表、逻辑表</w:t>
            </w:r>
          </w:p>
        </w:tc>
        <w:tc>
          <w:tcPr>
            <w:tcW w:type="dxa" w:w="37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把异构存储转换为稳定、可治理的数据契约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3. 服务生产层</w:t>
            </w:r>
          </w:p>
        </w:tc>
        <w:tc>
          <w:tcPr>
            <w:tcW w:type="dxa" w:w="35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API、Dynamic SQL、OneService、API 编排、测试、发布</w:t>
            </w:r>
          </w:p>
        </w:tc>
        <w:tc>
          <w:tcPr>
            <w:tcW w:type="dxa" w:w="37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将数据契约封装为可调用的服务产品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4. 共享与消费层</w:t>
            </w:r>
          </w:p>
        </w:tc>
        <w:tc>
          <w:tcPr>
            <w:tcW w:type="dxa" w:w="35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API 集市、逻辑表集市、应用、密钥、网络入口</w:t>
            </w:r>
          </w:p>
        </w:tc>
        <w:tc>
          <w:tcPr>
            <w:tcW w:type="dxa" w:w="37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完成发现、申请、授权和实际调用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5. 运行保障层</w:t>
            </w:r>
          </w:p>
        </w:tc>
        <w:tc>
          <w:tcPr>
            <w:tcW w:type="dxa" w:w="35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限流、监控、告警、血缘、版本、灰度、切流</w:t>
            </w:r>
          </w:p>
        </w:tc>
        <w:tc>
          <w:tcPr>
            <w:tcW w:type="dxa" w:w="37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让服务在变更、故障和增长中保持可控</w:t>
            </w:r>
          </w:p>
        </w:tc>
      </w:tr>
    </w:tbl>
    <w:p>
      <w:pPr>
        <w:spacing w:after="0"/>
      </w:pPr>
    </w:p>
    <w:p>
      <w:pPr>
        <w:pStyle w:val="Heading2"/>
      </w:pPr>
      <w:r>
        <w:t>2.2 控制面与运行面</w:t>
      </w:r>
    </w:p>
    <w:p>
      <w:pPr/>
      <w:r>
        <w:rPr>
          <w:rFonts w:ascii="Calibri" w:hAnsi="Calibri" w:eastAsia="Microsoft YaHei"/>
        </w:rPr>
        <w:t>架构上存在两条相互配合的链路：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/>
          <w:color w:val="0B2545"/>
        </w:rPr>
        <w:t>控制面：</w:t>
      </w:r>
      <w:r>
        <w:rPr>
          <w:rFonts w:ascii="Calibri" w:hAnsi="Calibri" w:eastAsia="Microsoft YaHei"/>
        </w:rPr>
        <w:t>定义谁能创建、发布、审批、共享和配置网络，并通过业务线、项目、角色、标签和审批中心进行治理。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/>
          <w:color w:val="0B2545"/>
        </w:rPr>
        <w:t>运行面：</w:t>
      </w:r>
      <w:r>
        <w:rPr>
          <w:rFonts w:ascii="Calibri" w:hAnsi="Calibri" w:eastAsia="Microsoft YaHei"/>
        </w:rPr>
        <w:t>将数据查询封装为 API，经应用授权和密钥鉴权后，通过公网或 VPC 被业务系统调用，并持续产生监控与告警数据。</w:t>
      </w:r>
    </w:p>
    <w:p>
      <w:pPr/>
      <w:r>
        <w:rPr>
          <w:rFonts w:ascii="Calibri" w:hAnsi="Calibri" w:eastAsia="Microsoft YaHei"/>
        </w:rPr>
        <w:t>这一区分是架构归纳。官方页面明确提供了对应对象和功能，但没有把它们统一命名为“控制面/运行面”。</w:t>
      </w:r>
    </w:p>
    <w:p>
      <w:pPr>
        <w:pStyle w:val="Heading1"/>
      </w:pPr>
      <w:r>
        <w:t>3 端到端业务流程</w:t>
      </w:r>
    </w:p>
    <w:p>
      <w:pPr>
        <w:shd w:fill="F4F6F9"/>
        <w:pBdr>
          <w:left w:val="single" w:sz="18" w:space="7" w:color="2E74B5"/>
        </w:pBdr>
        <w:spacing w:before="100" w:after="160" w:line="269" w:lineRule="auto"/>
        <w:ind w:left="144" w:right="115"/>
      </w:pPr>
      <w:r>
        <w:rPr>
          <w:rFonts w:ascii="Calibri" w:hAnsi="Calibri" w:eastAsia="Microsoft YaHei"/>
          <w:b/>
          <w:color w:val="2E74B5"/>
          <w:sz w:val="21"/>
        </w:rPr>
        <w:t xml:space="preserve">官方主流程  </w:t>
      </w:r>
      <w:r>
        <w:rPr>
          <w:rFonts w:ascii="Calibri" w:hAnsi="Calibri" w:eastAsia="Microsoft YaHei"/>
          <w:color w:val="0B2545"/>
          <w:sz w:val="21"/>
        </w:rPr>
        <w:t>快速入门给出的链路是：准备业务线/项目/权限/网络 → 配置数据源 → 创建物理表 → 创建逻辑表 → 创建、开发、测试、上线 API → 授权应用 → 调用 API。 [S3]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Calibri" w:hAnsi="Calibri" w:eastAsia="Microsoft YaHei"/>
          <w:b/>
          <w:color w:val="0B2545"/>
        </w:rPr>
        <w:t>治理准备：</w:t>
      </w:r>
      <w:r>
        <w:rPr>
          <w:rFonts w:ascii="Calibri" w:hAnsi="Calibri" w:eastAsia="Microsoft YaHei"/>
        </w:rPr>
        <w:t>租户或业务线管理员创建业务线与项目，分配数据开发/API 开发/API 发布等角色，并配置公网或 VPC。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Calibri" w:hAnsi="Calibri" w:eastAsia="Microsoft YaHei"/>
          <w:b/>
          <w:color w:val="0B2545"/>
        </w:rPr>
        <w:t>数据源注册：</w:t>
      </w:r>
      <w:r>
        <w:rPr>
          <w:rFonts w:ascii="Calibri" w:hAnsi="Calibri" w:eastAsia="Microsoft YaHei"/>
        </w:rPr>
        <w:t>绑定目标数据库并完成网络和连通性测试，使平台能够读取元数据和执行查询。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Calibri" w:hAnsi="Calibri" w:eastAsia="Microsoft YaHei"/>
          <w:b/>
          <w:color w:val="0B2545"/>
        </w:rPr>
        <w:t>物理表注册：</w:t>
      </w:r>
      <w:r>
        <w:rPr>
          <w:rFonts w:ascii="Calibri" w:hAnsi="Calibri" w:eastAsia="Microsoft YaHei"/>
        </w:rPr>
        <w:t>把存储中的表和字段元数据登记到平台，补充主键、安全等级等属性。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Calibri" w:hAnsi="Calibri" w:eastAsia="Microsoft YaHei"/>
          <w:b/>
          <w:color w:val="0B2545"/>
        </w:rPr>
        <w:t>逻辑建模：</w:t>
      </w:r>
      <w:r>
        <w:rPr>
          <w:rFonts w:ascii="Calibri" w:hAnsi="Calibri" w:eastAsia="Microsoft YaHei"/>
        </w:rPr>
        <w:t>基于物理表创建逻辑表，进行字段规范、类型转换、查询约束、安全等级、授权和主备设置。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Calibri" w:hAnsi="Calibri" w:eastAsia="Microsoft YaHei"/>
          <w:b/>
          <w:color w:val="0B2545"/>
        </w:rPr>
        <w:t>服务开发：</w:t>
      </w:r>
      <w:r>
        <w:rPr>
          <w:rFonts w:ascii="Calibri" w:hAnsi="Calibri" w:eastAsia="Microsoft YaHei"/>
        </w:rPr>
        <w:t>基于逻辑表选择向导式、脚本式或原生式开发 API；复杂流程可使用 API 编排。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Calibri" w:hAnsi="Calibri" w:eastAsia="Microsoft YaHei"/>
          <w:b/>
          <w:color w:val="0B2545"/>
        </w:rPr>
        <w:t>测试与发布：</w:t>
      </w:r>
      <w:r>
        <w:rPr>
          <w:rFonts w:ascii="Calibri" w:hAnsi="Calibri" w:eastAsia="Microsoft YaHei"/>
        </w:rPr>
        <w:t>在本地测试或测试环境验证后发布；线上发布可按项目策略触发审批、通知，并形成版本记录。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Calibri" w:hAnsi="Calibri" w:eastAsia="Microsoft YaHei"/>
          <w:b/>
          <w:color w:val="0B2545"/>
        </w:rPr>
        <w:t>授权与调用：</w:t>
      </w:r>
      <w:r>
        <w:rPr>
          <w:rFonts w:ascii="Calibri" w:hAnsi="Calibri" w:eastAsia="Microsoft YaHei"/>
        </w:rPr>
        <w:t>将已发布 API 授权给应用，配置有效期和最大 QPS；应用使用静态密钥或 OAuth2.0 Token 通过 HTTP 调用。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Calibri" w:hAnsi="Calibri" w:eastAsia="Microsoft YaHei"/>
          <w:b/>
          <w:color w:val="0B2545"/>
        </w:rPr>
        <w:t>运营闭环：</w:t>
      </w:r>
      <w:r>
        <w:rPr>
          <w:rFonts w:ascii="Calibri" w:hAnsi="Calibri" w:eastAsia="Microsoft YaHei"/>
        </w:rPr>
        <w:t>根据 QPS、成功率、PCT99、失败率等监控，配置告警；通过版本、灰度、下线、切流和血缘分析处理变更与故障。</w:t>
      </w:r>
    </w:p>
    <w:p>
      <w:pPr>
        <w:pStyle w:val="Heading1"/>
      </w:pPr>
      <w:r>
        <w:t>4 核心业务对象及关系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1800"/>
        <w:gridCol w:w="3160"/>
        <w:gridCol w:w="290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对象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归属/层级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核心关系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业务意义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租户</w:t>
            </w:r>
          </w:p>
        </w:tc>
        <w:tc>
          <w:tcPr>
            <w:tcW w:type="dxa" w:w="18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全局</w:t>
            </w:r>
          </w:p>
        </w:tc>
        <w:tc>
          <w:tcPr>
            <w:tcW w:type="dxa" w:w="31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包含业务线、系统管理员、网络配置</w:t>
            </w:r>
          </w:p>
        </w:tc>
        <w:tc>
          <w:tcPr>
            <w:tcW w:type="dxa" w:w="29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全局治理与最高权限边界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业务线</w:t>
            </w:r>
          </w:p>
        </w:tc>
        <w:tc>
          <w:tcPr>
            <w:tcW w:type="dxa" w:w="18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租户</w:t>
            </w:r>
          </w:p>
        </w:tc>
        <w:tc>
          <w:tcPr>
            <w:tcW w:type="dxa" w:w="31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包含多个项目；同线资源可审批复用</w:t>
            </w:r>
          </w:p>
        </w:tc>
        <w:tc>
          <w:tcPr>
            <w:tcW w:type="dxa" w:w="29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把同类业务聚合为共享边界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项目</w:t>
            </w:r>
          </w:p>
        </w:tc>
        <w:tc>
          <w:tcPr>
            <w:tcW w:type="dxa" w:w="18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业务线</w:t>
            </w:r>
          </w:p>
        </w:tc>
        <w:tc>
          <w:tcPr>
            <w:tcW w:type="dxa" w:w="31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成员、数据源、表、API、应用授权的管理单元</w:t>
            </w:r>
          </w:p>
        </w:tc>
        <w:tc>
          <w:tcPr>
            <w:tcW w:type="dxa" w:w="29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多用户隔离和访问控制的主要边界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账户角色</w:t>
            </w:r>
          </w:p>
        </w:tc>
        <w:tc>
          <w:tcPr>
            <w:tcW w:type="dxa" w:w="18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租户/业务线/项目</w:t>
            </w:r>
          </w:p>
        </w:tc>
        <w:tc>
          <w:tcPr>
            <w:tcW w:type="dxa" w:w="31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赋予创建、测试、发布、授权、审批等能力</w:t>
            </w:r>
          </w:p>
        </w:tc>
        <w:tc>
          <w:tcPr>
            <w:tcW w:type="dxa" w:w="29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实现职责分离与最小权限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数据源</w:t>
            </w:r>
          </w:p>
        </w:tc>
        <w:tc>
          <w:tcPr>
            <w:tcW w:type="dxa" w:w="18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项目/治理范围</w:t>
            </w:r>
          </w:p>
        </w:tc>
        <w:tc>
          <w:tcPr>
            <w:tcW w:type="dxa" w:w="31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连接具体数据库或计算存储</w:t>
            </w:r>
          </w:p>
        </w:tc>
        <w:tc>
          <w:tcPr>
            <w:tcW w:type="dxa" w:w="29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把异构存储接入统一服务出口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物理表</w:t>
            </w:r>
          </w:p>
        </w:tc>
        <w:tc>
          <w:tcPr>
            <w:tcW w:type="dxa" w:w="18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数据源</w:t>
            </w:r>
          </w:p>
        </w:tc>
        <w:tc>
          <w:tcPr>
            <w:tcW w:type="dxa" w:w="31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注册存储中的真实表及字段元数据</w:t>
            </w:r>
          </w:p>
        </w:tc>
        <w:tc>
          <w:tcPr>
            <w:tcW w:type="dxa" w:w="29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提供运行时查询所需的底层元数据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逻辑表</w:t>
            </w:r>
          </w:p>
        </w:tc>
        <w:tc>
          <w:tcPr>
            <w:tcW w:type="dxa" w:w="18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物理表映射</w:t>
            </w:r>
          </w:p>
        </w:tc>
        <w:tc>
          <w:tcPr>
            <w:tcW w:type="dxa" w:w="31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API 的必选数据契约，可授权、变更、主备</w:t>
            </w:r>
          </w:p>
        </w:tc>
        <w:tc>
          <w:tcPr>
            <w:tcW w:type="dxa" w:w="29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屏蔽存储细节并稳定下游接口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API</w:t>
            </w:r>
          </w:p>
        </w:tc>
        <w:tc>
          <w:tcPr>
            <w:tcW w:type="dxa" w:w="18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项目</w:t>
            </w:r>
          </w:p>
        </w:tc>
        <w:tc>
          <w:tcPr>
            <w:tcW w:type="dxa" w:w="31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使用逻辑表；经历开发、测试、发布、版本和运维</w:t>
            </w:r>
          </w:p>
        </w:tc>
        <w:tc>
          <w:tcPr>
            <w:tcW w:type="dxa" w:w="29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可交付、可授权的数据服务产品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API 编排</w:t>
            </w:r>
          </w:p>
        </w:tc>
        <w:tc>
          <w:tcPr>
            <w:tcW w:type="dxa" w:w="18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项目</w:t>
            </w:r>
          </w:p>
        </w:tc>
        <w:tc>
          <w:tcPr>
            <w:tcW w:type="dxa" w:w="31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组合 API、函数、条件、合并等节点</w:t>
            </w:r>
          </w:p>
        </w:tc>
        <w:tc>
          <w:tcPr>
            <w:tcW w:type="dxa" w:w="29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承载跨节点的复杂服务逻辑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API 版本/灰度策略</w:t>
            </w:r>
          </w:p>
        </w:tc>
        <w:tc>
          <w:tcPr>
            <w:tcW w:type="dxa" w:w="18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API</w:t>
            </w:r>
          </w:p>
        </w:tc>
        <w:tc>
          <w:tcPr>
            <w:tcW w:type="dxa" w:w="31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版本对比、发布、下线、流量比例</w:t>
            </w:r>
          </w:p>
        </w:tc>
        <w:tc>
          <w:tcPr>
            <w:tcW w:type="dxa" w:w="29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降低线上变更风险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应用</w:t>
            </w:r>
          </w:p>
        </w:tc>
        <w:tc>
          <w:tcPr>
            <w:tcW w:type="dxa" w:w="18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企业消费侧</w:t>
            </w:r>
          </w:p>
        </w:tc>
        <w:tc>
          <w:tcPr>
            <w:tcW w:type="dxa" w:w="31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获得 API 授权并持有一个或多个密钥</w:t>
            </w:r>
          </w:p>
        </w:tc>
        <w:tc>
          <w:tcPr>
            <w:tcW w:type="dxa" w:w="29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运行时调用身份和责任主体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授权关系</w:t>
            </w:r>
          </w:p>
        </w:tc>
        <w:tc>
          <w:tcPr>
            <w:tcW w:type="dxa" w:w="18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API↔应用/逻辑表↔项目</w:t>
            </w:r>
          </w:p>
        </w:tc>
        <w:tc>
          <w:tcPr>
            <w:tcW w:type="dxa" w:w="31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有效期、最大 QPS、申请与回收</w:t>
            </w:r>
          </w:p>
        </w:tc>
        <w:tc>
          <w:tcPr>
            <w:tcW w:type="dxa" w:w="29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控制谁可以消费什么以及消费强度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审批工单</w:t>
            </w:r>
          </w:p>
        </w:tc>
        <w:tc>
          <w:tcPr>
            <w:tcW w:type="dxa" w:w="18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治理控制面</w:t>
            </w:r>
          </w:p>
        </w:tc>
        <w:tc>
          <w:tcPr>
            <w:tcW w:type="dxa" w:w="31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项目/角色/API 发布、上架、下线、QPS 等</w:t>
            </w:r>
          </w:p>
        </w:tc>
        <w:tc>
          <w:tcPr>
            <w:tcW w:type="dxa" w:w="29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把高风险变更纳入可追踪流程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标签</w:t>
            </w:r>
          </w:p>
        </w:tc>
        <w:tc>
          <w:tcPr>
            <w:tcW w:type="dxa" w:w="18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物理表/逻辑表/API</w:t>
            </w:r>
          </w:p>
        </w:tc>
        <w:tc>
          <w:tcPr>
            <w:tcW w:type="dxa" w:w="31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公开或私有标签组，并关联项目</w:t>
            </w:r>
          </w:p>
        </w:tc>
        <w:tc>
          <w:tcPr>
            <w:tcW w:type="dxa" w:w="29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补充文件夹无法表达的分类维度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集市条目</w:t>
            </w:r>
          </w:p>
        </w:tc>
        <w:tc>
          <w:tcPr>
            <w:tcW w:type="dxa" w:w="18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共享层</w:t>
            </w:r>
          </w:p>
        </w:tc>
        <w:tc>
          <w:tcPr>
            <w:tcW w:type="dxa" w:w="31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已上架 API 或可申请逻辑表</w:t>
            </w:r>
          </w:p>
        </w:tc>
        <w:tc>
          <w:tcPr>
            <w:tcW w:type="dxa" w:w="29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减少重复建设并促进跨项目复用</w:t>
            </w:r>
          </w:p>
        </w:tc>
      </w:tr>
    </w:tbl>
    <w:p>
      <w:pPr>
        <w:spacing w:after="0"/>
      </w:pPr>
    </w:p>
    <w:p>
      <w:pPr>
        <w:shd w:fill="E8EEF5"/>
        <w:pBdr>
          <w:left w:val="single" w:sz="18" w:space="7" w:color="2E74B5"/>
        </w:pBdr>
        <w:spacing w:before="100" w:after="160" w:line="269" w:lineRule="auto"/>
        <w:ind w:left="144" w:right="115"/>
      </w:pPr>
      <w:r>
        <w:rPr>
          <w:rFonts w:ascii="Calibri" w:hAnsi="Calibri" w:eastAsia="Microsoft YaHei"/>
          <w:b/>
          <w:color w:val="2E74B5"/>
          <w:sz w:val="21"/>
        </w:rPr>
        <w:t xml:space="preserve">关键关系  </w:t>
      </w:r>
      <w:r>
        <w:rPr>
          <w:rFonts w:ascii="Calibri" w:hAnsi="Calibri" w:eastAsia="Microsoft YaHei"/>
          <w:color w:val="0B2545"/>
          <w:sz w:val="21"/>
        </w:rPr>
        <w:t>数据源 1:N 物理表；物理表经映射形成逻辑表；API 只使用逻辑表，不直接使用物理表；API 与应用通过授权形成 N:N 消费关系；业务线与项目定义资产共享和隔离范围。 [S2][S7][S10][S16-S19]</w:t>
      </w:r>
    </w:p>
    <w:p>
      <w:pPr>
        <w:pStyle w:val="Heading1"/>
      </w:pPr>
      <w:r>
        <w:t>5 各业务域架构拆解</w:t>
      </w:r>
    </w:p>
    <w:p>
      <w:pPr>
        <w:pStyle w:val="Heading2"/>
      </w:pPr>
      <w:r>
        <w:t>5.1 系统管理：先建立治理边界，再生产服务</w:t>
      </w:r>
    </w:p>
    <w:p>
      <w:pPr/>
      <w:r>
        <w:rPr>
          <w:rFonts w:ascii="Calibri" w:hAnsi="Calibri" w:eastAsia="Microsoft YaHei"/>
        </w:rPr>
        <w:t>系统管理不是外围配置，而是业务架构的控制面。它决定资源属于谁、谁可以操作、变更是否需审批、应用如何被识别，以及调用链路从哪里进入。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900"/>
        <w:gridCol w:w="36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模块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官方明确能力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架构作用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业务线管理</w:t>
            </w:r>
          </w:p>
        </w:tc>
        <w:tc>
          <w:tcPr>
            <w:tcW w:type="dxa" w:w="39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组织同类业务；一个业务线含多个项目</w:t>
            </w:r>
          </w:p>
        </w:tc>
        <w:tc>
          <w:tcPr>
            <w:tcW w:type="dxa" w:w="36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同业务线资源经审批可跨项目复用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项目管理</w:t>
            </w:r>
          </w:p>
        </w:tc>
        <w:tc>
          <w:tcPr>
            <w:tcW w:type="dxa" w:w="39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基本协作与隔离单元</w:t>
            </w:r>
          </w:p>
        </w:tc>
        <w:tc>
          <w:tcPr>
            <w:tcW w:type="dxa" w:w="36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可配置 API 发布、上架、下线、QPS 等治理策略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账户权限</w:t>
            </w:r>
          </w:p>
        </w:tc>
        <w:tc>
          <w:tcPr>
            <w:tcW w:type="dxa" w:w="39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系统管理员、业务线管理员、项目管理员、数据开发、API 开发、API 发布、QA</w:t>
            </w:r>
          </w:p>
        </w:tc>
        <w:tc>
          <w:tcPr>
            <w:tcW w:type="dxa" w:w="36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将建模、开发、测试、发布和授权职责分离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应用管理</w:t>
            </w:r>
          </w:p>
        </w:tc>
        <w:tc>
          <w:tcPr>
            <w:tcW w:type="dxa" w:w="39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应用标志符、管理员、密钥、API 权限</w:t>
            </w:r>
          </w:p>
        </w:tc>
        <w:tc>
          <w:tcPr>
            <w:tcW w:type="dxa" w:w="36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把 API 调用绑定到可识别的消费主体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网络配置</w:t>
            </w:r>
          </w:p>
        </w:tc>
        <w:tc>
          <w:tcPr>
            <w:tcW w:type="dxa" w:w="39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公网或 VPC；VPC 域名可依赖终端节点和数据服务资源组</w:t>
            </w:r>
          </w:p>
        </w:tc>
        <w:tc>
          <w:tcPr>
            <w:tcW w:type="dxa" w:w="36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控制调用面的网络可达性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审批中心</w:t>
            </w:r>
          </w:p>
        </w:tc>
        <w:tc>
          <w:tcPr>
            <w:tcW w:type="dxa" w:w="39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我的审核/我的申请及进行中、已完成、终止</w:t>
            </w:r>
          </w:p>
        </w:tc>
        <w:tc>
          <w:tcPr>
            <w:tcW w:type="dxa" w:w="36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承载所有需人工决策的工单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标签管理</w:t>
            </w:r>
          </w:p>
        </w:tc>
        <w:tc>
          <w:tcPr>
            <w:tcW w:type="dxa" w:w="39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公开/私有标签组，最多关联多个项目和对象</w:t>
            </w:r>
          </w:p>
        </w:tc>
        <w:tc>
          <w:tcPr>
            <w:tcW w:type="dxa" w:w="36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提供跨文件夹的资产分类维度</w:t>
            </w:r>
          </w:p>
        </w:tc>
      </w:tr>
    </w:tbl>
    <w:p>
      <w:pPr>
        <w:spacing w:after="0"/>
      </w:pPr>
    </w:p>
    <w:p>
      <w:pPr>
        <w:pStyle w:val="Heading2"/>
      </w:pPr>
      <w:r>
        <w:t>5.2 数据源：从存储接入到稳定数据契约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/>
          <w:color w:val="0B2545"/>
        </w:rPr>
        <w:t>接入：</w:t>
      </w:r>
      <w:r>
        <w:rPr>
          <w:rFonts w:ascii="Calibri" w:hAnsi="Calibri" w:eastAsia="Microsoft YaHei"/>
        </w:rPr>
        <w:t>数据源注册需要连接信息、网络白名单/安全组和连通性测试；当前页面覆盖 MySQL、ByteHouse、Doris、StarRocks 等类型。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/>
          <w:color w:val="0B2545"/>
        </w:rPr>
        <w:t>物理表：</w:t>
      </w:r>
      <w:r>
        <w:rPr>
          <w:rFonts w:ascii="Calibri" w:hAnsi="Calibri" w:eastAsia="Microsoft YaHei"/>
        </w:rPr>
        <w:t>平台登记真实表元数据，并补充字段、主键、安全等级等属性。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/>
          <w:color w:val="0B2545"/>
        </w:rPr>
        <w:t>逻辑表：</w:t>
      </w:r>
      <w:r>
        <w:rPr>
          <w:rFonts w:ascii="Calibri" w:hAnsi="Calibri" w:eastAsia="Microsoft YaHei"/>
        </w:rPr>
        <w:t>逻辑表映射物理表，承担字段标准化、查询约束、安全等级、项目授权、变更记录和主备。API 必须基于逻辑表。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/>
          <w:color w:val="0B2545"/>
        </w:rPr>
        <w:t>切流：</w:t>
      </w:r>
      <w:r>
        <w:rPr>
          <w:rFonts w:ascii="Calibri" w:hAnsi="Calibri" w:eastAsia="Microsoft YaHei"/>
        </w:rPr>
        <w:t>当源数据库过载或异常时，项目管理员可按应用/API 选择目标数据源和切流比例；切流直接影响线上服务。</w:t>
      </w:r>
    </w:p>
    <w:p>
      <w:pPr>
        <w:shd w:fill="E8EEF5"/>
        <w:pBdr>
          <w:left w:val="single" w:sz="18" w:space="7" w:color="2E74B5"/>
        </w:pBdr>
        <w:spacing w:before="100" w:after="160" w:line="269" w:lineRule="auto"/>
        <w:ind w:left="144" w:right="115"/>
      </w:pPr>
      <w:r>
        <w:rPr>
          <w:rFonts w:ascii="Calibri" w:hAnsi="Calibri" w:eastAsia="Microsoft YaHei"/>
          <w:b/>
          <w:color w:val="2E74B5"/>
          <w:sz w:val="21"/>
        </w:rPr>
        <w:t xml:space="preserve">架构判断  </w:t>
      </w:r>
      <w:r>
        <w:rPr>
          <w:rFonts w:ascii="Calibri" w:hAnsi="Calibri" w:eastAsia="Microsoft YaHei"/>
          <w:color w:val="0B2545"/>
          <w:sz w:val="21"/>
        </w:rPr>
        <w:t>逻辑表是整个体系最关键的解耦层：上游存储可以切换或形成主备，下游 API 继续面向稳定的逻辑字段与约束。</w:t>
      </w:r>
    </w:p>
    <w:p>
      <w:pPr>
        <w:pStyle w:val="Heading2"/>
      </w:pPr>
      <w:r>
        <w:t>5.3 API：把查询逻辑产品化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4300"/>
        <w:gridCol w:w="336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生产方式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主要能力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适用场景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向导式</w:t>
            </w:r>
          </w:p>
        </w:tc>
        <w:tc>
          <w:tcPr>
            <w:tcW w:type="dxa" w:w="43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低代码配置查询条件和返回字段</w:t>
            </w:r>
          </w:p>
        </w:tc>
        <w:tc>
          <w:tcPr>
            <w:tcW w:type="dxa" w:w="33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标准查询、较低开发门槛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脚本式</w:t>
            </w:r>
          </w:p>
        </w:tc>
        <w:tc>
          <w:tcPr>
            <w:tcW w:type="dxa" w:w="43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自定义 SQL；支持同源多逻辑表和 Dynamic SQL</w:t>
            </w:r>
          </w:p>
        </w:tc>
        <w:tc>
          <w:tcPr>
            <w:tcW w:type="dxa" w:w="33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复杂条件、聚合和动态逻辑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原生式</w:t>
            </w:r>
          </w:p>
        </w:tc>
        <w:tc>
          <w:tcPr>
            <w:tcW w:type="dxa" w:w="43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面向底层引擎的原生 SQL 能力</w:t>
            </w:r>
          </w:p>
        </w:tc>
        <w:tc>
          <w:tcPr>
            <w:tcW w:type="dxa" w:w="33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需要更直接控制执行语句的场景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API 编排</w:t>
            </w:r>
          </w:p>
        </w:tc>
        <w:tc>
          <w:tcPr>
            <w:tcW w:type="dxa" w:w="43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组合 API、函数、条件、合并等节点，支持串并行</w:t>
            </w:r>
          </w:p>
        </w:tc>
        <w:tc>
          <w:tcPr>
            <w:tcW w:type="dxa" w:w="33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跨 API/函数的复杂加工与流程编排</w:t>
            </w:r>
          </w:p>
        </w:tc>
      </w:tr>
    </w:tbl>
    <w:p>
      <w:pPr>
        <w:spacing w:after="0"/>
      </w:pPr>
    </w:p>
    <w:p>
      <w:pPr/>
      <w:r>
        <w:rPr>
          <w:rFonts w:ascii="Calibri" w:hAnsi="Calibri" w:eastAsia="Microsoft YaHei"/>
        </w:rPr>
        <w:t>API 生命周期由保存、测试、发布、版本、灰度、下线和详情运维构成。测试环境可直接发布；线上环境是否审批取决于项目配置。发布后可按应用授权、设置 QPS、查看血缘、配置报警和调用监控。 [S8-S11]</w:t>
      </w:r>
    </w:p>
    <w:p>
      <w:pPr>
        <w:shd w:fill="F4F6F9"/>
        <w:pBdr>
          <w:left w:val="single" w:sz="18" w:space="7" w:color="2E74B5"/>
        </w:pBdr>
        <w:spacing w:before="100" w:after="160" w:line="269" w:lineRule="auto"/>
        <w:ind w:left="144" w:right="115"/>
      </w:pPr>
      <w:r>
        <w:rPr>
          <w:rFonts w:ascii="Calibri" w:hAnsi="Calibri" w:eastAsia="Microsoft YaHei"/>
          <w:b/>
          <w:color w:val="2E74B5"/>
          <w:sz w:val="21"/>
        </w:rPr>
        <w:t xml:space="preserve">开发安全边界  </w:t>
      </w:r>
      <w:r>
        <w:rPr>
          <w:rFonts w:ascii="Calibri" w:hAnsi="Calibri" w:eastAsia="Microsoft YaHei"/>
          <w:color w:val="0B2545"/>
          <w:sz w:val="21"/>
        </w:rPr>
        <w:t>OneService/Dynamic SQL 支持参数占位和条件生成。官方 Dynamic SQL 页面建议优先使用 #{} 以按数据类型生成 SQL 片段并降低 SQL 注入风险；语法能力存在明确限制，应将它视为平台 SQL 运行时而非任意数据库客户端。 [S12][S13]</w:t>
      </w:r>
    </w:p>
    <w:p>
      <w:pPr>
        <w:pStyle w:val="Heading2"/>
      </w:pPr>
      <w:r>
        <w:t>5.4 数据集市：从‘资产存在’到‘资产可复用’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/>
          <w:color w:val="0B2545"/>
        </w:rPr>
        <w:t>API 集市：</w:t>
      </w:r>
      <w:r>
        <w:rPr>
          <w:rFonts w:ascii="Calibri" w:hAnsi="Calibri" w:eastAsia="Microsoft YaHei"/>
        </w:rPr>
        <w:t>已上架 API 可被搜索、查看详情和申请调用；申请时绑定应用、最大 QPS、有效期等。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/>
          <w:color w:val="0B2545"/>
        </w:rPr>
        <w:t>逻辑表集市：</w:t>
      </w:r>
      <w:r>
        <w:rPr>
          <w:rFonts w:ascii="Calibri" w:hAnsi="Calibri" w:eastAsia="Microsoft YaHei"/>
        </w:rPr>
        <w:t>同一业务线下，其他项目的逻辑表可被搜索、探查和申请授权；仅能为自己已加入的项目申请。</w:t>
      </w:r>
    </w:p>
    <w:p>
      <w:pPr/>
      <w:r>
        <w:rPr>
          <w:rFonts w:ascii="Calibri" w:hAnsi="Calibri" w:eastAsia="Microsoft YaHei"/>
        </w:rPr>
        <w:t>两类集市分别服务两种复用：API 集市复用“已封装的服务产品”，逻辑表集市复用“可继续开发的标准数据契约”。这是减少 API 和逻辑表重复开发的主要机制。</w:t>
      </w:r>
    </w:p>
    <w:p>
      <w:pPr>
        <w:pStyle w:val="Heading2"/>
      </w:pPr>
      <w:r>
        <w:t>5.5 运行保障：把服务上线后的问题纳入平台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4200"/>
        <w:gridCol w:w="346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保障主题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官方能力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业务效果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容量与流控</w:t>
            </w:r>
          </w:p>
        </w:tc>
        <w:tc>
          <w:tcPr>
            <w:tcW w:type="dxa" w:w="42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API 最大 QPS、应用授权 QPS、数据源限流</w:t>
            </w:r>
          </w:p>
        </w:tc>
        <w:tc>
          <w:tcPr>
            <w:tcW w:type="dxa" w:w="34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防止单一消费者或 API 压垮存储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可观测性</w:t>
            </w:r>
          </w:p>
        </w:tc>
        <w:tc>
          <w:tcPr>
            <w:tcW w:type="dxa" w:w="42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QPS、成功率、请求失败率、PCT99、失败次数</w:t>
            </w:r>
          </w:p>
        </w:tc>
        <w:tc>
          <w:tcPr>
            <w:tcW w:type="dxa" w:w="34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按应用和时间范围定位性能与稳定性问题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告警</w:t>
            </w:r>
          </w:p>
        </w:tc>
        <w:tc>
          <w:tcPr>
            <w:tcW w:type="dxa" w:w="42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Notice/P2/P1/P0、升级策略、短信/Webhook</w:t>
            </w:r>
          </w:p>
        </w:tc>
        <w:tc>
          <w:tcPr>
            <w:tcW w:type="dxa" w:w="34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把异常推送给项目成员并形成响应升级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变更控制</w:t>
            </w:r>
          </w:p>
        </w:tc>
        <w:tc>
          <w:tcPr>
            <w:tcW w:type="dxa" w:w="42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版本记录、版本对比、发布/下线审批、通知、灰度比例</w:t>
            </w:r>
          </w:p>
        </w:tc>
        <w:tc>
          <w:tcPr>
            <w:tcW w:type="dxa" w:w="34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降低发布和回滚风险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依赖追溯</w:t>
            </w:r>
          </w:p>
        </w:tc>
        <w:tc>
          <w:tcPr>
            <w:tcW w:type="dxa" w:w="42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数据源→物理表→逻辑表→API→应用血缘</w:t>
            </w:r>
          </w:p>
        </w:tc>
        <w:tc>
          <w:tcPr>
            <w:tcW w:type="dxa" w:w="34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支持影响分析、下线决策和问题定位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容灾</w:t>
            </w:r>
          </w:p>
        </w:tc>
        <w:tc>
          <w:tcPr>
            <w:tcW w:type="dxa" w:w="42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逻辑表主备、物理表切换、数据源按比例切流</w:t>
            </w:r>
          </w:p>
        </w:tc>
        <w:tc>
          <w:tcPr>
            <w:tcW w:type="dxa" w:w="34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在底层存储异常或迁移时维持服务</w:t>
            </w:r>
          </w:p>
        </w:tc>
      </w:tr>
    </w:tbl>
    <w:p>
      <w:pPr>
        <w:spacing w:after="0"/>
      </w:pPr>
    </w:p>
    <w:p>
      <w:pPr>
        <w:pStyle w:val="Heading1"/>
      </w:pPr>
      <w:r>
        <w:t>6 角色与职责架构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1400"/>
        <w:gridCol w:w="3860"/>
        <w:gridCol w:w="2500"/>
      </w:tblGrid>
      <w:tr>
        <w:trPr>
          <w:tblHeader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角色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作用域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主要职责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架构定位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系统管理员</w:t>
            </w:r>
          </w:p>
        </w:tc>
        <w:tc>
          <w:tcPr>
            <w:tcW w:type="dxa" w:w="14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租户</w:t>
            </w:r>
          </w:p>
        </w:tc>
        <w:tc>
          <w:tcPr>
            <w:tcW w:type="dxa" w:w="38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管理业务线及租户内资源</w:t>
            </w:r>
          </w:p>
        </w:tc>
        <w:tc>
          <w:tcPr>
            <w:tcW w:type="dxa" w:w="25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全局治理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业务线管理员</w:t>
            </w:r>
          </w:p>
        </w:tc>
        <w:tc>
          <w:tcPr>
            <w:tcW w:type="dxa" w:w="14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业务线</w:t>
            </w:r>
          </w:p>
        </w:tc>
        <w:tc>
          <w:tcPr>
            <w:tcW w:type="dxa" w:w="38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管理业务线、项目及线内资源</w:t>
            </w:r>
          </w:p>
        </w:tc>
        <w:tc>
          <w:tcPr>
            <w:tcW w:type="dxa" w:w="25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业务域治理和共享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项目管理员</w:t>
            </w:r>
          </w:p>
        </w:tc>
        <w:tc>
          <w:tcPr>
            <w:tcW w:type="dxa" w:w="14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项目</w:t>
            </w:r>
          </w:p>
        </w:tc>
        <w:tc>
          <w:tcPr>
            <w:tcW w:type="dxa" w:w="38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注册数据源、管理成员和项目设置</w:t>
            </w:r>
          </w:p>
        </w:tc>
        <w:tc>
          <w:tcPr>
            <w:tcW w:type="dxa" w:w="25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项目边界与策略负责人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数据开发</w:t>
            </w:r>
          </w:p>
        </w:tc>
        <w:tc>
          <w:tcPr>
            <w:tcW w:type="dxa" w:w="14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项目</w:t>
            </w:r>
          </w:p>
        </w:tc>
        <w:tc>
          <w:tcPr>
            <w:tcW w:type="dxa" w:w="38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创建/编辑物理表、逻辑表和自己负责的 API</w:t>
            </w:r>
          </w:p>
        </w:tc>
        <w:tc>
          <w:tcPr>
            <w:tcW w:type="dxa" w:w="25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数据契约生产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API 开发</w:t>
            </w:r>
          </w:p>
        </w:tc>
        <w:tc>
          <w:tcPr>
            <w:tcW w:type="dxa" w:w="14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项目</w:t>
            </w:r>
          </w:p>
        </w:tc>
        <w:tc>
          <w:tcPr>
            <w:tcW w:type="dxa" w:w="38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读取有权限逻辑表，创建、测试和编辑自己的 API</w:t>
            </w:r>
          </w:p>
        </w:tc>
        <w:tc>
          <w:tcPr>
            <w:tcW w:type="dxa" w:w="25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服务逻辑生产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API 发布</w:t>
            </w:r>
          </w:p>
        </w:tc>
        <w:tc>
          <w:tcPr>
            <w:tcW w:type="dxa" w:w="14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项目</w:t>
            </w:r>
          </w:p>
        </w:tc>
        <w:tc>
          <w:tcPr>
            <w:tcW w:type="dxa" w:w="38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测试、发布、下线及应用授权</w:t>
            </w:r>
          </w:p>
        </w:tc>
        <w:tc>
          <w:tcPr>
            <w:tcW w:type="dxa" w:w="25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发布与运行权限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QA</w:t>
            </w:r>
          </w:p>
        </w:tc>
        <w:tc>
          <w:tcPr>
            <w:tcW w:type="dxa" w:w="14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项目</w:t>
            </w:r>
          </w:p>
        </w:tc>
        <w:tc>
          <w:tcPr>
            <w:tcW w:type="dxa" w:w="38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API 测试及特定环境表配置</w:t>
            </w:r>
          </w:p>
        </w:tc>
        <w:tc>
          <w:tcPr>
            <w:tcW w:type="dxa" w:w="25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质量验证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应用管理员</w:t>
            </w:r>
          </w:p>
        </w:tc>
        <w:tc>
          <w:tcPr>
            <w:tcW w:type="dxa" w:w="14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应用</w:t>
            </w:r>
          </w:p>
        </w:tc>
        <w:tc>
          <w:tcPr>
            <w:tcW w:type="dxa" w:w="38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管理应用及密钥、申请/查看 API 权限</w:t>
            </w:r>
          </w:p>
        </w:tc>
        <w:tc>
          <w:tcPr>
            <w:tcW w:type="dxa" w:w="25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消费侧身份与凭据</w:t>
            </w:r>
          </w:p>
        </w:tc>
      </w:tr>
    </w:tbl>
    <w:p>
      <w:pPr>
        <w:spacing w:after="0"/>
      </w:pPr>
    </w:p>
    <w:p>
      <w:pPr>
        <w:shd w:fill="E8EEF5"/>
        <w:pBdr>
          <w:left w:val="single" w:sz="18" w:space="7" w:color="2E74B5"/>
        </w:pBdr>
        <w:spacing w:before="100" w:after="160" w:line="269" w:lineRule="auto"/>
        <w:ind w:left="144" w:right="115"/>
      </w:pPr>
      <w:r>
        <w:rPr>
          <w:rFonts w:ascii="Calibri" w:hAnsi="Calibri" w:eastAsia="Microsoft YaHei"/>
          <w:b/>
          <w:color w:val="2E74B5"/>
          <w:sz w:val="21"/>
        </w:rPr>
        <w:t xml:space="preserve">职责分离  </w:t>
      </w:r>
      <w:r>
        <w:rPr>
          <w:rFonts w:ascii="Calibri" w:hAnsi="Calibri" w:eastAsia="Microsoft YaHei"/>
          <w:color w:val="0B2545"/>
          <w:sz w:val="21"/>
        </w:rPr>
        <w:t>页面将 API 开发、测试、发布、下线和授权拆分给不同角色，并可叠加项目级审批策略。这说明平台的目标不仅是提高开发效率，也包括控制生产变更权限。 [S16][S17]</w:t>
      </w:r>
    </w:p>
    <w:p>
      <w:pPr>
        <w:pStyle w:val="Heading1"/>
      </w:pPr>
      <w:r>
        <w:t>7 典型业务场景</w:t>
      </w:r>
    </w:p>
    <w:p>
      <w:pPr>
        <w:pStyle w:val="Heading2"/>
      </w:pPr>
      <w:r>
        <w:t>场景 A：快速把数据库表服务化</w:t>
      </w:r>
    </w:p>
    <w:p>
      <w:pPr/>
      <w:r>
        <w:rPr>
          <w:rFonts w:ascii="Calibri" w:hAnsi="Calibri" w:eastAsia="Microsoft YaHei"/>
        </w:rPr>
        <w:t>准备项目与权限 → 注册 MySQL/ByteHouse 等数据源 → 登记物理表 → 创建逻辑表 → 选择向导式或脚本式 API → 测试、发布 → 授权应用 → HTTP 调用。</w:t>
      </w:r>
    </w:p>
    <w:p>
      <w:pPr>
        <w:pStyle w:val="Heading2"/>
      </w:pPr>
      <w:r>
        <w:t>场景 B：同业务线跨项目复用</w:t>
      </w:r>
    </w:p>
    <w:p>
      <w:pPr/>
      <w:r>
        <w:rPr>
          <w:rFonts w:ascii="Calibri" w:hAnsi="Calibri" w:eastAsia="Microsoft YaHei"/>
        </w:rPr>
        <w:t>先在逻辑表集市申请数据契约，或在 API 集市直接申请已发布服务；审批通过后绑定目标项目或应用，避免重复建表和重复开发接口。</w:t>
      </w:r>
    </w:p>
    <w:p>
      <w:pPr>
        <w:pStyle w:val="Heading2"/>
      </w:pPr>
      <w:r>
        <w:t>场景 C：复杂服务组合</w:t>
      </w:r>
    </w:p>
    <w:p>
      <w:pPr/>
      <w:r>
        <w:rPr>
          <w:rFonts w:ascii="Calibri" w:hAnsi="Calibri" w:eastAsia="Microsoft YaHei"/>
        </w:rPr>
        <w:t>把多个 API、FaaS 函数、条件和合并节点编排成串行/并行流程，整体作为特殊 API 测试、发布和运维。</w:t>
      </w:r>
    </w:p>
    <w:p>
      <w:pPr>
        <w:pStyle w:val="Heading2"/>
      </w:pPr>
      <w:r>
        <w:t>场景 D：线上数据库异常</w:t>
      </w:r>
    </w:p>
    <w:p>
      <w:pPr/>
      <w:r>
        <w:rPr>
          <w:rFonts w:ascii="Calibri" w:hAnsi="Calibri" w:eastAsia="Microsoft YaHei"/>
        </w:rPr>
        <w:t>利用调用监控和告警发现问题，通过血缘识别受影响 API/应用，再按应用和 API 配置数据源切流；必要时结合逻辑表主备和 API 灰度控制影响面。</w:t>
      </w:r>
    </w:p>
    <w:p>
      <w:pPr>
        <w:pStyle w:val="Heading2"/>
      </w:pPr>
      <w:r>
        <w:t>场景 E：高风险版本变更</w:t>
      </w:r>
    </w:p>
    <w:p>
      <w:pPr/>
      <w:r>
        <w:rPr>
          <w:rFonts w:ascii="Calibri" w:hAnsi="Calibri" w:eastAsia="Microsoft YaHei"/>
        </w:rPr>
        <w:t>在测试环境验证，线上发布按项目策略审批并通知下游；先以灰度比例导入小部分流量，观察成功率/PCT99/告警，再扩大或回退。</w:t>
      </w:r>
    </w:p>
    <w:p>
      <w:pPr>
        <w:pStyle w:val="Heading1"/>
      </w:pPr>
      <w:r>
        <w:t>8 架构优势、边界与关注点</w:t>
      </w:r>
    </w:p>
    <w:p>
      <w:pPr>
        <w:pStyle w:val="Heading2"/>
      </w:pPr>
      <w:r>
        <w:t>8.1 官方明确的优势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</w:rPr>
        <w:t>统一接口标准和服务元信息，屏蔽不同中间存储，减少下游对接。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</w:rPr>
        <w:t>数据计算逻辑收敛到平台，促进跨应用口径一致和逻辑复用。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</w:rPr>
        <w:t>减少应用侧重复计算、重复存储及敏感明细数据暴露。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</w:rPr>
        <w:t>通过审核、鉴权、限流、监控和告警降低服务治理成本。</w:t>
      </w:r>
    </w:p>
    <w:p>
      <w:pPr>
        <w:pStyle w:val="Heading2"/>
      </w:pPr>
      <w:r>
        <w:t>8.2 从页面关系推导的架构关注点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400"/>
        <w:gridCol w:w="41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关注点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依据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建议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逻辑表治理是核心</w:t>
            </w:r>
          </w:p>
        </w:tc>
        <w:tc>
          <w:tcPr>
            <w:tcW w:type="dxa" w:w="34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字段、查询约束、授权或物理表映射变更都会影响下游 API</w:t>
            </w:r>
          </w:p>
        </w:tc>
        <w:tc>
          <w:tcPr>
            <w:tcW w:type="dxa" w:w="41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把逻辑表视为正式数据契约，建立变更评审和影响分析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项目是强边界</w:t>
            </w:r>
          </w:p>
        </w:tc>
        <w:tc>
          <w:tcPr>
            <w:tcW w:type="dxa" w:w="34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大多数资源、角色和策略以项目为单位</w:t>
            </w:r>
          </w:p>
        </w:tc>
        <w:tc>
          <w:tcPr>
            <w:tcW w:type="dxa" w:w="41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项目划分应贴合团队责任、业务域和数据访问边界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应用是运行时责任主体</w:t>
            </w:r>
          </w:p>
        </w:tc>
        <w:tc>
          <w:tcPr>
            <w:tcW w:type="dxa" w:w="34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授权、密钥、QPS 和监控均可落到应用</w:t>
            </w:r>
          </w:p>
        </w:tc>
        <w:tc>
          <w:tcPr>
            <w:tcW w:type="dxa" w:w="41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统一应用标志符命名，定期轮换密钥和回收闲置权限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治理策略可配置</w:t>
            </w:r>
          </w:p>
        </w:tc>
        <w:tc>
          <w:tcPr>
            <w:tcW w:type="dxa" w:w="34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发布、上架、下线、QPS 审批取决于项目设置</w:t>
            </w:r>
          </w:p>
        </w:tc>
        <w:tc>
          <w:tcPr>
            <w:tcW w:type="dxa" w:w="41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按业务等级设定差异化策略，避免一刀切或完全放开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容灾能力分层</w:t>
            </w:r>
          </w:p>
        </w:tc>
        <w:tc>
          <w:tcPr>
            <w:tcW w:type="dxa" w:w="34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数据源切流、逻辑表主备、API 灰度分别作用于不同层</w:t>
            </w:r>
          </w:p>
        </w:tc>
        <w:tc>
          <w:tcPr>
            <w:tcW w:type="dxa" w:w="41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明确触发条件、负责人和回退路径，避免临时操作放大风险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文档能力会演进</w:t>
            </w:r>
          </w:p>
        </w:tc>
        <w:tc>
          <w:tcPr>
            <w:tcW w:type="dxa" w:w="34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页面更新时间跨度较大，部分入口和数据源类型已更新</w:t>
            </w:r>
          </w:p>
        </w:tc>
        <w:tc>
          <w:tcPr>
            <w:tcW w:type="dxa" w:w="41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落地前应按当前租户控制台和最新页面再次核验</w:t>
            </w:r>
          </w:p>
        </w:tc>
      </w:tr>
    </w:tbl>
    <w:p>
      <w:pPr>
        <w:spacing w:after="0"/>
      </w:pPr>
    </w:p>
    <w:p>
      <w:pPr>
        <w:pStyle w:val="Heading1"/>
      </w:pPr>
      <w:r>
        <w:t>9 业务架构总结</w:t>
      </w:r>
    </w:p>
    <w:p>
      <w:pPr>
        <w:shd w:fill="E8EEF5"/>
        <w:pBdr>
          <w:left w:val="single" w:sz="18" w:space="7" w:color="1F4D78"/>
        </w:pBdr>
        <w:spacing w:before="100" w:after="160" w:line="269" w:lineRule="auto"/>
        <w:ind w:left="144" w:right="115"/>
      </w:pPr>
      <w:r>
        <w:rPr>
          <w:rFonts w:ascii="Calibri" w:hAnsi="Calibri" w:eastAsia="Microsoft YaHei"/>
          <w:b/>
          <w:color w:val="1F4D78"/>
          <w:sz w:val="21"/>
        </w:rPr>
        <w:t xml:space="preserve">最终判断  </w:t>
      </w:r>
      <w:r>
        <w:rPr>
          <w:rFonts w:ascii="Calibri" w:hAnsi="Calibri" w:eastAsia="Microsoft YaHei"/>
          <w:color w:val="0B2545"/>
          <w:sz w:val="21"/>
        </w:rPr>
        <w:t>DataLeap 数据服务的核心不是把 SQL 暴露成 HTTP，而是把数据供给、逻辑契约、服务产品、消费身份和运行治理放进同一生命周期。其业务架构以项目为隔离单元、以业务线为复用边界、以逻辑表为解耦层、以应用授权为消费控制点，并通过审批与可观测性形成运营闭环。</w:t>
      </w:r>
    </w:p>
    <w:p>
      <w:pPr/>
      <w:r>
        <w:rPr>
          <w:rFonts w:ascii="Calibri" w:hAnsi="Calibri" w:eastAsia="Microsoft YaHei"/>
        </w:rPr>
        <w:t>如果将这套能力映射到企业数据中台，可将其理解为“数据服务工厂 + 服务目录 + API 运营平台 + 数据访问治理”的组合：前半段负责生产标准服务，后半段负责让服务被安全、稳定、可追踪地消费。</w:t>
      </w:r>
    </w:p>
    <w:p>
      <w:pPr>
        <w:pStyle w:val="Heading1"/>
      </w:pPr>
      <w:r>
        <w:t>附录 A 目录页清单与来源</w:t>
      </w:r>
    </w:p>
    <w:p>
      <w:pPr/>
      <w:r>
        <w:rPr>
          <w:rFonts w:ascii="Calibri" w:hAnsi="Calibri" w:eastAsia="Microsoft YaHei"/>
        </w:rPr>
        <w:t>以下页面均属于本次主范围。链接指向火山引擎官方文档，访问日期为 2026-08-25。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50"/>
        <w:gridCol w:w="2300"/>
        <w:gridCol w:w="1850"/>
        <w:gridCol w:w="4560"/>
      </w:tblGrid>
      <w:tr>
        <w:trPr>
          <w:tblHeader w:val="true"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编号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官方页面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目录模块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用于本报告的证据</w:t>
            </w:r>
          </w:p>
        </w:tc>
      </w:tr>
      <w:tr>
        <w:tc>
          <w:tcPr>
            <w:tcW w:type="dxa" w:w="65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S1</w:t>
            </w:r>
          </w:p>
        </w:tc>
        <w:tc>
          <w:tcPr>
            <w:tcW w:type="dxa" w:w="2300"/>
          </w:tcPr>
          <w:p>
            <w:pPr>
              <w:spacing w:after="0"/>
            </w:pPr>
            <w:r/>
            <w:hyperlink r:id="rId11">
              <w:r>
                <w:rPr>
                  <w:color w:val="2E74B5"/>
                  <w:sz w:val="18"/>
                  <w:szCs w:val="18"/>
                  <w:rFonts w:ascii="Calibri" w:hAnsi="Calibri" w:eastAsia="Microsoft YaHei"/>
                  <w:u w:val="single"/>
                </w:rPr>
                <w:t>概述</w:t>
              </w:r>
            </w:hyperlink>
          </w:p>
        </w:tc>
        <w:tc>
          <w:tcPr>
            <w:tcW w:type="dxa" w:w="18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数据服务简介</w:t>
            </w:r>
          </w:p>
        </w:tc>
        <w:tc>
          <w:tcPr>
            <w:tcW w:type="dxa" w:w="45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定位、价值、优势与‘配置即服务’</w:t>
            </w:r>
          </w:p>
        </w:tc>
      </w:tr>
      <w:tr>
        <w:tc>
          <w:tcPr>
            <w:tcW w:type="dxa" w:w="65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S2</w:t>
            </w:r>
          </w:p>
        </w:tc>
        <w:tc>
          <w:tcPr>
            <w:tcW w:type="dxa" w:w="2300"/>
          </w:tcPr>
          <w:p>
            <w:pPr>
              <w:spacing w:after="0"/>
            </w:pPr>
            <w:r/>
            <w:hyperlink r:id="rId14">
              <w:r>
                <w:rPr>
                  <w:color w:val="2E74B5"/>
                  <w:sz w:val="18"/>
                  <w:szCs w:val="18"/>
                  <w:rFonts w:ascii="Calibri" w:hAnsi="Calibri" w:eastAsia="Microsoft YaHei"/>
                  <w:u w:val="single"/>
                </w:rPr>
                <w:t>基本概念</w:t>
              </w:r>
            </w:hyperlink>
          </w:p>
        </w:tc>
        <w:tc>
          <w:tcPr>
            <w:tcW w:type="dxa" w:w="18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数据服务简介</w:t>
            </w:r>
          </w:p>
        </w:tc>
        <w:tc>
          <w:tcPr>
            <w:tcW w:type="dxa" w:w="45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业务线、项目、物理表、逻辑表、应用定义</w:t>
            </w:r>
          </w:p>
        </w:tc>
      </w:tr>
      <w:tr>
        <w:tc>
          <w:tcPr>
            <w:tcW w:type="dxa" w:w="65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S3</w:t>
            </w:r>
          </w:p>
        </w:tc>
        <w:tc>
          <w:tcPr>
            <w:tcW w:type="dxa" w:w="2300"/>
          </w:tcPr>
          <w:p>
            <w:pPr>
              <w:spacing w:after="0"/>
            </w:pPr>
            <w:r/>
            <w:hyperlink r:id="rId15">
              <w:r>
                <w:rPr>
                  <w:color w:val="2E74B5"/>
                  <w:sz w:val="18"/>
                  <w:szCs w:val="18"/>
                  <w:rFonts w:ascii="Calibri" w:hAnsi="Calibri" w:eastAsia="Microsoft YaHei"/>
                  <w:u w:val="single"/>
                </w:rPr>
                <w:t>快速入门</w:t>
              </w:r>
            </w:hyperlink>
          </w:p>
        </w:tc>
        <w:tc>
          <w:tcPr>
            <w:tcW w:type="dxa" w:w="18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数据服务简介</w:t>
            </w:r>
          </w:p>
        </w:tc>
        <w:tc>
          <w:tcPr>
            <w:tcW w:type="dxa" w:w="45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从准备到调用的端到端主流程</w:t>
            </w:r>
          </w:p>
        </w:tc>
      </w:tr>
      <w:tr>
        <w:tc>
          <w:tcPr>
            <w:tcW w:type="dxa" w:w="65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S4</w:t>
            </w:r>
          </w:p>
        </w:tc>
        <w:tc>
          <w:tcPr>
            <w:tcW w:type="dxa" w:w="2300"/>
          </w:tcPr>
          <w:p>
            <w:pPr>
              <w:spacing w:after="0"/>
            </w:pPr>
            <w:r/>
            <w:hyperlink r:id="rId16">
              <w:r>
                <w:rPr>
                  <w:color w:val="2E74B5"/>
                  <w:sz w:val="18"/>
                  <w:szCs w:val="18"/>
                  <w:rFonts w:ascii="Calibri" w:hAnsi="Calibri" w:eastAsia="Microsoft YaHei"/>
                  <w:u w:val="single"/>
                </w:rPr>
                <w:t>创建数据源</w:t>
              </w:r>
            </w:hyperlink>
          </w:p>
        </w:tc>
        <w:tc>
          <w:tcPr>
            <w:tcW w:type="dxa" w:w="18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数据源</w:t>
            </w:r>
          </w:p>
        </w:tc>
        <w:tc>
          <w:tcPr>
            <w:tcW w:type="dxa" w:w="45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数据源注册、连接、连通性与支持类型</w:t>
            </w:r>
          </w:p>
        </w:tc>
      </w:tr>
      <w:tr>
        <w:tc>
          <w:tcPr>
            <w:tcW w:type="dxa" w:w="65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S5</w:t>
            </w:r>
          </w:p>
        </w:tc>
        <w:tc>
          <w:tcPr>
            <w:tcW w:type="dxa" w:w="2300"/>
          </w:tcPr>
          <w:p>
            <w:pPr>
              <w:spacing w:after="0"/>
            </w:pPr>
            <w:r/>
            <w:hyperlink r:id="rId17">
              <w:r>
                <w:rPr>
                  <w:color w:val="2E74B5"/>
                  <w:sz w:val="18"/>
                  <w:szCs w:val="18"/>
                  <w:rFonts w:ascii="Calibri" w:hAnsi="Calibri" w:eastAsia="Microsoft YaHei"/>
                  <w:u w:val="single"/>
                </w:rPr>
                <w:t>数据源切流</w:t>
              </w:r>
            </w:hyperlink>
          </w:p>
        </w:tc>
        <w:tc>
          <w:tcPr>
            <w:tcW w:type="dxa" w:w="18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数据源</w:t>
            </w:r>
          </w:p>
        </w:tc>
        <w:tc>
          <w:tcPr>
            <w:tcW w:type="dxa" w:w="45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数据库负载/异常下的流量迁移</w:t>
            </w:r>
          </w:p>
        </w:tc>
      </w:tr>
      <w:tr>
        <w:tc>
          <w:tcPr>
            <w:tcW w:type="dxa" w:w="65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S6</w:t>
            </w:r>
          </w:p>
        </w:tc>
        <w:tc>
          <w:tcPr>
            <w:tcW w:type="dxa" w:w="2300"/>
          </w:tcPr>
          <w:p>
            <w:pPr>
              <w:spacing w:after="0"/>
            </w:pPr>
            <w:r/>
            <w:hyperlink r:id="rId18">
              <w:r>
                <w:rPr>
                  <w:color w:val="2E74B5"/>
                  <w:sz w:val="18"/>
                  <w:szCs w:val="18"/>
                  <w:rFonts w:ascii="Calibri" w:hAnsi="Calibri" w:eastAsia="Microsoft YaHei"/>
                  <w:u w:val="single"/>
                </w:rPr>
                <w:t>物理表管理</w:t>
              </w:r>
            </w:hyperlink>
          </w:p>
        </w:tc>
        <w:tc>
          <w:tcPr>
            <w:tcW w:type="dxa" w:w="18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数据源</w:t>
            </w:r>
          </w:p>
        </w:tc>
        <w:tc>
          <w:tcPr>
            <w:tcW w:type="dxa" w:w="45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物理表元数据注册与安全等级</w:t>
            </w:r>
          </w:p>
        </w:tc>
      </w:tr>
      <w:tr>
        <w:tc>
          <w:tcPr>
            <w:tcW w:type="dxa" w:w="65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S7</w:t>
            </w:r>
          </w:p>
        </w:tc>
        <w:tc>
          <w:tcPr>
            <w:tcW w:type="dxa" w:w="2300"/>
          </w:tcPr>
          <w:p>
            <w:pPr>
              <w:spacing w:after="0"/>
            </w:pPr>
            <w:r/>
            <w:hyperlink r:id="rId19">
              <w:r>
                <w:rPr>
                  <w:color w:val="2E74B5"/>
                  <w:sz w:val="18"/>
                  <w:szCs w:val="18"/>
                  <w:rFonts w:ascii="Calibri" w:hAnsi="Calibri" w:eastAsia="Microsoft YaHei"/>
                  <w:u w:val="single"/>
                </w:rPr>
                <w:t>逻辑表管理</w:t>
              </w:r>
            </w:hyperlink>
          </w:p>
        </w:tc>
        <w:tc>
          <w:tcPr>
            <w:tcW w:type="dxa" w:w="18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数据源</w:t>
            </w:r>
          </w:p>
        </w:tc>
        <w:tc>
          <w:tcPr>
            <w:tcW w:type="dxa" w:w="45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逻辑模型、查询约束、授权、变更与主备</w:t>
            </w:r>
          </w:p>
        </w:tc>
      </w:tr>
      <w:tr>
        <w:tc>
          <w:tcPr>
            <w:tcW w:type="dxa" w:w="65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S8</w:t>
            </w:r>
          </w:p>
        </w:tc>
        <w:tc>
          <w:tcPr>
            <w:tcW w:type="dxa" w:w="2300"/>
          </w:tcPr>
          <w:p>
            <w:pPr>
              <w:spacing w:after="0"/>
            </w:pPr>
            <w:r/>
            <w:hyperlink r:id="rId20">
              <w:r>
                <w:rPr>
                  <w:color w:val="2E74B5"/>
                  <w:sz w:val="18"/>
                  <w:szCs w:val="18"/>
                  <w:rFonts w:ascii="Calibri" w:hAnsi="Calibri" w:eastAsia="Microsoft YaHei"/>
                  <w:u w:val="single"/>
                </w:rPr>
                <w:t>API 开发</w:t>
              </w:r>
            </w:hyperlink>
          </w:p>
        </w:tc>
        <w:tc>
          <w:tcPr>
            <w:tcW w:type="dxa" w:w="18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API</w:t>
            </w:r>
          </w:p>
        </w:tc>
        <w:tc>
          <w:tcPr>
            <w:tcW w:type="dxa" w:w="45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开发模式、测试、发布、版本、灰度</w:t>
            </w:r>
          </w:p>
        </w:tc>
      </w:tr>
      <w:tr>
        <w:tc>
          <w:tcPr>
            <w:tcW w:type="dxa" w:w="65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S9</w:t>
            </w:r>
          </w:p>
        </w:tc>
        <w:tc>
          <w:tcPr>
            <w:tcW w:type="dxa" w:w="2300"/>
          </w:tcPr>
          <w:p>
            <w:pPr>
              <w:spacing w:after="0"/>
            </w:pPr>
            <w:r/>
            <w:hyperlink r:id="rId21">
              <w:r>
                <w:rPr>
                  <w:color w:val="2E74B5"/>
                  <w:sz w:val="18"/>
                  <w:szCs w:val="18"/>
                  <w:rFonts w:ascii="Calibri" w:hAnsi="Calibri" w:eastAsia="Microsoft YaHei"/>
                  <w:u w:val="single"/>
                </w:rPr>
                <w:t>API 编排开发</w:t>
              </w:r>
            </w:hyperlink>
          </w:p>
        </w:tc>
        <w:tc>
          <w:tcPr>
            <w:tcW w:type="dxa" w:w="18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API</w:t>
            </w:r>
          </w:p>
        </w:tc>
        <w:tc>
          <w:tcPr>
            <w:tcW w:type="dxa" w:w="45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串并行编排及节点模型</w:t>
            </w:r>
          </w:p>
        </w:tc>
      </w:tr>
      <w:tr>
        <w:tc>
          <w:tcPr>
            <w:tcW w:type="dxa" w:w="65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S10</w:t>
            </w:r>
          </w:p>
        </w:tc>
        <w:tc>
          <w:tcPr>
            <w:tcW w:type="dxa" w:w="2300"/>
          </w:tcPr>
          <w:p>
            <w:pPr>
              <w:spacing w:after="0"/>
            </w:pPr>
            <w:r/>
            <w:hyperlink r:id="rId22">
              <w:r>
                <w:rPr>
                  <w:color w:val="2E74B5"/>
                  <w:sz w:val="18"/>
                  <w:szCs w:val="18"/>
                  <w:rFonts w:ascii="Calibri" w:hAnsi="Calibri" w:eastAsia="Microsoft YaHei"/>
                  <w:u w:val="single"/>
                </w:rPr>
                <w:t>API 调用</w:t>
              </w:r>
            </w:hyperlink>
          </w:p>
        </w:tc>
        <w:tc>
          <w:tcPr>
            <w:tcW w:type="dxa" w:w="18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API</w:t>
            </w:r>
          </w:p>
        </w:tc>
        <w:tc>
          <w:tcPr>
            <w:tcW w:type="dxa" w:w="45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HTTP 调用、应用密钥与请求返回约定</w:t>
            </w:r>
          </w:p>
        </w:tc>
      </w:tr>
      <w:tr>
        <w:tc>
          <w:tcPr>
            <w:tcW w:type="dxa" w:w="65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S11</w:t>
            </w:r>
          </w:p>
        </w:tc>
        <w:tc>
          <w:tcPr>
            <w:tcW w:type="dxa" w:w="2300"/>
          </w:tcPr>
          <w:p>
            <w:pPr>
              <w:spacing w:after="0"/>
            </w:pPr>
            <w:r/>
            <w:hyperlink r:id="rId23">
              <w:r>
                <w:rPr>
                  <w:color w:val="2E74B5"/>
                  <w:sz w:val="18"/>
                  <w:szCs w:val="18"/>
                  <w:rFonts w:ascii="Calibri" w:hAnsi="Calibri" w:eastAsia="Microsoft YaHei"/>
                  <w:u w:val="single"/>
                </w:rPr>
                <w:t>API 运维</w:t>
              </w:r>
            </w:hyperlink>
          </w:p>
        </w:tc>
        <w:tc>
          <w:tcPr>
            <w:tcW w:type="dxa" w:w="18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API</w:t>
            </w:r>
          </w:p>
        </w:tc>
        <w:tc>
          <w:tcPr>
            <w:tcW w:type="dxa" w:w="45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限流、授权、血缘、告警、监控</w:t>
            </w:r>
          </w:p>
        </w:tc>
      </w:tr>
      <w:tr>
        <w:tc>
          <w:tcPr>
            <w:tcW w:type="dxa" w:w="65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S12</w:t>
            </w:r>
          </w:p>
        </w:tc>
        <w:tc>
          <w:tcPr>
            <w:tcW w:type="dxa" w:w="2300"/>
          </w:tcPr>
          <w:p>
            <w:pPr>
              <w:spacing w:after="0"/>
            </w:pPr>
            <w:r/>
            <w:hyperlink r:id="rId24">
              <w:r>
                <w:rPr>
                  <w:color w:val="2E74B5"/>
                  <w:sz w:val="18"/>
                  <w:szCs w:val="18"/>
                  <w:rFonts w:ascii="Calibri" w:hAnsi="Calibri" w:eastAsia="Microsoft YaHei"/>
                  <w:u w:val="single"/>
                </w:rPr>
                <w:t>OneService 语法</w:t>
              </w:r>
            </w:hyperlink>
          </w:p>
        </w:tc>
        <w:tc>
          <w:tcPr>
            <w:tcW w:type="dxa" w:w="18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API</w:t>
            </w:r>
          </w:p>
        </w:tc>
        <w:tc>
          <w:tcPr>
            <w:tcW w:type="dxa" w:w="45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SQL 占位符、函数与语法边界</w:t>
            </w:r>
          </w:p>
        </w:tc>
      </w:tr>
      <w:tr>
        <w:tc>
          <w:tcPr>
            <w:tcW w:type="dxa" w:w="65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S13</w:t>
            </w:r>
          </w:p>
        </w:tc>
        <w:tc>
          <w:tcPr>
            <w:tcW w:type="dxa" w:w="2300"/>
          </w:tcPr>
          <w:p>
            <w:pPr>
              <w:spacing w:after="0"/>
            </w:pPr>
            <w:r/>
            <w:hyperlink r:id="rId25">
              <w:r>
                <w:rPr>
                  <w:color w:val="2E74B5"/>
                  <w:sz w:val="18"/>
                  <w:szCs w:val="18"/>
                  <w:rFonts w:ascii="Calibri" w:hAnsi="Calibri" w:eastAsia="Microsoft YaHei"/>
                  <w:u w:val="single"/>
                </w:rPr>
                <w:t>Dynamic SQL 语法</w:t>
              </w:r>
            </w:hyperlink>
          </w:p>
        </w:tc>
        <w:tc>
          <w:tcPr>
            <w:tcW w:type="dxa" w:w="18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API</w:t>
            </w:r>
          </w:p>
        </w:tc>
        <w:tc>
          <w:tcPr>
            <w:tcW w:type="dxa" w:w="45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动态 SQL 模板与条件生成</w:t>
            </w:r>
          </w:p>
        </w:tc>
      </w:tr>
      <w:tr>
        <w:tc>
          <w:tcPr>
            <w:tcW w:type="dxa" w:w="65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S14</w:t>
            </w:r>
          </w:p>
        </w:tc>
        <w:tc>
          <w:tcPr>
            <w:tcW w:type="dxa" w:w="2300"/>
          </w:tcPr>
          <w:p>
            <w:pPr>
              <w:spacing w:after="0"/>
            </w:pPr>
            <w:r/>
            <w:hyperlink r:id="rId26">
              <w:r>
                <w:rPr>
                  <w:color w:val="2E74B5"/>
                  <w:sz w:val="18"/>
                  <w:szCs w:val="18"/>
                  <w:rFonts w:ascii="Calibri" w:hAnsi="Calibri" w:eastAsia="Microsoft YaHei"/>
                  <w:u w:val="single"/>
                </w:rPr>
                <w:t>API集市</w:t>
              </w:r>
            </w:hyperlink>
          </w:p>
        </w:tc>
        <w:tc>
          <w:tcPr>
            <w:tcW w:type="dxa" w:w="18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数据集市</w:t>
            </w:r>
          </w:p>
        </w:tc>
        <w:tc>
          <w:tcPr>
            <w:tcW w:type="dxa" w:w="45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API 上架、搜索、申请调用与复用</w:t>
            </w:r>
          </w:p>
        </w:tc>
      </w:tr>
      <w:tr>
        <w:tc>
          <w:tcPr>
            <w:tcW w:type="dxa" w:w="65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S15</w:t>
            </w:r>
          </w:p>
        </w:tc>
        <w:tc>
          <w:tcPr>
            <w:tcW w:type="dxa" w:w="2300"/>
          </w:tcPr>
          <w:p>
            <w:pPr>
              <w:spacing w:after="0"/>
            </w:pPr>
            <w:r/>
            <w:hyperlink r:id="rId27">
              <w:r>
                <w:rPr>
                  <w:color w:val="2E74B5"/>
                  <w:sz w:val="18"/>
                  <w:szCs w:val="18"/>
                  <w:rFonts w:ascii="Calibri" w:hAnsi="Calibri" w:eastAsia="Microsoft YaHei"/>
                  <w:u w:val="single"/>
                </w:rPr>
                <w:t>逻辑表集市</w:t>
              </w:r>
            </w:hyperlink>
          </w:p>
        </w:tc>
        <w:tc>
          <w:tcPr>
            <w:tcW w:type="dxa" w:w="18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数据集市</w:t>
            </w:r>
          </w:p>
        </w:tc>
        <w:tc>
          <w:tcPr>
            <w:tcW w:type="dxa" w:w="45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同业务线跨项目逻辑表复用</w:t>
            </w:r>
          </w:p>
        </w:tc>
      </w:tr>
      <w:tr>
        <w:tc>
          <w:tcPr>
            <w:tcW w:type="dxa" w:w="65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S16</w:t>
            </w:r>
          </w:p>
        </w:tc>
        <w:tc>
          <w:tcPr>
            <w:tcW w:type="dxa" w:w="2300"/>
          </w:tcPr>
          <w:p>
            <w:pPr>
              <w:spacing w:after="0"/>
            </w:pPr>
            <w:r/>
            <w:hyperlink r:id="rId28">
              <w:r>
                <w:rPr>
                  <w:color w:val="2E74B5"/>
                  <w:sz w:val="18"/>
                  <w:szCs w:val="18"/>
                  <w:rFonts w:ascii="Calibri" w:hAnsi="Calibri" w:eastAsia="Microsoft YaHei"/>
                  <w:u w:val="single"/>
                </w:rPr>
                <w:t>账户权限管理</w:t>
              </w:r>
            </w:hyperlink>
          </w:p>
        </w:tc>
        <w:tc>
          <w:tcPr>
            <w:tcW w:type="dxa" w:w="18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系统管理</w:t>
            </w:r>
          </w:p>
        </w:tc>
        <w:tc>
          <w:tcPr>
            <w:tcW w:type="dxa" w:w="45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租户/业务线/项目分层角色权限</w:t>
            </w:r>
          </w:p>
        </w:tc>
      </w:tr>
      <w:tr>
        <w:tc>
          <w:tcPr>
            <w:tcW w:type="dxa" w:w="65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S17</w:t>
            </w:r>
          </w:p>
        </w:tc>
        <w:tc>
          <w:tcPr>
            <w:tcW w:type="dxa" w:w="2300"/>
          </w:tcPr>
          <w:p>
            <w:pPr>
              <w:spacing w:after="0"/>
            </w:pPr>
            <w:r/>
            <w:hyperlink r:id="rId29">
              <w:r>
                <w:rPr>
                  <w:color w:val="2E74B5"/>
                  <w:sz w:val="18"/>
                  <w:szCs w:val="18"/>
                  <w:rFonts w:ascii="Calibri" w:hAnsi="Calibri" w:eastAsia="Microsoft YaHei"/>
                  <w:u w:val="single"/>
                </w:rPr>
                <w:t>项目管理</w:t>
              </w:r>
            </w:hyperlink>
          </w:p>
        </w:tc>
        <w:tc>
          <w:tcPr>
            <w:tcW w:type="dxa" w:w="18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系统管理</w:t>
            </w:r>
          </w:p>
        </w:tc>
        <w:tc>
          <w:tcPr>
            <w:tcW w:type="dxa" w:w="45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项目隔离边界及发布、上架、QPS 等策略</w:t>
            </w:r>
          </w:p>
        </w:tc>
      </w:tr>
      <w:tr>
        <w:tc>
          <w:tcPr>
            <w:tcW w:type="dxa" w:w="65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S18</w:t>
            </w:r>
          </w:p>
        </w:tc>
        <w:tc>
          <w:tcPr>
            <w:tcW w:type="dxa" w:w="2300"/>
          </w:tcPr>
          <w:p>
            <w:pPr>
              <w:spacing w:after="0"/>
            </w:pPr>
            <w:r/>
            <w:hyperlink r:id="rId30">
              <w:r>
                <w:rPr>
                  <w:color w:val="2E74B5"/>
                  <w:sz w:val="18"/>
                  <w:szCs w:val="18"/>
                  <w:rFonts w:ascii="Calibri" w:hAnsi="Calibri" w:eastAsia="Microsoft YaHei"/>
                  <w:u w:val="single"/>
                </w:rPr>
                <w:t>业务线管理</w:t>
              </w:r>
            </w:hyperlink>
          </w:p>
        </w:tc>
        <w:tc>
          <w:tcPr>
            <w:tcW w:type="dxa" w:w="18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系统管理</w:t>
            </w:r>
          </w:p>
        </w:tc>
        <w:tc>
          <w:tcPr>
            <w:tcW w:type="dxa" w:w="45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业务域分组与跨项目复用边界</w:t>
            </w:r>
          </w:p>
        </w:tc>
      </w:tr>
      <w:tr>
        <w:tc>
          <w:tcPr>
            <w:tcW w:type="dxa" w:w="65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S19</w:t>
            </w:r>
          </w:p>
        </w:tc>
        <w:tc>
          <w:tcPr>
            <w:tcW w:type="dxa" w:w="2300"/>
          </w:tcPr>
          <w:p>
            <w:pPr>
              <w:spacing w:after="0"/>
            </w:pPr>
            <w:r/>
            <w:hyperlink r:id="rId31">
              <w:r>
                <w:rPr>
                  <w:color w:val="2E74B5"/>
                  <w:sz w:val="18"/>
                  <w:szCs w:val="18"/>
                  <w:rFonts w:ascii="Calibri" w:hAnsi="Calibri" w:eastAsia="Microsoft YaHei"/>
                  <w:u w:val="single"/>
                </w:rPr>
                <w:t>应用管理</w:t>
              </w:r>
            </w:hyperlink>
          </w:p>
        </w:tc>
        <w:tc>
          <w:tcPr>
            <w:tcW w:type="dxa" w:w="18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系统管理</w:t>
            </w:r>
          </w:p>
        </w:tc>
        <w:tc>
          <w:tcPr>
            <w:tcW w:type="dxa" w:w="45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消费应用、授权主体与密钥管理</w:t>
            </w:r>
          </w:p>
        </w:tc>
      </w:tr>
      <w:tr>
        <w:tc>
          <w:tcPr>
            <w:tcW w:type="dxa" w:w="65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S20</w:t>
            </w:r>
          </w:p>
        </w:tc>
        <w:tc>
          <w:tcPr>
            <w:tcW w:type="dxa" w:w="2300"/>
          </w:tcPr>
          <w:p>
            <w:pPr>
              <w:spacing w:after="0"/>
            </w:pPr>
            <w:r/>
            <w:hyperlink r:id="rId32">
              <w:r>
                <w:rPr>
                  <w:color w:val="2E74B5"/>
                  <w:sz w:val="18"/>
                  <w:szCs w:val="18"/>
                  <w:rFonts w:ascii="Calibri" w:hAnsi="Calibri" w:eastAsia="Microsoft YaHei"/>
                  <w:u w:val="single"/>
                </w:rPr>
                <w:t>公网配置</w:t>
              </w:r>
            </w:hyperlink>
          </w:p>
        </w:tc>
        <w:tc>
          <w:tcPr>
            <w:tcW w:type="dxa" w:w="18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系统管理/网络配置</w:t>
            </w:r>
          </w:p>
        </w:tc>
        <w:tc>
          <w:tcPr>
            <w:tcW w:type="dxa" w:w="45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公网入口与租户级配置</w:t>
            </w:r>
          </w:p>
        </w:tc>
      </w:tr>
      <w:tr>
        <w:tc>
          <w:tcPr>
            <w:tcW w:type="dxa" w:w="65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S21</w:t>
            </w:r>
          </w:p>
        </w:tc>
        <w:tc>
          <w:tcPr>
            <w:tcW w:type="dxa" w:w="2300"/>
          </w:tcPr>
          <w:p>
            <w:pPr>
              <w:spacing w:after="0"/>
            </w:pPr>
            <w:r/>
            <w:hyperlink r:id="rId33">
              <w:r>
                <w:rPr>
                  <w:color w:val="2E74B5"/>
                  <w:sz w:val="18"/>
                  <w:szCs w:val="18"/>
                  <w:rFonts w:ascii="Calibri" w:hAnsi="Calibri" w:eastAsia="Microsoft YaHei"/>
                  <w:u w:val="single"/>
                </w:rPr>
                <w:t>VPC配置</w:t>
              </w:r>
            </w:hyperlink>
          </w:p>
        </w:tc>
        <w:tc>
          <w:tcPr>
            <w:tcW w:type="dxa" w:w="18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系统管理/网络配置</w:t>
            </w:r>
          </w:p>
        </w:tc>
        <w:tc>
          <w:tcPr>
            <w:tcW w:type="dxa" w:w="45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私网调用、终端节点与资源组</w:t>
            </w:r>
          </w:p>
        </w:tc>
      </w:tr>
      <w:tr>
        <w:tc>
          <w:tcPr>
            <w:tcW w:type="dxa" w:w="65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S22</w:t>
            </w:r>
          </w:p>
        </w:tc>
        <w:tc>
          <w:tcPr>
            <w:tcW w:type="dxa" w:w="2300"/>
          </w:tcPr>
          <w:p>
            <w:pPr>
              <w:spacing w:after="0"/>
            </w:pPr>
            <w:r/>
            <w:hyperlink r:id="rId34">
              <w:r>
                <w:rPr>
                  <w:color w:val="2E74B5"/>
                  <w:sz w:val="18"/>
                  <w:szCs w:val="18"/>
                  <w:rFonts w:ascii="Calibri" w:hAnsi="Calibri" w:eastAsia="Microsoft YaHei"/>
                  <w:u w:val="single"/>
                </w:rPr>
                <w:t>审批中心</w:t>
              </w:r>
            </w:hyperlink>
          </w:p>
        </w:tc>
        <w:tc>
          <w:tcPr>
            <w:tcW w:type="dxa" w:w="18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系统管理</w:t>
            </w:r>
          </w:p>
        </w:tc>
        <w:tc>
          <w:tcPr>
            <w:tcW w:type="dxa" w:w="45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申请、审核、撤销与工单状态</w:t>
            </w:r>
          </w:p>
        </w:tc>
      </w:tr>
      <w:tr>
        <w:tc>
          <w:tcPr>
            <w:tcW w:type="dxa" w:w="65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S23</w:t>
            </w:r>
          </w:p>
        </w:tc>
        <w:tc>
          <w:tcPr>
            <w:tcW w:type="dxa" w:w="2300"/>
          </w:tcPr>
          <w:p>
            <w:pPr>
              <w:spacing w:after="0"/>
            </w:pPr>
            <w:r/>
            <w:hyperlink r:id="rId35">
              <w:r>
                <w:rPr>
                  <w:color w:val="2E74B5"/>
                  <w:sz w:val="18"/>
                  <w:szCs w:val="18"/>
                  <w:rFonts w:ascii="Calibri" w:hAnsi="Calibri" w:eastAsia="Microsoft YaHei"/>
                  <w:u w:val="single"/>
                </w:rPr>
                <w:t>标签管理</w:t>
              </w:r>
            </w:hyperlink>
          </w:p>
        </w:tc>
        <w:tc>
          <w:tcPr>
            <w:tcW w:type="dxa" w:w="18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系统管理</w:t>
            </w:r>
          </w:p>
        </w:tc>
        <w:tc>
          <w:tcPr>
            <w:tcW w:type="dxa" w:w="45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资产分类、公开/私有标签组与项目关联</w:t>
            </w:r>
          </w:p>
        </w:tc>
      </w:tr>
    </w:tbl>
    <w:p>
      <w:pPr>
        <w:pStyle w:val="Heading1"/>
      </w:pPr>
      <w:r>
        <w:t>附录 B 官方明确与架构归纳的边界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5000"/>
        <w:gridCol w:w="286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类型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内容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证据口径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官方明确</w:t>
            </w:r>
          </w:p>
        </w:tc>
        <w:tc>
          <w:tcPr>
            <w:tcW w:type="dxa" w:w="50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目录、对象定义、角色权限、配置项、使用前提、操作流程、监控指标、审批和切流规则</w:t>
            </w:r>
          </w:p>
        </w:tc>
        <w:tc>
          <w:tcPr>
            <w:tcW w:type="dxa" w:w="28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可在对应来源页直接找到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架构归纳</w:t>
            </w:r>
          </w:p>
        </w:tc>
        <w:tc>
          <w:tcPr>
            <w:tcW w:type="dxa" w:w="50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五层架构、控制面/运行面、对象关系图、典型场景串联、落地关注点</w:t>
            </w:r>
          </w:p>
        </w:tc>
        <w:tc>
          <w:tcPr>
            <w:tcW w:type="dxa" w:w="28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由多个官方页面之间的关系推导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未覆盖</w:t>
            </w:r>
          </w:p>
        </w:tc>
        <w:tc>
          <w:tcPr>
            <w:tcW w:type="dxa" w:w="50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具体租户的实际配置、组织职责、流量规模、SLA、成本与部署拓扑</w:t>
            </w:r>
          </w:p>
        </w:tc>
        <w:tc>
          <w:tcPr>
            <w:tcW w:type="dxa" w:w="28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需要结合企业现状另行调研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360" w:val="left"/>
      </w:tabs>
    </w:pPr>
    <w:r/>
    <w:r>
      <w:rPr>
        <w:rFonts w:ascii="Calibri" w:hAnsi="Calibri" w:eastAsia="Microsoft YaHei"/>
        <w:color w:val="5B6573"/>
        <w:sz w:val="18"/>
      </w:rPr>
      <w:t>资料截止：2026-08-25</w:t>
    </w:r>
    <w:r>
      <w:rPr>
        <w:rFonts w:ascii="Calibri" w:hAnsi="Calibri" w:eastAsia="Microsoft YaHei"/>
        <w:sz w:val="18"/>
      </w:rPr>
      <w:tab/>
    </w:r>
    <w:r>
      <w:rPr>
        <w:rFonts w:ascii="Calibri" w:hAnsi="Calibri" w:eastAsia="Microsoft YaHei"/>
        <w:color w:val="5B6573"/>
        <w:sz w:val="18"/>
      </w:rPr>
      <w:t xml:space="preserve">第 </w:t>
    </w:r>
    <w:r>
      <w:fldChar w:fldCharType="begin"/>
      <w:instrText xml:space="preserve"> PAGE </w:instrText>
      <w:fldChar w:fldCharType="end"/>
    </w:r>
    <w:r>
      <w:rPr>
        <w:rFonts w:ascii="Calibri" w:hAnsi="Calibri" w:eastAsia="Microsoft YaHei"/>
        <w:color w:val="5B6573"/>
        <w:sz w:val="18"/>
      </w:rPr>
      <w:t xml:space="preserve"> / </w:t>
    </w:r>
    <w:r>
      <w:fldChar w:fldCharType="begin"/>
      <w:instrText xml:space="preserve"> NUMPAGES </w:instrText>
      <w:fldChar w:fldCharType="end"/>
    </w:r>
    <w:r>
      <w:rPr>
        <w:rFonts w:ascii="Calibri" w:hAnsi="Calibri" w:eastAsia="Microsoft YaHei"/>
        <w:color w:val="5B6573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left"/>
      </w:tabs>
      <w:spacing w:after="0"/>
    </w:pPr>
    <w:r/>
    <w:r>
      <w:rPr>
        <w:rFonts w:ascii="Calibri" w:hAnsi="Calibri" w:eastAsia="Microsoft YaHei"/>
        <w:b/>
        <w:color w:val="0B2545"/>
        <w:sz w:val="17"/>
      </w:rPr>
      <w:t>火山引擎 DataLeap | 数据服务业务架构</w:t>
    </w:r>
    <w:r>
      <w:rPr>
        <w:rFonts w:ascii="Calibri" w:hAnsi="Calibri" w:eastAsia="Microsoft YaHei"/>
        <w:color w:val="5B6573"/>
        <w:sz w:val="17"/>
      </w:rPr>
      <w:tab/>
      <w:t>官方文档梳理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0B2545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20"/>
    </w:pPr>
    <w:rPr>
      <w:rFonts w:asciiTheme="majorHAnsi" w:eastAsiaTheme="majorEastAsia" w:hAnsiTheme="majorHAnsi" w:cstheme="majorBidi" w:ascii="Calibri" w:hAnsi="Calibri" w:eastAsia="Microsoft YaHei"/>
      <w:b w:val="0"/>
      <w:i/>
      <w:iCs/>
      <w:color w:val="5B6573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 w:eastAsia="Microsoft YaHei"/>
      <w:b/>
      <w:bCs/>
      <w:color w:val="5B6573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docs.volcengine.com/docs/6260/127499?lang=zh" TargetMode="Externa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hyperlink" Target="https://docs.volcengine.com/docs/6260/127705?lang=zh" TargetMode="External"/><Relationship Id="rId15" Type="http://schemas.openxmlformats.org/officeDocument/2006/relationships/hyperlink" Target="https://docs.volcengine.com/docs/6260/1154939?lang=zh" TargetMode="External"/><Relationship Id="rId16" Type="http://schemas.openxmlformats.org/officeDocument/2006/relationships/hyperlink" Target="https://docs.volcengine.com/docs/6260/127696?lang=zh" TargetMode="External"/><Relationship Id="rId17" Type="http://schemas.openxmlformats.org/officeDocument/2006/relationships/hyperlink" Target="https://docs.volcengine.com/docs/6260/127697?lang=zh" TargetMode="External"/><Relationship Id="rId18" Type="http://schemas.openxmlformats.org/officeDocument/2006/relationships/hyperlink" Target="https://docs.volcengine.com/docs/6260/127698?lang=zh" TargetMode="External"/><Relationship Id="rId19" Type="http://schemas.openxmlformats.org/officeDocument/2006/relationships/hyperlink" Target="https://docs.volcengine.com/docs/6260/1154905?lang=zh" TargetMode="External"/><Relationship Id="rId20" Type="http://schemas.openxmlformats.org/officeDocument/2006/relationships/hyperlink" Target="https://docs.volcengine.com/docs/6260/127699?lang=zh" TargetMode="External"/><Relationship Id="rId21" Type="http://schemas.openxmlformats.org/officeDocument/2006/relationships/hyperlink" Target="https://docs.volcengine.com/docs/6260/1208340?lang=zh" TargetMode="External"/><Relationship Id="rId22" Type="http://schemas.openxmlformats.org/officeDocument/2006/relationships/hyperlink" Target="https://docs.volcengine.com/docs/6260/127700?lang=zh" TargetMode="External"/><Relationship Id="rId23" Type="http://schemas.openxmlformats.org/officeDocument/2006/relationships/hyperlink" Target="https://docs.volcengine.com/docs/6260/127583?lang=zh" TargetMode="External"/><Relationship Id="rId24" Type="http://schemas.openxmlformats.org/officeDocument/2006/relationships/hyperlink" Target="https://docs.volcengine.com/docs/6260/127701?lang=zh" TargetMode="External"/><Relationship Id="rId25" Type="http://schemas.openxmlformats.org/officeDocument/2006/relationships/hyperlink" Target="https://docs.volcengine.com/docs/6260/1254733?lang=zh" TargetMode="External"/><Relationship Id="rId26" Type="http://schemas.openxmlformats.org/officeDocument/2006/relationships/hyperlink" Target="https://docs.volcengine.com/docs/6260/1148775?lang=zh" TargetMode="External"/><Relationship Id="rId27" Type="http://schemas.openxmlformats.org/officeDocument/2006/relationships/hyperlink" Target="https://docs.volcengine.com/docs/6260/1148776?lang=zh" TargetMode="External"/><Relationship Id="rId28" Type="http://schemas.openxmlformats.org/officeDocument/2006/relationships/hyperlink" Target="https://docs.volcengine.com/docs/6260/1148766?lang=zh" TargetMode="External"/><Relationship Id="rId29" Type="http://schemas.openxmlformats.org/officeDocument/2006/relationships/hyperlink" Target="https://docs.volcengine.com/docs/6260/1148767?lang=zh" TargetMode="External"/><Relationship Id="rId30" Type="http://schemas.openxmlformats.org/officeDocument/2006/relationships/hyperlink" Target="https://docs.volcengine.com/docs/6260/1148768?lang=zh" TargetMode="External"/><Relationship Id="rId31" Type="http://schemas.openxmlformats.org/officeDocument/2006/relationships/hyperlink" Target="https://docs.volcengine.com/docs/6260/127558?lang=zh" TargetMode="External"/><Relationship Id="rId32" Type="http://schemas.openxmlformats.org/officeDocument/2006/relationships/hyperlink" Target="https://docs.volcengine.com/docs/6260/127565?lang=zh" TargetMode="External"/><Relationship Id="rId33" Type="http://schemas.openxmlformats.org/officeDocument/2006/relationships/hyperlink" Target="https://docs.volcengine.com/docs/6260/1148772?lang=zh" TargetMode="External"/><Relationship Id="rId34" Type="http://schemas.openxmlformats.org/officeDocument/2006/relationships/hyperlink" Target="https://docs.volcengine.com/docs/6260/1148770?lang=zh" TargetMode="External"/><Relationship Id="rId35" Type="http://schemas.openxmlformats.org/officeDocument/2006/relationships/hyperlink" Target="https://docs.volcengine.com/docs/6260/1148771?lang=z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火山引擎 DataLeap 数据服务业务架构梳理</dc:title>
  <dc:subject>基于火山引擎官方文档的数据服务业务架构分析</dc:subject>
  <dc:creator/>
  <cp:keywords>火山引擎, DataLeap, 数据服务, 业务架构, API, 逻辑表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