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77F24">
      <w:pPr>
        <w:spacing w:after="680"/>
      </w:pPr>
      <w:bookmarkStart w:id="37" w:name="_GoBack"/>
      <w:bookmarkEnd w:id="37"/>
    </w:p>
    <w:p w14:paraId="240CDB2A">
      <w:pPr>
        <w:jc w:val="left"/>
      </w:pPr>
      <w:r>
        <w:rPr>
          <w:rFonts w:ascii="微软雅黑" w:hAnsi="微软雅黑" w:eastAsia="微软雅黑"/>
          <w:b/>
          <w:color w:val="1F7A8C"/>
          <w:sz w:val="22"/>
        </w:rPr>
        <w:t>面试作业｜产品设计</w:t>
      </w:r>
    </w:p>
    <w:p w14:paraId="6D1F53BA">
      <w:pPr>
        <w:spacing w:before="480" w:after="160"/>
      </w:pPr>
      <w:r>
        <w:rPr>
          <w:rFonts w:ascii="微软雅黑" w:hAnsi="微软雅黑" w:eastAsia="微软雅黑"/>
          <w:b/>
          <w:color w:val="17365D"/>
          <w:sz w:val="60"/>
        </w:rPr>
        <w:t>集团 AI 网关与 MaaS 平台</w:t>
      </w:r>
      <w:r>
        <w:rPr>
          <w:rFonts w:ascii="微软雅黑" w:hAnsi="微软雅黑" w:eastAsia="微软雅黑"/>
          <w:b/>
          <w:color w:val="17365D"/>
          <w:sz w:val="60"/>
        </w:rPr>
        <w:br w:type="textWrapping"/>
      </w:r>
      <w:r>
        <w:rPr>
          <w:rFonts w:ascii="微软雅黑" w:hAnsi="微软雅黑" w:eastAsia="微软雅黑"/>
          <w:b/>
          <w:color w:val="17365D"/>
          <w:sz w:val="60"/>
        </w:rPr>
        <w:t>初步产品设计</w:t>
      </w:r>
    </w:p>
    <w:p w14:paraId="21148F01">
      <w:pPr>
        <w:spacing w:after="440"/>
      </w:pPr>
      <w:r>
        <w:rPr>
          <w:rFonts w:ascii="微软雅黑" w:hAnsi="微软雅黑" w:eastAsia="微软雅黑"/>
          <w:color w:val="666666"/>
          <w:sz w:val="30"/>
        </w:rPr>
        <w:t>统一模型接入、可信使用与智能能力产品化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A016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6" w:type="dxa"/>
            <w:shd w:val="clear" w:color="auto" w:fill="1F7A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7CF89"/>
        </w:tc>
      </w:tr>
    </w:tbl>
    <w:p w14:paraId="75E0DC8B">
      <w:pPr>
        <w:spacing w:after="36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298"/>
      </w:tblGrid>
      <w:tr w14:paraId="32934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1F7A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D3851"/>
        </w:tc>
        <w:tc>
          <w:tcPr>
            <w:tcW w:w="4933" w:type="dxa"/>
            <w:shd w:val="clear" w:color="auto" w:fill="EE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BCB4791"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文档定位</w:t>
            </w:r>
          </w:p>
          <w:p w14:paraId="3744C414">
            <w:pPr>
              <w:spacing w:after="0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本方案以产品设计提纲为主，呈现 AI 网关与 MaaS 平台的产品定位、核心模块、应用架构、数据架构、可信能力和建设路径。方案弱化具体技术实现，重点体现产品边界与业务价值。</w:t>
            </w:r>
          </w:p>
        </w:tc>
      </w:tr>
    </w:tbl>
    <w:p w14:paraId="625F0780">
      <w:pPr>
        <w:spacing w:after="20"/>
      </w:pPr>
    </w:p>
    <w:p w14:paraId="74DD2853">
      <w:pPr>
        <w:spacing w:after="800"/>
      </w:pPr>
    </w:p>
    <w:p w14:paraId="17B8E290">
      <w:r>
        <w:rPr>
          <w:rFonts w:ascii="微软雅黑" w:hAnsi="微软雅黑" w:eastAsia="微软雅黑"/>
          <w:b w:val="0"/>
          <w:color w:val="666666"/>
          <w:sz w:val="20"/>
        </w:rPr>
        <w:t>交付形式：产品方案提纲</w:t>
      </w:r>
      <w:r>
        <w:rPr>
          <w:rFonts w:ascii="微软雅黑" w:hAnsi="微软雅黑" w:eastAsia="微软雅黑"/>
          <w:b w:val="0"/>
          <w:color w:val="666666"/>
          <w:sz w:val="20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0"/>
        </w:rPr>
        <w:t>适用场景：产品岗位面试作业</w:t>
      </w:r>
      <w:r>
        <w:rPr>
          <w:rFonts w:ascii="微软雅黑" w:hAnsi="微软雅黑" w:eastAsia="微软雅黑"/>
          <w:b w:val="0"/>
          <w:color w:val="666666"/>
          <w:sz w:val="20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0"/>
        </w:rPr>
        <w:t>版本日期：2026 年 7 月</w:t>
      </w:r>
    </w:p>
    <w:p w14:paraId="09F3B324">
      <w:r>
        <w:br w:type="page"/>
      </w:r>
    </w:p>
    <w:p w14:paraId="4EF72692">
      <w:pPr>
        <w:pStyle w:val="3"/>
      </w:pPr>
      <w:bookmarkStart w:id="0" w:name="_Toc29720"/>
      <w:r>
        <w:t>摘要</w:t>
      </w:r>
      <w:bookmarkEnd w:id="0"/>
    </w:p>
    <w:p w14:paraId="4E8A2CEA">
      <w:pPr>
        <w:spacing w:after="100" w:line="300" w:lineRule="auto"/>
      </w:pPr>
      <w:r>
        <w:rPr>
          <w:rFonts w:ascii="微软雅黑" w:hAnsi="微软雅黑" w:eastAsia="微软雅黑"/>
          <w:color w:val="222222"/>
          <w:sz w:val="19"/>
        </w:rPr>
        <w:t>本方案面向集团内部建设两项相互协同的 AI 产品：AI 网关解决模型能力如何被统一、可信、可审计地使用；MaaS 平台解决模型能力如何被组织成可复用的 Agent、知识和工具服务，并持续评测、发布和运营。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81"/>
        <w:gridCol w:w="3402"/>
        <w:gridCol w:w="2381"/>
      </w:tblGrid>
      <w:tr w14:paraId="4473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BDE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86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一句话定位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D04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核心对象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82BA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主要价值</w:t>
            </w:r>
          </w:p>
        </w:tc>
      </w:tr>
      <w:tr w14:paraId="1AB0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E17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AI 网关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7E2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集团模型能力的统一可信入口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67B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应用、供应商、模型、策略、预算、用量、审计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FAF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统一接入、控制风险、透明成本、稳定服务</w:t>
            </w:r>
          </w:p>
        </w:tc>
      </w:tr>
      <w:tr w14:paraId="400C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141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MaaS 平台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344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集团智能应用与 Agent 能力的产品化中台</w:t>
            </w:r>
          </w:p>
        </w:tc>
        <w:tc>
          <w:tcPr>
            <w:tcW w:w="34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565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模型服务、Agent、Prompt、工具、知识、评测、发布、运行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EEA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降低建设门槛、沉淀复用能力、保障生产质量</w:t>
            </w:r>
          </w:p>
        </w:tc>
      </w:tr>
    </w:tbl>
    <w:p w14:paraId="5DF6A8F5">
      <w:pPr>
        <w:spacing w:after="2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298"/>
      </w:tblGrid>
      <w:tr w14:paraId="51ADB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1F7A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6143C"/>
        </w:tc>
        <w:tc>
          <w:tcPr>
            <w:tcW w:w="4933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85CF363"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核心判断</w:t>
            </w:r>
          </w:p>
          <w:p w14:paraId="3CBA8ED3">
            <w:pPr>
              <w:spacing w:after="0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AI 网关是模型使用的可信边界，MaaS 平台是智能能力的生产与运营平台。二者共享身份、模型目录、用量和审计链路，但不共享写入权：模型供应、路由和模型费用由网关管理；Agent、工具、知识和发布由 MaaS 管理。</w:t>
            </w:r>
          </w:p>
        </w:tc>
      </w:tr>
    </w:tbl>
    <w:p w14:paraId="28C144BC">
      <w:pPr>
        <w:spacing w:after="20"/>
      </w:pPr>
    </w:p>
    <w:p w14:paraId="1026C612">
      <w:pPr>
        <w:pStyle w:val="3"/>
      </w:pPr>
      <w:bookmarkStart w:id="1" w:name="_Toc8329"/>
      <w:r>
        <w:t>目录</w:t>
      </w:r>
      <w:bookmarkEnd w:id="1"/>
    </w:p>
    <w:p w14:paraId="428A82DF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_Toc29720 </w:instrText>
      </w:r>
      <w:r>
        <w:fldChar w:fldCharType="separate"/>
      </w:r>
      <w:r>
        <w:t>摘要</w:t>
      </w:r>
      <w:r>
        <w:tab/>
      </w:r>
      <w:r>
        <w:fldChar w:fldCharType="begin"/>
      </w:r>
      <w:r>
        <w:instrText xml:space="preserve"> PAGEREF _Toc29720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D6A266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_Toc8329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_Toc8329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10E6DEF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_Toc4393 </w:instrText>
      </w:r>
      <w:r>
        <w:fldChar w:fldCharType="separate"/>
      </w:r>
      <w:r>
        <w:t>1. 设计背景与目标</w:t>
      </w:r>
      <w:r>
        <w:tab/>
      </w:r>
      <w:r>
        <w:fldChar w:fldCharType="begin"/>
      </w:r>
      <w:r>
        <w:instrText xml:space="preserve"> PAGEREF _Toc4393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760DEB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_Toc24290 </w:instrText>
      </w:r>
      <w:r>
        <w:fldChar w:fldCharType="separate"/>
      </w:r>
      <w:r>
        <w:t>1.1 建设背景</w:t>
      </w:r>
      <w:r>
        <w:tab/>
      </w:r>
      <w:r>
        <w:fldChar w:fldCharType="begin"/>
      </w:r>
      <w:r>
        <w:instrText xml:space="preserve"> PAGEREF _Toc24290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A7B3F7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_Toc21143 </w:instrText>
      </w:r>
      <w:r>
        <w:fldChar w:fldCharType="separate"/>
      </w:r>
      <w:r>
        <w:t>1.2 产品问题</w:t>
      </w:r>
      <w:r>
        <w:tab/>
      </w:r>
      <w:r>
        <w:fldChar w:fldCharType="begin"/>
      </w:r>
      <w:r>
        <w:instrText xml:space="preserve"> PAGEREF _Toc21143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B5E23D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_Toc28107 </w:instrText>
      </w:r>
      <w:r>
        <w:fldChar w:fldCharType="separate"/>
      </w:r>
      <w:r>
        <w:t>1.3 建设目标</w:t>
      </w:r>
      <w:r>
        <w:tab/>
      </w:r>
      <w:r>
        <w:fldChar w:fldCharType="begin"/>
      </w:r>
      <w:r>
        <w:instrText xml:space="preserve"> PAGEREF _Toc28107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F1401E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_Toc21090 </w:instrText>
      </w:r>
      <w:r>
        <w:fldChar w:fldCharType="separate"/>
      </w:r>
      <w:r>
        <w:t>1.4 设计原则</w:t>
      </w:r>
      <w:r>
        <w:tab/>
      </w:r>
      <w:r>
        <w:fldChar w:fldCharType="begin"/>
      </w:r>
      <w:r>
        <w:instrText xml:space="preserve"> PAGEREF _Toc21090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396F72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_Toc30326 </w:instrText>
      </w:r>
      <w:r>
        <w:fldChar w:fldCharType="separate"/>
      </w:r>
      <w:r>
        <w:t>2. 整体产品蓝图</w:t>
      </w:r>
      <w:r>
        <w:tab/>
      </w:r>
      <w:r>
        <w:fldChar w:fldCharType="begin"/>
      </w:r>
      <w:r>
        <w:instrText xml:space="preserve"> PAGEREF _Toc30326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E3076D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_Toc30559 </w:instrText>
      </w:r>
      <w:r>
        <w:fldChar w:fldCharType="separate"/>
      </w:r>
      <w:r>
        <w:t>2.1 产品关系</w:t>
      </w:r>
      <w:r>
        <w:tab/>
      </w:r>
      <w:r>
        <w:fldChar w:fldCharType="begin"/>
      </w:r>
      <w:r>
        <w:instrText xml:space="preserve"> PAGEREF _Toc30559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21B352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_Toc17701 </w:instrText>
      </w:r>
      <w:r>
        <w:fldChar w:fldCharType="separate"/>
      </w:r>
      <w:r>
        <w:t>2.2 职责边界</w:t>
      </w:r>
      <w:r>
        <w:tab/>
      </w:r>
      <w:r>
        <w:fldChar w:fldCharType="begin"/>
      </w:r>
      <w:r>
        <w:instrText xml:space="preserve"> PAGEREF _Toc17701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402297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_Toc25217 </w:instrText>
      </w:r>
      <w:r>
        <w:fldChar w:fldCharType="separate"/>
      </w:r>
      <w:r>
        <w:t>2.3 整体应用架构</w:t>
      </w:r>
      <w:r>
        <w:tab/>
      </w:r>
      <w:r>
        <w:fldChar w:fldCharType="begin"/>
      </w:r>
      <w:r>
        <w:instrText xml:space="preserve"> PAGEREF _Toc25217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D54B0B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_Toc19919 </w:instrText>
      </w:r>
      <w:r>
        <w:fldChar w:fldCharType="separate"/>
      </w:r>
      <w:r>
        <w:t>2.4 整体数据架构</w:t>
      </w:r>
      <w:r>
        <w:tab/>
      </w:r>
      <w:r>
        <w:fldChar w:fldCharType="begin"/>
      </w:r>
      <w:r>
        <w:instrText xml:space="preserve"> PAGEREF _Toc19919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469F46C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_Toc31598 </w:instrText>
      </w:r>
      <w:r>
        <w:fldChar w:fldCharType="separate"/>
      </w:r>
      <w:r>
        <w:t>3. AI 网关产品设计</w:t>
      </w:r>
      <w:r>
        <w:tab/>
      </w:r>
      <w:r>
        <w:fldChar w:fldCharType="begin"/>
      </w:r>
      <w:r>
        <w:instrText xml:space="preserve"> PAGEREF _Toc31598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0B2685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_Toc14059 </w:instrText>
      </w:r>
      <w:r>
        <w:fldChar w:fldCharType="separate"/>
      </w:r>
      <w:r>
        <w:t>3.1 产品定位与用户</w:t>
      </w:r>
      <w:r>
        <w:tab/>
      </w:r>
      <w:r>
        <w:fldChar w:fldCharType="begin"/>
      </w:r>
      <w:r>
        <w:instrText xml:space="preserve"> PAGEREF _Toc14059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0A1419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_Toc16027 </w:instrText>
      </w:r>
      <w:r>
        <w:fldChar w:fldCharType="separate"/>
      </w:r>
      <w:r>
        <w:t>3.2 核心模块及职能</w:t>
      </w:r>
      <w:r>
        <w:tab/>
      </w:r>
      <w:r>
        <w:fldChar w:fldCharType="begin"/>
      </w:r>
      <w:r>
        <w:instrText xml:space="preserve"> PAGEREF _Toc16027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E2570E4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_Toc9092 </w:instrText>
      </w:r>
      <w:r>
        <w:fldChar w:fldCharType="separate"/>
      </w:r>
      <w:r>
        <w:t>3.3 应用架构</w:t>
      </w:r>
      <w:r>
        <w:tab/>
      </w:r>
      <w:r>
        <w:fldChar w:fldCharType="begin"/>
      </w:r>
      <w:r>
        <w:instrText xml:space="preserve"> PAGEREF _Toc9092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CFBF6E1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_Toc16784 </w:instrText>
      </w:r>
      <w:r>
        <w:fldChar w:fldCharType="separate"/>
      </w:r>
      <w:r>
        <w:t>3.4 数据架构</w:t>
      </w:r>
      <w:r>
        <w:tab/>
      </w:r>
      <w:r>
        <w:fldChar w:fldCharType="begin"/>
      </w:r>
      <w:r>
        <w:instrText xml:space="preserve"> PAGEREF _Toc16784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CE94CCD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_Toc32518 </w:instrText>
      </w:r>
      <w:r>
        <w:fldChar w:fldCharType="separate"/>
      </w:r>
      <w:r>
        <w:t>3.5 可信能力</w:t>
      </w:r>
      <w:r>
        <w:tab/>
      </w:r>
      <w:r>
        <w:fldChar w:fldCharType="begin"/>
      </w:r>
      <w:r>
        <w:instrText xml:space="preserve"> PAGEREF _Toc32518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2475A60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_Toc17922 </w:instrText>
      </w:r>
      <w:r>
        <w:fldChar w:fldCharType="separate"/>
      </w:r>
      <w:r>
        <w:t>3.6 核心产品流程</w:t>
      </w:r>
      <w:r>
        <w:tab/>
      </w:r>
      <w:r>
        <w:fldChar w:fldCharType="begin"/>
      </w:r>
      <w:r>
        <w:instrText xml:space="preserve"> PAGEREF _Toc17922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D2472E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_Toc24680 </w:instrText>
      </w:r>
      <w:r>
        <w:fldChar w:fldCharType="separate"/>
      </w:r>
      <w:r>
        <w:t>4. MaaS 与 Agent 平台产品设计</w:t>
      </w:r>
      <w:r>
        <w:tab/>
      </w:r>
      <w:r>
        <w:fldChar w:fldCharType="begin"/>
      </w:r>
      <w:r>
        <w:instrText xml:space="preserve"> PAGEREF _Toc24680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671952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_Toc15062 </w:instrText>
      </w:r>
      <w:r>
        <w:fldChar w:fldCharType="separate"/>
      </w:r>
      <w:r>
        <w:t>4.1 产品定位与用户</w:t>
      </w:r>
      <w:r>
        <w:tab/>
      </w:r>
      <w:r>
        <w:fldChar w:fldCharType="begin"/>
      </w:r>
      <w:r>
        <w:instrText xml:space="preserve"> PAGEREF _Toc15062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54F1234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_Toc1945 </w:instrText>
      </w:r>
      <w:r>
        <w:fldChar w:fldCharType="separate"/>
      </w:r>
      <w:r>
        <w:t>4.2 核心模块及职能</w:t>
      </w:r>
      <w:r>
        <w:tab/>
      </w:r>
      <w:r>
        <w:fldChar w:fldCharType="begin"/>
      </w:r>
      <w:r>
        <w:instrText xml:space="preserve"> PAGEREF _Toc1945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650CE69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_Toc16990 </w:instrText>
      </w:r>
      <w:r>
        <w:fldChar w:fldCharType="separate"/>
      </w:r>
      <w:r>
        <w:t>4.3 应用架构</w:t>
      </w:r>
      <w:r>
        <w:tab/>
      </w:r>
      <w:r>
        <w:fldChar w:fldCharType="begin"/>
      </w:r>
      <w:r>
        <w:instrText xml:space="preserve"> PAGEREF _Toc16990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604C2C9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_Toc20311 </w:instrText>
      </w:r>
      <w:r>
        <w:fldChar w:fldCharType="separate"/>
      </w:r>
      <w:r>
        <w:t>4.4 数据架构</w:t>
      </w:r>
      <w:r>
        <w:tab/>
      </w:r>
      <w:r>
        <w:fldChar w:fldCharType="begin"/>
      </w:r>
      <w:r>
        <w:instrText xml:space="preserve"> PAGEREF _Toc20311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D4B39BD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_Toc20292 </w:instrText>
      </w:r>
      <w:r>
        <w:fldChar w:fldCharType="separate"/>
      </w:r>
      <w:r>
        <w:t>4.5 可信能力</w:t>
      </w:r>
      <w:r>
        <w:tab/>
      </w:r>
      <w:r>
        <w:fldChar w:fldCharType="begin"/>
      </w:r>
      <w:r>
        <w:instrText xml:space="preserve"> PAGEREF _Toc20292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29A7FFE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_Toc32484 </w:instrText>
      </w:r>
      <w:r>
        <w:fldChar w:fldCharType="separate"/>
      </w:r>
      <w:r>
        <w:t>4.6 Agent 生命周期</w:t>
      </w:r>
      <w:r>
        <w:tab/>
      </w:r>
      <w:r>
        <w:fldChar w:fldCharType="begin"/>
      </w:r>
      <w:r>
        <w:instrText xml:space="preserve"> PAGEREF _Toc32484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18B85E2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_Toc13823 </w:instrText>
      </w:r>
      <w:r>
        <w:fldChar w:fldCharType="separate"/>
      </w:r>
      <w:r>
        <w:t>5. 两个产品的协同关系</w:t>
      </w:r>
      <w:r>
        <w:tab/>
      </w:r>
      <w:r>
        <w:fldChar w:fldCharType="begin"/>
      </w:r>
      <w:r>
        <w:instrText xml:space="preserve"> PAGEREF _Toc13823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66192A4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_Toc559 </w:instrText>
      </w:r>
      <w:r>
        <w:fldChar w:fldCharType="separate"/>
      </w:r>
      <w:r>
        <w:t>5.1 端到端协同流程</w:t>
      </w:r>
      <w:r>
        <w:tab/>
      </w:r>
      <w:r>
        <w:fldChar w:fldCharType="begin"/>
      </w:r>
      <w:r>
        <w:instrText xml:space="preserve"> PAGEREF _Toc559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8089719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_Toc16074 </w:instrText>
      </w:r>
      <w:r>
        <w:fldChar w:fldCharType="separate"/>
      </w:r>
      <w:r>
        <w:t>5.2 数据权属与共享</w:t>
      </w:r>
      <w:r>
        <w:tab/>
      </w:r>
      <w:r>
        <w:fldChar w:fldCharType="begin"/>
      </w:r>
      <w:r>
        <w:instrText xml:space="preserve"> PAGEREF _Toc16074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B3516E8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_Toc1128 </w:instrText>
      </w:r>
      <w:r>
        <w:fldChar w:fldCharType="separate"/>
      </w:r>
      <w:r>
        <w:t>5.3 共同可信链路</w:t>
      </w:r>
      <w:r>
        <w:tab/>
      </w:r>
      <w:r>
        <w:fldChar w:fldCharType="begin"/>
      </w:r>
      <w:r>
        <w:instrText xml:space="preserve"> PAGEREF _Toc1128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96B0808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_Toc25713 </w:instrText>
      </w:r>
      <w:r>
        <w:fldChar w:fldCharType="separate"/>
      </w:r>
      <w:r>
        <w:t>6. 产品规划</w:t>
      </w:r>
      <w:r>
        <w:tab/>
      </w:r>
      <w:r>
        <w:fldChar w:fldCharType="begin"/>
      </w:r>
      <w:r>
        <w:instrText xml:space="preserve"> PAGEREF _Toc25713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AFF465F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_Toc2076 </w:instrText>
      </w:r>
      <w:r>
        <w:fldChar w:fldCharType="separate"/>
      </w:r>
      <w:r>
        <w:t>6.1 首期产品范围</w:t>
      </w:r>
      <w:r>
        <w:tab/>
      </w:r>
      <w:r>
        <w:fldChar w:fldCharType="begin"/>
      </w:r>
      <w:r>
        <w:instrText xml:space="preserve"> PAGEREF _Toc2076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41FA142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_Toc3702 </w:instrText>
      </w:r>
      <w:r>
        <w:fldChar w:fldCharType="separate"/>
      </w:r>
      <w:r>
        <w:t>6.2 关键产品里程碑</w:t>
      </w:r>
      <w:r>
        <w:tab/>
      </w:r>
      <w:r>
        <w:fldChar w:fldCharType="begin"/>
      </w:r>
      <w:r>
        <w:instrText xml:space="preserve"> PAGEREF _Toc3702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BE0C50E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_Toc12619 </w:instrText>
      </w:r>
      <w:r>
        <w:fldChar w:fldCharType="separate"/>
      </w:r>
      <w:r>
        <w:t>7. 产品价值与衡量指标</w:t>
      </w:r>
      <w:r>
        <w:tab/>
      </w:r>
      <w:r>
        <w:fldChar w:fldCharType="begin"/>
      </w:r>
      <w:r>
        <w:instrText xml:space="preserve"> PAGEREF _Toc12619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42093C2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_Toc18769 </w:instrText>
      </w:r>
      <w:r>
        <w:fldChar w:fldCharType="separate"/>
      </w:r>
      <w:r>
        <w:t>7.1 成功标准</w:t>
      </w:r>
      <w:r>
        <w:tab/>
      </w:r>
      <w:r>
        <w:fldChar w:fldCharType="begin"/>
      </w:r>
      <w:r>
        <w:instrText xml:space="preserve"> PAGEREF _Toc18769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1B4DF48">
      <w:pPr>
        <w:pStyle w:val="26"/>
        <w:tabs>
          <w:tab w:val="right" w:leader="dot" w:pos="9866"/>
        </w:tabs>
      </w:pPr>
      <w:r>
        <w:fldChar w:fldCharType="begin"/>
      </w:r>
      <w:r>
        <w:instrText xml:space="preserve"> HYPERLINK \l _Toc22809 </w:instrText>
      </w:r>
      <w:r>
        <w:fldChar w:fldCharType="separate"/>
      </w:r>
      <w:r>
        <w:t>8. 总结</w:t>
      </w:r>
      <w:r>
        <w:tab/>
      </w:r>
      <w:r>
        <w:fldChar w:fldCharType="begin"/>
      </w:r>
      <w:r>
        <w:instrText xml:space="preserve"> PAGEREF _Toc22809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3282063">
      <w:pPr>
        <w:pStyle w:val="29"/>
        <w:tabs>
          <w:tab w:val="right" w:leader="dot" w:pos="9866"/>
        </w:tabs>
      </w:pPr>
      <w:r>
        <w:fldChar w:fldCharType="begin"/>
      </w:r>
      <w:r>
        <w:instrText xml:space="preserve"> HYPERLINK \l _Toc21991 </w:instrText>
      </w:r>
      <w:r>
        <w:fldChar w:fldCharType="separate"/>
      </w:r>
      <w:r>
        <w:t>8.1 面试表达要点</w:t>
      </w:r>
      <w:r>
        <w:tab/>
      </w:r>
      <w:r>
        <w:fldChar w:fldCharType="begin"/>
      </w:r>
      <w:r>
        <w:instrText xml:space="preserve"> PAGEREF _Toc21991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54D55AB">
      <w:r>
        <w:fldChar w:fldCharType="end"/>
      </w:r>
    </w:p>
    <w:p w14:paraId="44117ADF">
      <w:r>
        <w:br w:type="page"/>
      </w:r>
    </w:p>
    <w:p w14:paraId="38A47A5D">
      <w:pPr>
        <w:pStyle w:val="3"/>
      </w:pPr>
      <w:bookmarkStart w:id="2" w:name="_Toc4393"/>
      <w:r>
        <w:t>1. 设计背景与目标</w:t>
      </w:r>
      <w:bookmarkEnd w:id="2"/>
    </w:p>
    <w:p w14:paraId="3E34F461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从分散调用模型，走向统一、可信、可运营的集团 AI 能力</w:t>
      </w:r>
    </w:p>
    <w:p w14:paraId="0300CD0C">
      <w:pPr>
        <w:pStyle w:val="4"/>
      </w:pPr>
      <w:bookmarkStart w:id="3" w:name="_Toc24290"/>
      <w:r>
        <w:t>1.1 建设背景</w:t>
      </w:r>
      <w:bookmarkEnd w:id="3"/>
    </w:p>
    <w:p w14:paraId="31205799">
      <w:pPr>
        <w:spacing w:after="100" w:line="300" w:lineRule="auto"/>
      </w:pPr>
      <w:r>
        <w:rPr>
          <w:rFonts w:ascii="微软雅黑" w:hAnsi="微软雅黑" w:eastAsia="微软雅黑"/>
          <w:color w:val="222222"/>
          <w:sz w:val="19"/>
        </w:rPr>
        <w:t>集团内部将同时使用外部模型平台、中转服务以及本地模型。若各业务系统独立接入，会形成密钥分散、数据出域不可控、成本口径不一致、供应商耦合和重复建设 Agent 等问题。</w:t>
      </w:r>
    </w:p>
    <w:p w14:paraId="62B9069F">
      <w:pPr>
        <w:pStyle w:val="4"/>
      </w:pPr>
      <w:bookmarkStart w:id="4" w:name="_Toc21143"/>
      <w:r>
        <w:t>1.2 产品问题</w:t>
      </w:r>
      <w:bookmarkEnd w:id="4"/>
    </w:p>
    <w:p w14:paraId="2EE2CE57">
      <w:pPr>
        <w:pStyle w:val="16"/>
        <w:spacing w:after="40"/>
      </w:pPr>
      <w:r>
        <w:rPr>
          <w:rFonts w:ascii="微软雅黑" w:hAnsi="微软雅黑" w:eastAsia="微软雅黑"/>
          <w:sz w:val="19"/>
        </w:rPr>
        <w:t>模型入口分散：业务系统分别管理供应商、接口、密钥和异常处理。</w:t>
      </w:r>
    </w:p>
    <w:p w14:paraId="76AB0300">
      <w:pPr>
        <w:pStyle w:val="16"/>
        <w:spacing w:after="40"/>
      </w:pPr>
      <w:r>
        <w:rPr>
          <w:rFonts w:ascii="微软雅黑" w:hAnsi="微软雅黑" w:eastAsia="微软雅黑"/>
          <w:sz w:val="19"/>
        </w:rPr>
        <w:t>可信边界缺失：无法统一判断什么数据可以发送给什么模型。</w:t>
      </w:r>
    </w:p>
    <w:p w14:paraId="05D06029">
      <w:pPr>
        <w:pStyle w:val="16"/>
        <w:spacing w:after="40"/>
      </w:pPr>
      <w:r>
        <w:rPr>
          <w:rFonts w:ascii="微软雅黑" w:hAnsi="微软雅黑" w:eastAsia="微软雅黑"/>
          <w:sz w:val="19"/>
        </w:rPr>
        <w:t>使用过程不可追溯：身份、模型、策略、用量、费用和业务结果难以关联。</w:t>
      </w:r>
    </w:p>
    <w:p w14:paraId="378F50B7">
      <w:pPr>
        <w:pStyle w:val="16"/>
        <w:spacing w:after="40"/>
      </w:pPr>
      <w:r>
        <w:rPr>
          <w:rFonts w:ascii="微软雅黑" w:hAnsi="微软雅黑" w:eastAsia="微软雅黑"/>
          <w:sz w:val="19"/>
        </w:rPr>
        <w:t>智能能力重复建设：Agent、Prompt、工具和知识库散落在各业务项目。</w:t>
      </w:r>
    </w:p>
    <w:p w14:paraId="39BD047B">
      <w:pPr>
        <w:pStyle w:val="16"/>
        <w:spacing w:after="40"/>
      </w:pPr>
      <w:r>
        <w:rPr>
          <w:rFonts w:ascii="微软雅黑" w:hAnsi="微软雅黑" w:eastAsia="微软雅黑"/>
          <w:sz w:val="19"/>
        </w:rPr>
        <w:t>生产质量缺乏治理：模型或 Prompt 变化后，缺少统一评测、审批、灰度和回滚。</w:t>
      </w:r>
    </w:p>
    <w:p w14:paraId="764926A0">
      <w:pPr>
        <w:pStyle w:val="4"/>
      </w:pPr>
      <w:bookmarkStart w:id="5" w:name="_Toc28107"/>
      <w:r>
        <w:t>1.3 建设目标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762"/>
        <w:gridCol w:w="3515"/>
      </w:tblGrid>
      <w:tr w14:paraId="28C9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E373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C490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产品化表达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A54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</w:tr>
      <w:tr w14:paraId="6A3A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B8B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统一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E31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统一模型目录、统一服务入口、统一申请与发布流程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E3B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业务系统不再重复适配供应商</w:t>
            </w:r>
          </w:p>
        </w:tc>
      </w:tr>
      <w:tr w14:paraId="0A4D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DCE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可信</w:t>
            </w:r>
          </w:p>
        </w:tc>
        <w:tc>
          <w:tcPr>
            <w:tcW w:w="476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B6B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身份、数据、模型、工具、预算和审计形成闭环</w:t>
            </w:r>
          </w:p>
        </w:tc>
        <w:tc>
          <w:tcPr>
            <w:tcW w:w="351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45C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使用边界可验证、可追溯</w:t>
            </w:r>
          </w:p>
        </w:tc>
      </w:tr>
      <w:tr w14:paraId="55C3A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B9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复用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28F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Agent、Prompt、工具和知识资产可沉淀与复用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8CC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缩短智能应用建设周期</w:t>
            </w:r>
          </w:p>
        </w:tc>
      </w:tr>
      <w:tr w14:paraId="08EF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E84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运营</w:t>
            </w:r>
          </w:p>
        </w:tc>
        <w:tc>
          <w:tcPr>
            <w:tcW w:w="476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8E5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用量、费用、质量、稳定性和业务效果可持续度量</w:t>
            </w:r>
          </w:p>
        </w:tc>
        <w:tc>
          <w:tcPr>
            <w:tcW w:w="351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01C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从项目交付转向平台运营</w:t>
            </w:r>
          </w:p>
        </w:tc>
      </w:tr>
      <w:tr w14:paraId="42CED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DD5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演进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0D5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外部模型与本地模型采用一致的产品流程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FCF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保留供应商替换和自主模型发展空间</w:t>
            </w:r>
          </w:p>
        </w:tc>
      </w:tr>
    </w:tbl>
    <w:p w14:paraId="50D9AC41">
      <w:pPr>
        <w:spacing w:after="20"/>
      </w:pPr>
    </w:p>
    <w:p w14:paraId="17C1A33D">
      <w:pPr>
        <w:pStyle w:val="4"/>
      </w:pPr>
      <w:bookmarkStart w:id="6" w:name="_Toc21090"/>
      <w:r>
        <w:t>1.4 设计原则</w:t>
      </w:r>
      <w:bookmarkEnd w:id="6"/>
    </w:p>
    <w:p w14:paraId="65AF2D10">
      <w:pPr>
        <w:pStyle w:val="16"/>
        <w:spacing w:after="40"/>
      </w:pPr>
      <w:r>
        <w:rPr>
          <w:rFonts w:ascii="微软雅黑" w:hAnsi="微软雅黑" w:eastAsia="微软雅黑"/>
          <w:sz w:val="19"/>
        </w:rPr>
        <w:t>统一入口：业务系统和 Agent 不直接连接模型供应商。</w:t>
      </w:r>
    </w:p>
    <w:p w14:paraId="776498BC">
      <w:pPr>
        <w:pStyle w:val="16"/>
        <w:spacing w:after="40"/>
      </w:pPr>
      <w:r>
        <w:rPr>
          <w:rFonts w:ascii="微软雅黑" w:hAnsi="微软雅黑" w:eastAsia="微软雅黑"/>
          <w:sz w:val="19"/>
        </w:rPr>
        <w:t>职责分离：模型负责生成和推理，授权、审批和业务约束由产品系统执行。</w:t>
      </w:r>
    </w:p>
    <w:p w14:paraId="472EDBF1">
      <w:pPr>
        <w:pStyle w:val="16"/>
        <w:spacing w:after="40"/>
      </w:pPr>
      <w:r>
        <w:rPr>
          <w:rFonts w:ascii="微软雅黑" w:hAnsi="微软雅黑" w:eastAsia="微软雅黑"/>
          <w:sz w:val="19"/>
        </w:rPr>
        <w:t>默认受控：未注册应用、未批准模型、未知数据级别和未授权工具默认拒绝。</w:t>
      </w:r>
    </w:p>
    <w:p w14:paraId="509DA911">
      <w:pPr>
        <w:pStyle w:val="16"/>
        <w:spacing w:after="40"/>
      </w:pPr>
      <w:r>
        <w:rPr>
          <w:rFonts w:ascii="微软雅黑" w:hAnsi="微软雅黑" w:eastAsia="微软雅黑"/>
          <w:sz w:val="19"/>
        </w:rPr>
        <w:t>一切可追溯：模型、Prompt、Agent、工具、知识、策略和发布均有版本。</w:t>
      </w:r>
    </w:p>
    <w:p w14:paraId="3E0C9774">
      <w:pPr>
        <w:pStyle w:val="16"/>
        <w:spacing w:after="40"/>
      </w:pPr>
      <w:r>
        <w:rPr>
          <w:rFonts w:ascii="微软雅黑" w:hAnsi="微软雅黑" w:eastAsia="微软雅黑"/>
          <w:sz w:val="19"/>
        </w:rPr>
        <w:t>先轻量、后扩展：首期只建设形成业务闭环所必需的产品能力。</w:t>
      </w:r>
    </w:p>
    <w:p w14:paraId="29938ECF">
      <w:r>
        <w:br w:type="page"/>
      </w:r>
    </w:p>
    <w:p w14:paraId="2A2E249F">
      <w:pPr>
        <w:pStyle w:val="3"/>
      </w:pPr>
      <w:bookmarkStart w:id="7" w:name="_Toc30326"/>
      <w:r>
        <w:t>2. 整体产品蓝图</w:t>
      </w:r>
      <w:bookmarkEnd w:id="7"/>
    </w:p>
    <w:p w14:paraId="66042CD8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AI 网关管可信模型服务，MaaS 平台管智能能力生产与运营</w:t>
      </w:r>
    </w:p>
    <w:p w14:paraId="57F793DB">
      <w:pPr>
        <w:pStyle w:val="4"/>
      </w:pPr>
      <w:bookmarkStart w:id="8" w:name="_Toc30559"/>
      <w:r>
        <w:t>2.1 产品关系</w:t>
      </w:r>
      <w:bookmarkEnd w:id="8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1B081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CE3940A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6"/>
              </w:rPr>
              <w:t>集团业务系统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6"/>
              </w:rPr>
              <w:t>用户与业务流程</w:t>
            </w:r>
          </w:p>
        </w:tc>
        <w:tc>
          <w:tcPr>
            <w:tcW w:w="369" w:type="dxa"/>
          </w:tcPr>
          <w:p w14:paraId="62CECB3F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409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E2F0D9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A994B03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6"/>
              </w:rPr>
              <w:t>MaaS 平台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6"/>
              </w:rPr>
              <w:t>Agent / 工具 / 知识</w:t>
            </w:r>
          </w:p>
        </w:tc>
        <w:tc>
          <w:tcPr>
            <w:tcW w:w="369" w:type="dxa"/>
          </w:tcPr>
          <w:p w14:paraId="5773599C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409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DDEB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1C2E15D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6"/>
              </w:rPr>
              <w:t>AI 网关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6"/>
              </w:rPr>
              <w:t>模型接入与可信治理</w:t>
            </w:r>
          </w:p>
        </w:tc>
        <w:tc>
          <w:tcPr>
            <w:tcW w:w="369" w:type="dxa"/>
          </w:tcPr>
          <w:p w14:paraId="19A3AEAB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409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FF2CC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5157187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6"/>
              </w:rPr>
              <w:t>模型服务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6"/>
              </w:rPr>
              <w:t>外部 / 中转 / 本地</w:t>
            </w:r>
          </w:p>
        </w:tc>
      </w:tr>
    </w:tbl>
    <w:p w14:paraId="6B20538A">
      <w:pPr>
        <w:spacing w:after="40"/>
      </w:pPr>
    </w:p>
    <w:p w14:paraId="5E4632F5">
      <w:pPr>
        <w:spacing w:after="100" w:line="300" w:lineRule="auto"/>
      </w:pPr>
      <w:r>
        <w:rPr>
          <w:rFonts w:ascii="微软雅黑" w:hAnsi="微软雅黑" w:eastAsia="微软雅黑"/>
          <w:color w:val="222222"/>
          <w:sz w:val="19"/>
        </w:rPr>
        <w:t>业务系统既可以直接调用 AI 网关获得基础模型能力，也可以调用 MaaS 平台中已经发布的 Agent。MaaS 的所有模型请求仍通过 AI 网关执行，确保身份、数据、预算和审计规则一致。</w:t>
      </w:r>
    </w:p>
    <w:p w14:paraId="6FB4CEAB">
      <w:pPr>
        <w:pStyle w:val="4"/>
      </w:pPr>
      <w:bookmarkStart w:id="9" w:name="_Toc17701"/>
      <w:r>
        <w:t>2.2 职责边界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891"/>
        <w:gridCol w:w="2324"/>
      </w:tblGrid>
      <w:tr w14:paraId="7197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3F6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职责领域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816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AI 网关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E33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MaaS 平台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702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业务系统</w:t>
            </w:r>
          </w:p>
        </w:tc>
      </w:tr>
      <w:tr w14:paraId="3280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122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模型供应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CDE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管理供应商、模型、路由和模型费用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04B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读取模型服务目录并绑定版本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031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选择已获准模型或 Agent</w:t>
            </w:r>
          </w:p>
        </w:tc>
      </w:tr>
      <w:tr w14:paraId="4570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0CB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智能应用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F42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不编排 Agent 流程</w:t>
            </w:r>
          </w:p>
        </w:tc>
        <w:tc>
          <w:tcPr>
            <w:tcW w:w="28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10EB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管理 Agent、Prompt、工具、知识和发布</w:t>
            </w:r>
          </w:p>
        </w:tc>
        <w:tc>
          <w:tcPr>
            <w:tcW w:w="232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C63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定义业务场景与业务规则</w:t>
            </w:r>
          </w:p>
        </w:tc>
      </w:tr>
      <w:tr w14:paraId="1FCA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730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数据权限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228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控制模型出域与调用数据级别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DEC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控制知识检索和工具使用范围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F6D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保留业务数据最终授权</w:t>
            </w:r>
          </w:p>
        </w:tc>
      </w:tr>
      <w:tr w14:paraId="5539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BD9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费用管理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05B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记录模型用量、预算和结算口径</w:t>
            </w:r>
          </w:p>
        </w:tc>
        <w:tc>
          <w:tcPr>
            <w:tcW w:w="28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514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归集到 Agent、业务场景和工具</w:t>
            </w:r>
          </w:p>
        </w:tc>
        <w:tc>
          <w:tcPr>
            <w:tcW w:w="232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1A3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承担成本中心和业务预算</w:t>
            </w:r>
          </w:p>
        </w:tc>
      </w:tr>
      <w:tr w14:paraId="776E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F2E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审计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BFE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形成模型调用证据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A5C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形成 Agent、知识、工具和审批证据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E46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形成最终业务操作记录</w:t>
            </w:r>
          </w:p>
        </w:tc>
      </w:tr>
    </w:tbl>
    <w:p w14:paraId="2EFBA9A2">
      <w:pPr>
        <w:spacing w:after="20"/>
      </w:pPr>
    </w:p>
    <w:p w14:paraId="13B21603">
      <w:pPr>
        <w:pStyle w:val="4"/>
      </w:pPr>
      <w:bookmarkStart w:id="10" w:name="_Toc25217"/>
      <w:r>
        <w:t>2.3 整体应用架构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216"/>
        <w:gridCol w:w="2551"/>
      </w:tblGrid>
      <w:tr w14:paraId="629B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1F3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产品层次</w:t>
            </w:r>
          </w:p>
        </w:tc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476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核心能力</w:t>
            </w:r>
          </w:p>
        </w:tc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BDF5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对外产出</w:t>
            </w:r>
          </w:p>
        </w:tc>
      </w:tr>
      <w:tr w14:paraId="6B68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3B2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业务体验层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874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业务系统、运营门户、开发者入口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54A6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模型服务或 Agent 服务</w:t>
            </w:r>
          </w:p>
        </w:tc>
      </w:tr>
      <w:tr w14:paraId="0176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F69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MaaS 产品层</w:t>
            </w:r>
          </w:p>
        </w:tc>
        <w:tc>
          <w:tcPr>
            <w:tcW w:w="521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939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模型目录、Agent、Prompt、工具、知识、评测、发布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AAF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可复用智能能力</w:t>
            </w:r>
          </w:p>
        </w:tc>
      </w:tr>
      <w:tr w14:paraId="2262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3E7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AI 网关产品层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0FD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应用接入、模型目录、策略路由、预算计量、审计运营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316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可信模型调用</w:t>
            </w:r>
          </w:p>
        </w:tc>
      </w:tr>
      <w:tr w14:paraId="42B5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3BE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模型服务层</w:t>
            </w:r>
          </w:p>
        </w:tc>
        <w:tc>
          <w:tcPr>
            <w:tcW w:w="521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3FA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外部模型、中转模型、本地模型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51E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推理、生成、Embedding 等能力</w:t>
            </w:r>
          </w:p>
        </w:tc>
      </w:tr>
      <w:tr w14:paraId="37CFD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DFA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贯穿式可信层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332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身份、数据分级、权限、预算、审计、版本和风险处置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194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统一可信证据链</w:t>
            </w:r>
          </w:p>
        </w:tc>
      </w:tr>
    </w:tbl>
    <w:p w14:paraId="4A1CB86C">
      <w:pPr>
        <w:spacing w:after="20"/>
      </w:pPr>
    </w:p>
    <w:p w14:paraId="1E0C08AF">
      <w:pPr>
        <w:pStyle w:val="4"/>
      </w:pPr>
      <w:bookmarkStart w:id="11" w:name="_Toc19919"/>
      <w:r>
        <w:t>2.4 整体数据架构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15"/>
        <w:gridCol w:w="1928"/>
        <w:gridCol w:w="2665"/>
      </w:tblGrid>
      <w:tr w14:paraId="1551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9EA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97D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主要对象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0AA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主责产品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180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使用方式</w:t>
            </w:r>
          </w:p>
        </w:tc>
      </w:tr>
      <w:tr w14:paraId="6CDB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5EC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组织与应用域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7A4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租户、组织、应用、用户、成本中心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274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集团基础平台 / AI 网关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45D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决定身份、授权和费用归属</w:t>
            </w:r>
          </w:p>
        </w:tc>
      </w:tr>
      <w:tr w14:paraId="5F58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677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模型供应域</w:t>
            </w:r>
          </w:p>
        </w:tc>
        <w:tc>
          <w:tcPr>
            <w:tcW w:w="351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1BD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供应商、模型、能力、区域、版本、状态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9C8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网关</w:t>
            </w:r>
          </w:p>
        </w:tc>
        <w:tc>
          <w:tcPr>
            <w:tcW w:w="266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8E4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形成可用模型服务目录</w:t>
            </w:r>
          </w:p>
        </w:tc>
      </w:tr>
      <w:tr w14:paraId="5433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A7D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智能资产域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AF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Agent、Prompt、工具、知识、评测、发布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BCD9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平台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705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沉淀可复用智能能力</w:t>
            </w:r>
          </w:p>
        </w:tc>
      </w:tr>
      <w:tr w14:paraId="2578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5A2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运行状态域</w:t>
            </w:r>
          </w:p>
        </w:tc>
        <w:tc>
          <w:tcPr>
            <w:tcW w:w="351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BD8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请求、会话、Agent Run、步骤、审批、工具执行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A90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平台</w:t>
            </w:r>
          </w:p>
        </w:tc>
        <w:tc>
          <w:tcPr>
            <w:tcW w:w="266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BBE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支撑执行、恢复和追踪</w:t>
            </w:r>
          </w:p>
        </w:tc>
      </w:tr>
      <w:tr w14:paraId="6C9B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097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用量成本域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788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Token、调用量、预算、价格、账单、业务金额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B7D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网关 / MaaS 平台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55F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预算控制和成本归集</w:t>
            </w:r>
          </w:p>
        </w:tc>
      </w:tr>
      <w:tr w14:paraId="33E6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863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审计证据域</w:t>
            </w:r>
          </w:p>
        </w:tc>
        <w:tc>
          <w:tcPr>
            <w:tcW w:w="351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653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身份、策略、数据级别、模型、工具、版本和结果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A6C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双方共同形成</w:t>
            </w:r>
          </w:p>
        </w:tc>
        <w:tc>
          <w:tcPr>
            <w:tcW w:w="266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05E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支撑安全、合规和问题追溯</w:t>
            </w:r>
          </w:p>
        </w:tc>
      </w:tr>
    </w:tbl>
    <w:p w14:paraId="05C79F1D">
      <w:pPr>
        <w:spacing w:after="20"/>
      </w:pPr>
    </w:p>
    <w:p w14:paraId="58EC92BF">
      <w:r>
        <w:br w:type="page"/>
      </w:r>
    </w:p>
    <w:p w14:paraId="71FA5166">
      <w:pPr>
        <w:pStyle w:val="3"/>
      </w:pPr>
      <w:bookmarkStart w:id="12" w:name="_Toc31598"/>
      <w:r>
        <w:t>3. AI 网关产品设计</w:t>
      </w:r>
      <w:bookmarkEnd w:id="12"/>
    </w:p>
    <w:p w14:paraId="0E1FC647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定位：集团模型能力的统一可信入口</w:t>
      </w:r>
    </w:p>
    <w:p w14:paraId="1C2D59B1">
      <w:pPr>
        <w:pStyle w:val="4"/>
      </w:pPr>
      <w:bookmarkStart w:id="13" w:name="_Toc14059"/>
      <w:r>
        <w:t>3.1 产品定位与用户</w:t>
      </w:r>
      <w:bookmarkEnd w:id="13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298"/>
      </w:tblGrid>
      <w:tr w14:paraId="0741A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1F7A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02785"/>
        </w:tc>
        <w:tc>
          <w:tcPr>
            <w:tcW w:w="4933" w:type="dxa"/>
            <w:shd w:val="clear" w:color="auto" w:fill="DDEB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4BB7684"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产品定位</w:t>
            </w:r>
          </w:p>
          <w:p w14:paraId="55519318">
            <w:pPr>
              <w:spacing w:after="0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为所有内部系统和 Agent 提供统一模型服务入口，同时完成模型接入、访问控制、数据出域、策略路由、用量计量、费用归集和审计运营。</w:t>
            </w:r>
          </w:p>
        </w:tc>
      </w:tr>
    </w:tbl>
    <w:p w14:paraId="62B25BB9">
      <w:pPr>
        <w:spacing w:after="2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82"/>
        <w:gridCol w:w="3628"/>
      </w:tblGrid>
      <w:tr w14:paraId="4EEA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5A3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用户角色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31AC7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核心任务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53CC0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关注结果</w:t>
            </w:r>
          </w:p>
        </w:tc>
      </w:tr>
      <w:tr w14:paraId="1894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0A1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业务系统团队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175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申请并调用获准模型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897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接入简单、接口稳定、异常清晰</w:t>
            </w:r>
          </w:p>
        </w:tc>
      </w:tr>
      <w:tr w14:paraId="18D6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1FA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MaaS 平台团队</w:t>
            </w:r>
          </w:p>
        </w:tc>
        <w:tc>
          <w:tcPr>
            <w:tcW w:w="408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DA7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为 Agent 获取模型能力</w:t>
            </w:r>
          </w:p>
        </w:tc>
        <w:tc>
          <w:tcPr>
            <w:tcW w:w="36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CE5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策略一致、预算可控、可追踪</w:t>
            </w:r>
          </w:p>
        </w:tc>
      </w:tr>
      <w:tr w14:paraId="664B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0F2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安全与合规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7A0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控制数据出域和供应商风险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791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规则可执行、证据可查询</w:t>
            </w:r>
          </w:p>
        </w:tc>
      </w:tr>
      <w:tr w14:paraId="4407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BE0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财务与运营</w:t>
            </w:r>
          </w:p>
        </w:tc>
        <w:tc>
          <w:tcPr>
            <w:tcW w:w="408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817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管理预算、分摊成本和对账</w:t>
            </w:r>
          </w:p>
        </w:tc>
        <w:tc>
          <w:tcPr>
            <w:tcW w:w="36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5C8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口径统一、费用透明</w:t>
            </w:r>
          </w:p>
        </w:tc>
      </w:tr>
      <w:tr w14:paraId="00F4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438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平台运维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6674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保障模型服务连续性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5B7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故障可发现、可切换、可恢复</w:t>
            </w:r>
          </w:p>
        </w:tc>
      </w:tr>
    </w:tbl>
    <w:p w14:paraId="166081C2">
      <w:pPr>
        <w:spacing w:after="20"/>
      </w:pPr>
    </w:p>
    <w:p w14:paraId="0B21CD50">
      <w:pPr>
        <w:pStyle w:val="4"/>
      </w:pPr>
      <w:bookmarkStart w:id="14" w:name="_Toc16027"/>
      <w:r>
        <w:t>3.2 核心模块及职能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458"/>
        <w:gridCol w:w="2268"/>
        <w:gridCol w:w="2154"/>
      </w:tblGrid>
      <w:tr w14:paraId="1524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9AA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CC3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主要职能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1160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核心产出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AA8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产品价值</w:t>
            </w:r>
          </w:p>
        </w:tc>
      </w:tr>
      <w:tr w14:paraId="3787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53B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租户与应用管理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FA7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管理组织、应用、环境、Owner、成本中心和使用范围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EED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应用档案、调用身份、授权边界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029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回答谁可以使用什么能力</w:t>
            </w:r>
          </w:p>
        </w:tc>
      </w:tr>
      <w:tr w14:paraId="65A7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7A6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供应商与模型接入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34C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登记外部、中转和本地模型服务，维护能力、区域、版本和状态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28A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统一模型目录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13D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降低供应商接入与替换成本</w:t>
            </w:r>
          </w:p>
        </w:tc>
      </w:tr>
      <w:tr w14:paraId="4B49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DB2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统一模型服务入口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4C8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提供一致的调用方式、模型别名、流式响应和错误语义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0A7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标准模型服务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615C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业务系统不再分别适配供应商</w:t>
            </w:r>
          </w:p>
        </w:tc>
      </w:tr>
      <w:tr w14:paraId="62AA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17D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策略路由管理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F47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基于身份、数据级别、目的、区域、成本和质量选择模型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5A1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路由策略与回退规则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3BE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在合规范围内平衡质量、成本和稳定性</w:t>
            </w:r>
          </w:p>
        </w:tc>
      </w:tr>
      <w:tr w14:paraId="0C86A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6C7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身份与访问控制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4AA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校验人员、应用和工作负载身份，执行最小权限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6B9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访问决策与凭证托管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96A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防止共享密钥和越权调用</w:t>
            </w:r>
          </w:p>
        </w:tc>
      </w:tr>
      <w:tr w14:paraId="1621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A49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数据安全与出域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C8C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执行数据分级、敏感信息识别、脱敏和出域规则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D81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数据处理决策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619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避免敏感数据进入不合适的模型环境</w:t>
            </w:r>
          </w:p>
        </w:tc>
      </w:tr>
      <w:tr w14:paraId="530A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E29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配额、预算与计量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3EC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管理请求、Token、金额和周期预算，记录用量与价格版本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CB9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预算预留、用量账本、费用归属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0B1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防止费用失控并支持内部结算</w:t>
            </w:r>
          </w:p>
        </w:tc>
      </w:tr>
      <w:tr w14:paraId="2C04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D01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审计与运营管理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2CB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关联身份、模型、策略、数据级别、用量、异常和结果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9C9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审计证据、运营看板、告警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B47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支持安全追溯和服务运营</w:t>
            </w:r>
          </w:p>
        </w:tc>
      </w:tr>
    </w:tbl>
    <w:p w14:paraId="48C5CA38">
      <w:pPr>
        <w:spacing w:after="20"/>
      </w:pPr>
    </w:p>
    <w:p w14:paraId="76C97904">
      <w:pPr>
        <w:pStyle w:val="4"/>
      </w:pPr>
      <w:bookmarkStart w:id="15" w:name="_Toc9092"/>
      <w:r>
        <w:t>3.3 应用架构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216"/>
        <w:gridCol w:w="2551"/>
      </w:tblGrid>
      <w:tr w14:paraId="5AE7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CDD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产品层次</w:t>
            </w:r>
          </w:p>
        </w:tc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4B63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核心能力</w:t>
            </w:r>
          </w:p>
        </w:tc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C8CD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对外产出</w:t>
            </w:r>
          </w:p>
        </w:tc>
      </w:tr>
      <w:tr w14:paraId="3B01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F9C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接入体验层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8C9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开发者入口、管理入口、用量与审计查询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207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申请、配置、查询和运营体验</w:t>
            </w:r>
          </w:p>
        </w:tc>
      </w:tr>
      <w:tr w14:paraId="7464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CAD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产品控制层</w:t>
            </w:r>
          </w:p>
        </w:tc>
        <w:tc>
          <w:tcPr>
            <w:tcW w:w="521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FE1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应用、供应商、模型、策略、预算和审批管理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A18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受控配置与版本发布</w:t>
            </w:r>
          </w:p>
        </w:tc>
      </w:tr>
      <w:tr w14:paraId="273E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041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实时服务层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BA6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身份校验、数据判断、路由、限额、响应检查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DEA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每次模型请求的可信执行</w:t>
            </w:r>
          </w:p>
        </w:tc>
      </w:tr>
      <w:tr w14:paraId="25F7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D14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运营与证据层</w:t>
            </w:r>
          </w:p>
        </w:tc>
        <w:tc>
          <w:tcPr>
            <w:tcW w:w="521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4F4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用量、费用、审计、告警、对账和服务质量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B83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持续运营与问题追溯</w:t>
            </w:r>
          </w:p>
        </w:tc>
      </w:tr>
      <w:tr w14:paraId="613C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52A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模型供应层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830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外部、中转和本地模型服务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CD6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统一可消费的模型能力</w:t>
            </w:r>
          </w:p>
        </w:tc>
      </w:tr>
    </w:tbl>
    <w:p w14:paraId="6FBE0E45">
      <w:pPr>
        <w:spacing w:after="20"/>
      </w:pPr>
    </w:p>
    <w:p w14:paraId="6D61CDD1">
      <w:pPr>
        <w:pStyle w:val="4"/>
      </w:pPr>
      <w:bookmarkStart w:id="16" w:name="_Toc16784"/>
      <w:r>
        <w:t>3.4 数据架构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721"/>
        <w:gridCol w:w="3118"/>
        <w:gridCol w:w="2098"/>
      </w:tblGrid>
      <w:tr w14:paraId="5D3C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730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C579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关键对象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FEF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关键关系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50D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生命周期</w:t>
            </w:r>
          </w:p>
        </w:tc>
      </w:tr>
      <w:tr w14:paraId="3865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84F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组织应用域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F8C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租户、应用、主体、成本中心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5A5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租户包含应用；应用绑定使用边界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C09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注册、变更、停用</w:t>
            </w:r>
          </w:p>
        </w:tc>
      </w:tr>
      <w:tr w14:paraId="5FFD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549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模型供应域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C05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供应商、模型、能力、区域、版本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A2D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供应商提供模型；模型映射内部服务名</w:t>
            </w:r>
          </w:p>
        </w:tc>
        <w:tc>
          <w:tcPr>
            <w:tcW w:w="209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5FB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候选、批准、灰度、生产、退役</w:t>
            </w:r>
          </w:p>
        </w:tc>
      </w:tr>
      <w:tr w14:paraId="243A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7FC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策略路由域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5D9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数据级别、目的、候选集合、回退规则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C42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应用和请求匹配策略；策略选择模型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F74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草稿、审批、发布、回滚</w:t>
            </w:r>
          </w:p>
        </w:tc>
      </w:tr>
      <w:tr w14:paraId="745A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F4F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用量成本域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5D0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预算、价格、用量、预留、结算、对账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8B5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请求产生用量；用量归属应用和成本中心</w:t>
            </w:r>
          </w:p>
        </w:tc>
        <w:tc>
          <w:tcPr>
            <w:tcW w:w="209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C41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预留、结算、冲正、对账</w:t>
            </w:r>
          </w:p>
        </w:tc>
      </w:tr>
      <w:tr w14:paraId="5279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F3F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审计证据域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5F4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请求、身份、策略、模型、数据级别、异常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00E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每次调用形成一条完整证据链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8F6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生成、保留、归档、销毁</w:t>
            </w:r>
          </w:p>
        </w:tc>
      </w:tr>
    </w:tbl>
    <w:p w14:paraId="64C6C158">
      <w:pPr>
        <w:spacing w:after="20"/>
      </w:pPr>
    </w:p>
    <w:p w14:paraId="30BD7BE9">
      <w:pPr>
        <w:pStyle w:val="4"/>
      </w:pPr>
      <w:bookmarkStart w:id="17" w:name="_Toc32518"/>
      <w:r>
        <w:t>3.5 可信能力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102"/>
        <w:gridCol w:w="2948"/>
      </w:tblGrid>
      <w:tr w14:paraId="0179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E00A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可信维度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98A4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产品机制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813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用户感知</w:t>
            </w:r>
          </w:p>
        </w:tc>
      </w:tr>
      <w:tr w14:paraId="66B54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DD7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身份可信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2E5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调用身份来自受信认证上下文，应用与用户权限分离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746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知道是谁、代表谁发起调用</w:t>
            </w:r>
          </w:p>
        </w:tc>
      </w:tr>
      <w:tr w14:paraId="4B53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BDD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数据可信</w:t>
            </w:r>
          </w:p>
        </w:tc>
        <w:tc>
          <w:tcPr>
            <w:tcW w:w="51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FF5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数据先分级再路由，未知或冲突数据默认受限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F0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敏感信息不会因供应商切换而越界</w:t>
            </w:r>
          </w:p>
        </w:tc>
      </w:tr>
      <w:tr w14:paraId="09CA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F13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EAE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模型有明确能力、区域、版本、状态和适用范围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0E2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业务只看到已批准模型服务</w:t>
            </w:r>
          </w:p>
        </w:tc>
      </w:tr>
      <w:tr w14:paraId="1311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5D8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成本可信</w:t>
            </w:r>
          </w:p>
        </w:tc>
        <w:tc>
          <w:tcPr>
            <w:tcW w:w="51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66E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请求前校验预算，完成后按实际用量结算并保留价格口径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365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费用可预测、可归属、可解释</w:t>
            </w:r>
          </w:p>
        </w:tc>
      </w:tr>
      <w:tr w14:paraId="31EE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28B6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审计可信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7ED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拒绝、成功、异常、回退和费用均形成关联证据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15C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能够回答谁在何时使用了什么模型</w:t>
            </w:r>
          </w:p>
        </w:tc>
      </w:tr>
      <w:tr w14:paraId="4AF0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BF3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服务可信</w:t>
            </w:r>
          </w:p>
        </w:tc>
        <w:tc>
          <w:tcPr>
            <w:tcW w:w="51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DE0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故障只在合规集合内切换，状态未知时不盲目重试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0D0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稳定性提升但不牺牲安全边界</w:t>
            </w:r>
          </w:p>
        </w:tc>
      </w:tr>
    </w:tbl>
    <w:p w14:paraId="59E118C3">
      <w:pPr>
        <w:spacing w:after="20"/>
      </w:pPr>
    </w:p>
    <w:p w14:paraId="22E86971">
      <w:pPr>
        <w:pStyle w:val="4"/>
      </w:pPr>
      <w:bookmarkStart w:id="18" w:name="_Toc17922"/>
      <w:r>
        <w:t>3.6 核心产品流程</w:t>
      </w:r>
      <w:bookmarkEnd w:id="18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14:paraId="49984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E634062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应用申请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明确场景与数据</w:t>
            </w:r>
          </w:p>
        </w:tc>
        <w:tc>
          <w:tcPr>
            <w:tcW w:w="369" w:type="dxa"/>
          </w:tcPr>
          <w:p w14:paraId="76651B19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DDEB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F8100A9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安全审批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确定模型与预算</w:t>
            </w:r>
          </w:p>
        </w:tc>
        <w:tc>
          <w:tcPr>
            <w:tcW w:w="369" w:type="dxa"/>
          </w:tcPr>
          <w:p w14:paraId="58460698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E2F0D9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54E3B7D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服务开通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获得调用权限</w:t>
            </w:r>
          </w:p>
        </w:tc>
        <w:tc>
          <w:tcPr>
            <w:tcW w:w="369" w:type="dxa"/>
          </w:tcPr>
          <w:p w14:paraId="2BC4650D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DDEB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2ABC2F4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运行治理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策略、计量、审计</w:t>
            </w:r>
          </w:p>
        </w:tc>
        <w:tc>
          <w:tcPr>
            <w:tcW w:w="369" w:type="dxa"/>
          </w:tcPr>
          <w:p w14:paraId="2EFF87B4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5CCC293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持续运营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对账与优化</w:t>
            </w:r>
          </w:p>
        </w:tc>
      </w:tr>
    </w:tbl>
    <w:p w14:paraId="3C81C8A2">
      <w:pPr>
        <w:spacing w:after="40"/>
      </w:pPr>
    </w:p>
    <w:p w14:paraId="5EDBC051">
      <w:r>
        <w:br w:type="page"/>
      </w:r>
    </w:p>
    <w:p w14:paraId="293AF6FA">
      <w:pPr>
        <w:pStyle w:val="3"/>
      </w:pPr>
      <w:bookmarkStart w:id="19" w:name="_Toc24680"/>
      <w:r>
        <w:t>4. MaaS 与 Agent 平台产品设计</w:t>
      </w:r>
      <w:bookmarkEnd w:id="19"/>
    </w:p>
    <w:p w14:paraId="72D95655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定位：集团智能能力的生产、发布与运营平台</w:t>
      </w:r>
    </w:p>
    <w:p w14:paraId="68BD62F3">
      <w:pPr>
        <w:pStyle w:val="4"/>
      </w:pPr>
      <w:bookmarkStart w:id="20" w:name="_Toc15062"/>
      <w:r>
        <w:t>4.1 产品定位与用户</w:t>
      </w:r>
      <w:bookmarkEnd w:id="20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298"/>
      </w:tblGrid>
      <w:tr w14:paraId="1F020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1F7A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3BDE8"/>
        </w:tc>
        <w:tc>
          <w:tcPr>
            <w:tcW w:w="4933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B081582"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产品定位</w:t>
            </w:r>
          </w:p>
          <w:p w14:paraId="0FD69EAD">
            <w:pPr>
              <w:spacing w:after="0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将模型服务组织成可复用、可治理、可持续运营的 Agent、Prompt、工具和知识能力，为业务系统提供经过评测和批准的智能服务。</w:t>
            </w:r>
          </w:p>
        </w:tc>
      </w:tr>
    </w:tbl>
    <w:p w14:paraId="3B6DF163">
      <w:pPr>
        <w:spacing w:after="2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82"/>
        <w:gridCol w:w="3628"/>
      </w:tblGrid>
      <w:tr w14:paraId="732B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E11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用户角色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C3D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核心任务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9CC2F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关注结果</w:t>
            </w:r>
          </w:p>
        </w:tc>
      </w:tr>
      <w:tr w14:paraId="75A2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BC5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业务产品负责人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369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提出智能化场景并评估价值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540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场景可落地、风险可接受、效果可衡量</w:t>
            </w:r>
          </w:p>
        </w:tc>
      </w:tr>
      <w:tr w14:paraId="33E1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D256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Agent 开发团队</w:t>
            </w:r>
          </w:p>
        </w:tc>
        <w:tc>
          <w:tcPr>
            <w:tcW w:w="408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502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设计、测试和发布 Agent</w:t>
            </w:r>
          </w:p>
        </w:tc>
        <w:tc>
          <w:tcPr>
            <w:tcW w:w="36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01C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资产可复用、流程可验证、版本可回滚</w:t>
            </w:r>
          </w:p>
        </w:tc>
      </w:tr>
      <w:tr w14:paraId="34D2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F67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业务系统团队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140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嵌入已发布 Agent 服务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0D4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接口稳定、状态清晰、来源可追溯</w:t>
            </w:r>
          </w:p>
        </w:tc>
      </w:tr>
      <w:tr w14:paraId="72C5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5B6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知识与工具 Owner</w:t>
            </w:r>
          </w:p>
        </w:tc>
        <w:tc>
          <w:tcPr>
            <w:tcW w:w="408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0DD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提供受控数据和业务能力</w:t>
            </w:r>
          </w:p>
        </w:tc>
        <w:tc>
          <w:tcPr>
            <w:tcW w:w="36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309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权限不被绕过、调用有证据</w:t>
            </w:r>
          </w:p>
        </w:tc>
      </w:tr>
      <w:tr w14:paraId="037F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E3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安全与运营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2DE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评测、审批、监控和复盘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C5E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质量、成本、安全和业务效果可观察</w:t>
            </w:r>
          </w:p>
        </w:tc>
      </w:tr>
    </w:tbl>
    <w:p w14:paraId="3415B28B">
      <w:pPr>
        <w:spacing w:after="20"/>
      </w:pPr>
    </w:p>
    <w:p w14:paraId="558C49CF">
      <w:pPr>
        <w:pStyle w:val="4"/>
      </w:pPr>
      <w:bookmarkStart w:id="21" w:name="_Toc1945"/>
      <w:r>
        <w:t>4.2 核心模块及职能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458"/>
        <w:gridCol w:w="2268"/>
        <w:gridCol w:w="2154"/>
      </w:tblGrid>
      <w:tr w14:paraId="3706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414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7808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主要职能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3FA0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核心产出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2B1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产品价值</w:t>
            </w:r>
          </w:p>
        </w:tc>
      </w:tr>
      <w:tr w14:paraId="1A5F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65E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模型服务目录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198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展示网关中已批准的模型能力、数据范围、费用和状态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C51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可申请、可绑定的模型服务视图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E33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让开发者正确选择模型</w:t>
            </w:r>
          </w:p>
        </w:tc>
      </w:tr>
      <w:tr w14:paraId="71FA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9D3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Agent 管理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1B8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 Agent 的目的、Owner、流程、版本、限制和风险等级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2B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可复用 Agent 资产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AF5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避免各业务系统重复建设</w:t>
            </w:r>
          </w:p>
        </w:tc>
      </w:tr>
      <w:tr w14:paraId="51E5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833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Prompt 管理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93E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管理模板、变量、适用模型、基线和变更记录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9AD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版本化 Prompt 资产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5A5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支持评测、审批和回滚</w:t>
            </w:r>
          </w:p>
        </w:tc>
      </w:tr>
      <w:tr w14:paraId="49B8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02F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工具与能力管理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50E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登记工具动作、输入输出、权限、风险、审批和金额规则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73D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受控工具目录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820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让 Agent 只能执行明确业务能力</w:t>
            </w:r>
          </w:p>
        </w:tc>
      </w:tr>
      <w:tr w14:paraId="5C61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523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企业知识服务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1C5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管理文档接入、权限、分类、切片、索引、引用和删除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C48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权限感知知识服务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E01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让检索结果继承原始数据权限</w:t>
            </w:r>
          </w:p>
        </w:tc>
      </w:tr>
      <w:tr w14:paraId="3B9F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BD0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评测与发布管理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F45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管理评测集、安全测试、审批、灰度、发布和回滚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AF0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生产发布证据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4D0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模型或 Prompt 变化不直接影响生产</w:t>
            </w:r>
          </w:p>
        </w:tc>
      </w:tr>
      <w:tr w14:paraId="71D5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EBC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Agent 运行管理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B3A6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管理运行、步骤、状态、暂停、恢复、取消和人工审批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46D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稳定的 Agent 服务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EA3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控制循环、超时和副作用</w:t>
            </w:r>
          </w:p>
        </w:tc>
      </w:tr>
      <w:tr w14:paraId="066A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18B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运营与价值分析</w:t>
            </w:r>
          </w:p>
        </w:tc>
        <w:tc>
          <w:tcPr>
            <w:tcW w:w="345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F74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汇总质量、成本、时延、使用、接管率和业务结果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32E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运营看板与复盘报告</w:t>
            </w:r>
          </w:p>
        </w:tc>
        <w:tc>
          <w:tcPr>
            <w:tcW w:w="21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63B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持续优化 Agent 的业务价值</w:t>
            </w:r>
          </w:p>
        </w:tc>
      </w:tr>
    </w:tbl>
    <w:p w14:paraId="0212EB79">
      <w:pPr>
        <w:spacing w:after="20"/>
      </w:pPr>
    </w:p>
    <w:p w14:paraId="1AC85F2F">
      <w:pPr>
        <w:pStyle w:val="4"/>
      </w:pPr>
      <w:bookmarkStart w:id="22" w:name="_Toc16990"/>
      <w:r>
        <w:t>4.3 应用架构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216"/>
        <w:gridCol w:w="2551"/>
      </w:tblGrid>
      <w:tr w14:paraId="3BDF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0C5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产品层次</w:t>
            </w:r>
          </w:p>
        </w:tc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E4C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核心能力</w:t>
            </w:r>
          </w:p>
        </w:tc>
        <w:tc>
          <w:tcPr>
            <w:tcW w:w="3289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7D6B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对外产出</w:t>
            </w:r>
          </w:p>
        </w:tc>
      </w:tr>
      <w:tr w14:paraId="3E4E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3B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产品体验层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3B2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开发者中心、业务运营、资产目录、审批与分析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96B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创建、申请、发布和运营体验</w:t>
            </w:r>
          </w:p>
        </w:tc>
      </w:tr>
      <w:tr w14:paraId="18FD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2D1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资产控制层</w:t>
            </w:r>
          </w:p>
        </w:tc>
        <w:tc>
          <w:tcPr>
            <w:tcW w:w="521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A6E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模型视图、Agent、Prompt、工具、知识、评测和发布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7E6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版本化智能资产</w:t>
            </w:r>
          </w:p>
        </w:tc>
      </w:tr>
      <w:tr w14:paraId="3D6B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E4C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Agent 运行层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D57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运行、状态、步骤、预算、人工介入和恢复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9BB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可控、可恢复的 Agent 服务</w:t>
            </w:r>
          </w:p>
        </w:tc>
      </w:tr>
      <w:tr w14:paraId="0485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EC4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能力服务层</w:t>
            </w:r>
          </w:p>
        </w:tc>
        <w:tc>
          <w:tcPr>
            <w:tcW w:w="521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263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知识检索、工具执行、模型调用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CDE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Agent 可使用的受控能力</w:t>
            </w:r>
          </w:p>
        </w:tc>
      </w:tr>
      <w:tr w14:paraId="3222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D823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6"/>
              </w:rPr>
              <w:t>可信运营层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105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身份、权限、审计、质量、成本、风险和业务效果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29B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生产可信与持续优化</w:t>
            </w:r>
          </w:p>
        </w:tc>
      </w:tr>
    </w:tbl>
    <w:p w14:paraId="2EC66BE7">
      <w:pPr>
        <w:spacing w:after="20"/>
      </w:pPr>
    </w:p>
    <w:p w14:paraId="4D38FEE2">
      <w:pPr>
        <w:pStyle w:val="4"/>
      </w:pPr>
      <w:bookmarkStart w:id="23" w:name="_Toc20311"/>
      <w:r>
        <w:t>4.4 数据架构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721"/>
        <w:gridCol w:w="3118"/>
        <w:gridCol w:w="2098"/>
      </w:tblGrid>
      <w:tr w14:paraId="33C0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1501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3E9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关键对象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1BA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关键关系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FB4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生命周期</w:t>
            </w:r>
          </w:p>
        </w:tc>
      </w:tr>
      <w:tr w14:paraId="380C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BCF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模型服务视图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AC0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模型服务、能力、费用、适用范围、状态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C0A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引用网关模型服务，不重复修改供应数据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7E0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同步、申请、绑定、退役</w:t>
            </w:r>
          </w:p>
        </w:tc>
      </w:tr>
      <w:tr w14:paraId="40B8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ED8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智能资产域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76F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Agent、Prompt、Tool、Knowledge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3DB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 绑定具体版本的模型、Prompt、工具和知识</w:t>
            </w:r>
          </w:p>
        </w:tc>
        <w:tc>
          <w:tcPr>
            <w:tcW w:w="209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BE0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草稿、评测、批准、发布、退役</w:t>
            </w:r>
          </w:p>
        </w:tc>
      </w:tr>
      <w:tr w14:paraId="5656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604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评测发布域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661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评测集、指标、审批、发布包、回滚点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E41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资产版本通过评测后形成发布版本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890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评测、审批、灰度、生产、回滚</w:t>
            </w:r>
          </w:p>
        </w:tc>
      </w:tr>
      <w:tr w14:paraId="38F8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08D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运行状态域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C17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Run、Step、Checkpoint、Approval、Execution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E6F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一次 Run 包含多个步骤和外部能力调用</w:t>
            </w:r>
          </w:p>
        </w:tc>
        <w:tc>
          <w:tcPr>
            <w:tcW w:w="209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258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运行、暂停、恢复、完成、异常</w:t>
            </w:r>
          </w:p>
        </w:tc>
      </w:tr>
      <w:tr w14:paraId="1227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A0D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知识数据域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515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文档、权限、分类、片段、索引、引用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B71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片段继承原文权限与数据级别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878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接入、更新、重建、删除</w:t>
            </w:r>
          </w:p>
        </w:tc>
      </w:tr>
      <w:tr w14:paraId="6C84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745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运营证据域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34C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Trace、质量、成本、审计、业务结果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9F3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运行关联全部资产版本和策略决定</w:t>
            </w:r>
          </w:p>
        </w:tc>
        <w:tc>
          <w:tcPr>
            <w:tcW w:w="209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FFD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采集、分析、复盘、归档</w:t>
            </w:r>
          </w:p>
        </w:tc>
      </w:tr>
    </w:tbl>
    <w:p w14:paraId="1E7B3DD0">
      <w:pPr>
        <w:spacing w:after="20"/>
      </w:pPr>
    </w:p>
    <w:p w14:paraId="61957998">
      <w:pPr>
        <w:pStyle w:val="4"/>
      </w:pPr>
      <w:bookmarkStart w:id="24" w:name="_Toc20292"/>
      <w:r>
        <w:t>4.5 可信能力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102"/>
        <w:gridCol w:w="2948"/>
      </w:tblGrid>
      <w:tr w14:paraId="67DB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F66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可信维度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6B1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产品机制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81A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用户感知</w:t>
            </w:r>
          </w:p>
        </w:tc>
      </w:tr>
      <w:tr w14:paraId="2F05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2C92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资产可信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7FD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Agent、Prompt、工具、知识和评测均有不可变版本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17C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任何运行都能还原当时使用的资产</w:t>
            </w:r>
          </w:p>
        </w:tc>
      </w:tr>
      <w:tr w14:paraId="3BAA7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B32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身份可信</w:t>
            </w:r>
          </w:p>
        </w:tc>
        <w:tc>
          <w:tcPr>
            <w:tcW w:w="51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AEA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用户身份与 Agent 执行身份同时保留，权限只缩小不放大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374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知道 Agent 代表谁执行操作</w:t>
            </w:r>
          </w:p>
        </w:tc>
      </w:tr>
      <w:tr w14:paraId="129E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746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知识可信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727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检索必须经过文档权限过滤，并返回来源和版本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125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回答有依据，且不会跨权限检索</w:t>
            </w:r>
          </w:p>
        </w:tc>
      </w:tr>
      <w:tr w14:paraId="4478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3DC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工具可信</w:t>
            </w:r>
          </w:p>
        </w:tc>
        <w:tc>
          <w:tcPr>
            <w:tcW w:w="51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AEF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每次工具调用重新授权，高风险动作绑定具体参数并人工确认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A4C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模型建议不能直接变成业务权限</w:t>
            </w:r>
          </w:p>
        </w:tc>
      </w:tr>
      <w:tr w14:paraId="1F0E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0BD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运行可信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26F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限制步骤、时间、调用次数、AI 成本和业务金额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5AB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 不会无限循环或无界消费</w:t>
            </w:r>
          </w:p>
        </w:tc>
      </w:tr>
      <w:tr w14:paraId="4903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220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发布可信</w:t>
            </w:r>
          </w:p>
        </w:tc>
        <w:tc>
          <w:tcPr>
            <w:tcW w:w="51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AE5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质量、安全、权限和成本测试共同构成发布闸门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2D9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未经验证的 Agent 不进入生产</w:t>
            </w:r>
          </w:p>
        </w:tc>
      </w:tr>
      <w:tr w14:paraId="21694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C49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结果可信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C37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运行结果关联模型、Prompt、知识、工具、策略和审批证据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E5C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问题可定位、版本可回滚</w:t>
            </w:r>
          </w:p>
        </w:tc>
      </w:tr>
    </w:tbl>
    <w:p w14:paraId="4857CB38">
      <w:pPr>
        <w:spacing w:after="20"/>
      </w:pPr>
    </w:p>
    <w:p w14:paraId="60AFEA4C">
      <w:pPr>
        <w:pStyle w:val="4"/>
      </w:pPr>
      <w:bookmarkStart w:id="25" w:name="_Toc32484"/>
      <w:r>
        <w:t>4.6 Agent 生命周期</w:t>
      </w:r>
      <w:bookmarkEnd w:id="25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14:paraId="0AB0F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EF10C91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设计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明确场景与边界</w:t>
            </w:r>
          </w:p>
        </w:tc>
        <w:tc>
          <w:tcPr>
            <w:tcW w:w="369" w:type="dxa"/>
          </w:tcPr>
          <w:p w14:paraId="585D55AA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DDEB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89B1531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开发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组合模型与能力</w:t>
            </w:r>
          </w:p>
        </w:tc>
        <w:tc>
          <w:tcPr>
            <w:tcW w:w="369" w:type="dxa"/>
          </w:tcPr>
          <w:p w14:paraId="41C2396C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FF2CC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821ACEC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评测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质量与安全验证</w:t>
            </w:r>
          </w:p>
        </w:tc>
        <w:tc>
          <w:tcPr>
            <w:tcW w:w="369" w:type="dxa"/>
          </w:tcPr>
          <w:p w14:paraId="57CA96EE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E2F0D9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4B9A1FA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审批发布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灰度与回滚点</w:t>
            </w:r>
          </w:p>
        </w:tc>
        <w:tc>
          <w:tcPr>
            <w:tcW w:w="369" w:type="dxa"/>
          </w:tcPr>
          <w:p w14:paraId="107B4AA7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3947716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运营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效果、成本与复盘</w:t>
            </w:r>
          </w:p>
        </w:tc>
      </w:tr>
    </w:tbl>
    <w:p w14:paraId="4CA0F3A6">
      <w:pPr>
        <w:spacing w:after="40"/>
      </w:pPr>
    </w:p>
    <w:p w14:paraId="3720B7B7">
      <w:r>
        <w:br w:type="page"/>
      </w:r>
    </w:p>
    <w:p w14:paraId="7D237050">
      <w:pPr>
        <w:pStyle w:val="3"/>
      </w:pPr>
      <w:bookmarkStart w:id="26" w:name="_Toc13823"/>
      <w:r>
        <w:t>5. 两个产品的协同关系</w:t>
      </w:r>
      <w:bookmarkEnd w:id="26"/>
    </w:p>
    <w:p w14:paraId="706CC621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统一身份、模型、用量与审计链路，保持清晰数据权属</w:t>
      </w:r>
    </w:p>
    <w:p w14:paraId="1C4CC0EE">
      <w:pPr>
        <w:pStyle w:val="4"/>
      </w:pPr>
      <w:bookmarkStart w:id="27" w:name="_Toc559"/>
      <w:r>
        <w:t>5.1 端到端协同流程</w:t>
      </w:r>
      <w:bookmarkEnd w:id="27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14:paraId="7FB4E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D8CD0DD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业务请求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场景与用户身份</w:t>
            </w:r>
          </w:p>
        </w:tc>
        <w:tc>
          <w:tcPr>
            <w:tcW w:w="369" w:type="dxa"/>
          </w:tcPr>
          <w:p w14:paraId="222AA719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E2F0D9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26E9F28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MaaS 执行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Agent / 知识 / 工具</w:t>
            </w:r>
          </w:p>
        </w:tc>
        <w:tc>
          <w:tcPr>
            <w:tcW w:w="369" w:type="dxa"/>
          </w:tcPr>
          <w:p w14:paraId="207E2CA1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DDEB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13EC190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网关治理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数据 / 路由 / 预算</w:t>
            </w:r>
          </w:p>
        </w:tc>
        <w:tc>
          <w:tcPr>
            <w:tcW w:w="369" w:type="dxa"/>
          </w:tcPr>
          <w:p w14:paraId="028A5587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FF2CC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450D510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模型处理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生成或推理</w:t>
            </w:r>
          </w:p>
        </w:tc>
        <w:tc>
          <w:tcPr>
            <w:tcW w:w="369" w:type="dxa"/>
          </w:tcPr>
          <w:p w14:paraId="07A80359">
            <w:pPr>
              <w:jc w:val="center"/>
            </w:pPr>
            <w:r>
              <w:rPr>
                <w:rFonts w:ascii="微软雅黑" w:hAnsi="微软雅黑" w:eastAsia="微软雅黑"/>
                <w:b/>
                <w:color w:val="1F7A8C"/>
                <w:sz w:val="26"/>
              </w:rPr>
              <w:t>→</w:t>
            </w:r>
          </w:p>
        </w:tc>
        <w:tc>
          <w:tcPr>
            <w:tcW w:w="1096" w:type="dxa"/>
            <w:tcBorders>
              <w:top w:val="single" w:color="2F75B5" w:sz="8" w:space="0"/>
              <w:left w:val="single" w:color="2F75B5" w:sz="8" w:space="0"/>
              <w:bottom w:val="single" w:color="2F75B5" w:sz="8" w:space="0"/>
              <w:right w:val="single" w:color="2F75B5" w:sz="8" w:space="0"/>
            </w:tcBorders>
            <w:shd w:val="clear" w:color="auto" w:fill="F5F8F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861B3F7">
            <w:pPr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15"/>
              </w:rPr>
              <w:t>结果返回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17365D"/>
                <w:sz w:val="15"/>
              </w:rPr>
              <w:t>引用 / 用量 / 审计</w:t>
            </w:r>
          </w:p>
        </w:tc>
      </w:tr>
    </w:tbl>
    <w:p w14:paraId="6ED29B46">
      <w:pPr>
        <w:spacing w:after="40"/>
      </w:pPr>
    </w:p>
    <w:p w14:paraId="618CCD2B">
      <w:pPr>
        <w:pStyle w:val="14"/>
        <w:spacing w:after="40"/>
      </w:pPr>
      <w:r>
        <w:rPr>
          <w:rFonts w:ascii="微软雅黑" w:hAnsi="微软雅黑" w:eastAsia="微软雅黑"/>
          <w:sz w:val="19"/>
        </w:rPr>
        <w:t>业务系统调用已发布 Agent，并携带业务场景、应用和用户身份。</w:t>
      </w:r>
    </w:p>
    <w:p w14:paraId="509BD291">
      <w:pPr>
        <w:pStyle w:val="14"/>
        <w:spacing w:after="40"/>
      </w:pPr>
      <w:r>
        <w:rPr>
          <w:rFonts w:ascii="微软雅黑" w:hAnsi="微软雅黑" w:eastAsia="微软雅黑"/>
          <w:sz w:val="19"/>
        </w:rPr>
        <w:t>MaaS 校验 Agent 版本和运行限制，按需检索有权限的知识。</w:t>
      </w:r>
    </w:p>
    <w:p w14:paraId="5CE8A106">
      <w:pPr>
        <w:pStyle w:val="14"/>
        <w:spacing w:after="40"/>
      </w:pPr>
      <w:r>
        <w:rPr>
          <w:rFonts w:ascii="微软雅黑" w:hAnsi="微软雅黑" w:eastAsia="微软雅黑"/>
          <w:sz w:val="19"/>
        </w:rPr>
        <w:t>Agent 需要模型能力时，通过 AI 网关发起请求，不直接连接供应商。</w:t>
      </w:r>
    </w:p>
    <w:p w14:paraId="2D0DB9B4">
      <w:pPr>
        <w:pStyle w:val="14"/>
        <w:spacing w:after="40"/>
      </w:pPr>
      <w:r>
        <w:rPr>
          <w:rFonts w:ascii="微软雅黑" w:hAnsi="微软雅黑" w:eastAsia="微软雅黑"/>
          <w:sz w:val="19"/>
        </w:rPr>
        <w:t>AI 网关执行数据判断、模型选择、预算校验和审计记录。</w:t>
      </w:r>
    </w:p>
    <w:p w14:paraId="276F2039">
      <w:pPr>
        <w:pStyle w:val="14"/>
        <w:spacing w:after="40"/>
      </w:pPr>
      <w:r>
        <w:rPr>
          <w:rFonts w:ascii="微软雅黑" w:hAnsi="微软雅黑" w:eastAsia="微软雅黑"/>
          <w:sz w:val="19"/>
        </w:rPr>
        <w:t>模型结果返回 Agent；若产生工具意图，MaaS 再执行工具授权或人工审批。</w:t>
      </w:r>
    </w:p>
    <w:p w14:paraId="2717372F">
      <w:pPr>
        <w:pStyle w:val="14"/>
        <w:spacing w:after="40"/>
      </w:pPr>
      <w:r>
        <w:rPr>
          <w:rFonts w:ascii="微软雅黑" w:hAnsi="微软雅黑" w:eastAsia="微软雅黑"/>
          <w:sz w:val="19"/>
        </w:rPr>
        <w:t>最终响应携带来源、运行标识和可关联的审计证据返回业务系统。</w:t>
      </w:r>
    </w:p>
    <w:p w14:paraId="4B9C3403">
      <w:pPr>
        <w:pStyle w:val="4"/>
      </w:pPr>
      <w:bookmarkStart w:id="28" w:name="_Toc16074"/>
      <w:r>
        <w:t>5.2 数据权属与共享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71"/>
        <w:gridCol w:w="3175"/>
        <w:gridCol w:w="2494"/>
      </w:tblGrid>
      <w:tr w14:paraId="4684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5DD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数据对象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59C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唯一管理方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B812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另一产品如何使用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0B0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设计目的</w:t>
            </w:r>
          </w:p>
        </w:tc>
      </w:tr>
      <w:tr w14:paraId="3581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A75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供应商、模型、路由、模型费用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C8D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网关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47B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读取不可变模型服务视图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0F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避免两套模型目录和费用账本</w:t>
            </w:r>
          </w:p>
        </w:tc>
      </w:tr>
      <w:tr w14:paraId="319F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5EA51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Agent、Prompt、工具、知识、评测、发布</w:t>
            </w:r>
          </w:p>
        </w:tc>
        <w:tc>
          <w:tcPr>
            <w:tcW w:w="1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7E24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平台</w:t>
            </w:r>
          </w:p>
        </w:tc>
        <w:tc>
          <w:tcPr>
            <w:tcW w:w="317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6C1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网关只接收调用上下文</w:t>
            </w:r>
          </w:p>
        </w:tc>
        <w:tc>
          <w:tcPr>
            <w:tcW w:w="24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30D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避免网关承担智能应用编排</w:t>
            </w:r>
          </w:p>
        </w:tc>
      </w:tr>
      <w:tr w14:paraId="771F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E03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组织、用户与身份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85D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集团身份平台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2A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两产品共同使用受信身份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6FC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避免客户端自报身份</w:t>
            </w:r>
          </w:p>
        </w:tc>
      </w:tr>
      <w:tr w14:paraId="4888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FF1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业务数据与业务权限</w:t>
            </w:r>
          </w:p>
        </w:tc>
        <w:tc>
          <w:tcPr>
            <w:tcW w:w="1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A1B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业务系统</w:t>
            </w:r>
          </w:p>
        </w:tc>
        <w:tc>
          <w:tcPr>
            <w:tcW w:w="317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F45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通过受控工具访问</w:t>
            </w:r>
          </w:p>
        </w:tc>
        <w:tc>
          <w:tcPr>
            <w:tcW w:w="24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E7D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保留业务系统最终授权</w:t>
            </w:r>
          </w:p>
        </w:tc>
      </w:tr>
      <w:tr w14:paraId="77BA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2A7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模型调用审计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1E8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网关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846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按 Run 聚合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8D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统一模型使用证据</w:t>
            </w:r>
          </w:p>
        </w:tc>
      </w:tr>
      <w:tr w14:paraId="0069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FBF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Agent 与工具审计</w:t>
            </w:r>
          </w:p>
        </w:tc>
        <w:tc>
          <w:tcPr>
            <w:tcW w:w="1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617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 平台</w:t>
            </w:r>
          </w:p>
        </w:tc>
        <w:tc>
          <w:tcPr>
            <w:tcW w:w="317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972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网关按请求标识关联</w:t>
            </w:r>
          </w:p>
        </w:tc>
        <w:tc>
          <w:tcPr>
            <w:tcW w:w="24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33F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形成完整端到端证据链</w:t>
            </w:r>
          </w:p>
        </w:tc>
      </w:tr>
    </w:tbl>
    <w:p w14:paraId="0F7E3EF1">
      <w:pPr>
        <w:spacing w:after="20"/>
      </w:pPr>
    </w:p>
    <w:p w14:paraId="2006CF3E">
      <w:pPr>
        <w:pStyle w:val="4"/>
      </w:pPr>
      <w:bookmarkStart w:id="29" w:name="_Toc1128"/>
      <w:r>
        <w:t>5.3 共同可信链路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3118"/>
        <w:gridCol w:w="1928"/>
        <w:gridCol w:w="3288"/>
      </w:tblGrid>
      <w:tr w14:paraId="113D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62A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9838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可信问题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608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责任产品</w:t>
            </w:r>
          </w:p>
        </w:tc>
        <w:tc>
          <w:tcPr>
            <w:tcW w:w="246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A0C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核心证据</w:t>
            </w:r>
          </w:p>
        </w:tc>
      </w:tr>
      <w:tr w14:paraId="7204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C65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接入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D7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谁在代表谁发起请求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D68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C2A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应用、用户、租户、目的</w:t>
            </w:r>
          </w:p>
        </w:tc>
      </w:tr>
      <w:tr w14:paraId="0366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5C5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数据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D4C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数据能否进入目标模型或知识域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CDB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网关 / MaaS</w:t>
            </w:r>
          </w:p>
        </w:tc>
        <w:tc>
          <w:tcPr>
            <w:tcW w:w="32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3A6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数据级别、权限、策略结果</w:t>
            </w:r>
          </w:p>
        </w:tc>
      </w:tr>
      <w:tr w14:paraId="383E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92A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模型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4B6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实际使用了哪个模型和版本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C45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AI 网关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F75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模型服务、路由原因、版本</w:t>
            </w:r>
          </w:p>
        </w:tc>
      </w:tr>
      <w:tr w14:paraId="2EC9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068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Agent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FA0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运行使用了哪些资产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642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</w:t>
            </w:r>
          </w:p>
        </w:tc>
        <w:tc>
          <w:tcPr>
            <w:tcW w:w="32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287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Agent、Prompt、知识、工具版本</w:t>
            </w:r>
          </w:p>
        </w:tc>
      </w:tr>
      <w:tr w14:paraId="4E65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77E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工具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49E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谁批准了什么动作和金额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292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MaaS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51C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授权、审批、参数摘要、业务回执</w:t>
            </w:r>
          </w:p>
        </w:tc>
      </w:tr>
      <w:tr w14:paraId="1AAE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4E4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成本</w:t>
            </w:r>
          </w:p>
        </w:tc>
        <w:tc>
          <w:tcPr>
            <w:tcW w:w="311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142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费用归属到哪个应用和场景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9C3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</w:t>
            </w:r>
          </w:p>
        </w:tc>
        <w:tc>
          <w:tcPr>
            <w:tcW w:w="32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F1E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模型费用、Agent Run、业务金额</w:t>
            </w:r>
          </w:p>
        </w:tc>
      </w:tr>
      <w:tr w14:paraId="7DD5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19E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结果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FC2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结果如何产生、是否可复现和回滚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95C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56B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运行链路、评测、发布和审计 ID</w:t>
            </w:r>
          </w:p>
        </w:tc>
      </w:tr>
    </w:tbl>
    <w:p w14:paraId="7B80A510">
      <w:pPr>
        <w:spacing w:after="20"/>
      </w:pPr>
    </w:p>
    <w:p w14:paraId="34EB6A8E">
      <w:r>
        <w:br w:type="page"/>
      </w:r>
    </w:p>
    <w:p w14:paraId="3A7B279B">
      <w:pPr>
        <w:pStyle w:val="3"/>
      </w:pPr>
      <w:bookmarkStart w:id="30" w:name="_Toc25713"/>
      <w:r>
        <w:t>6. 产品规划</w:t>
      </w:r>
      <w:bookmarkEnd w:id="30"/>
    </w:p>
    <w:p w14:paraId="04B91A7B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以业务闭环为主线，逐步开放更高风险和更高自主度的能力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928"/>
        <w:gridCol w:w="2324"/>
        <w:gridCol w:w="2381"/>
        <w:gridCol w:w="1871"/>
      </w:tblGrid>
      <w:tr w14:paraId="5DDA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3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8946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w="1973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BA2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产品目标</w:t>
            </w:r>
          </w:p>
        </w:tc>
        <w:tc>
          <w:tcPr>
            <w:tcW w:w="1973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354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AI 网关重点</w:t>
            </w:r>
          </w:p>
        </w:tc>
        <w:tc>
          <w:tcPr>
            <w:tcW w:w="1973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C2F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MaaS 平台重点</w:t>
            </w:r>
          </w:p>
        </w:tc>
        <w:tc>
          <w:tcPr>
            <w:tcW w:w="1973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7F0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阶段退出条件</w:t>
            </w:r>
          </w:p>
        </w:tc>
      </w:tr>
      <w:tr w14:paraId="5FD9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A00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阶段 0</w:t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盘点与定界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47E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确定首批场景和安全边界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24C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供应商、账号、模型、应用、数据和费用盘点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96F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确定一个只读 Agent 场景及业务 Owner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2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基础能力清单、数据矩阵和试点卡完成</w:t>
            </w:r>
          </w:p>
        </w:tc>
      </w:tr>
      <w:tr w14:paraId="00DE3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1B2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阶段 1</w:t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统一接入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17D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形成最小可信闭环</w:t>
            </w:r>
          </w:p>
        </w:tc>
        <w:tc>
          <w:tcPr>
            <w:tcW w:w="232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B45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统一入口、应用管理、模型目录、基础分级、预算和审计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928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模型服务视图、Agent 管理、只读运行和全链路追踪</w:t>
            </w:r>
          </w:p>
        </w:tc>
        <w:tc>
          <w:tcPr>
            <w:tcW w:w="1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EDE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两个业务系统和一个只读 Agent 稳定运行</w:t>
            </w:r>
          </w:p>
        </w:tc>
      </w:tr>
      <w:tr w14:paraId="39BC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812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阶段 2</w:t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生产治理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0B0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支持知识与受控业务动作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B68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完整数据治理、费用对账、策略运营和供应商管理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4AA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知识服务、工具目录、人工审批、评测发布和业务金额账本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B88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安全负例、质量基线、审批和成本闸门通过</w:t>
            </w:r>
          </w:p>
        </w:tc>
      </w:tr>
      <w:tr w14:paraId="6B92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5CE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阶段 3</w:t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5"/>
              </w:rPr>
              <w:t>规模运营</w:t>
            </w:r>
          </w:p>
        </w:tc>
        <w:tc>
          <w:tcPr>
            <w:tcW w:w="192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3E9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形成集团级智能能力市场</w:t>
            </w:r>
          </w:p>
        </w:tc>
        <w:tc>
          <w:tcPr>
            <w:tcW w:w="232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59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多区域、精细成本运营、模型服务分级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67F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本地模型服务、高风险隔离、模板与组织运营</w:t>
            </w:r>
          </w:p>
        </w:tc>
        <w:tc>
          <w:tcPr>
            <w:tcW w:w="1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726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多业务复用、成本可预测、运营指标稳定</w:t>
            </w:r>
          </w:p>
        </w:tc>
      </w:tr>
    </w:tbl>
    <w:p w14:paraId="6D1D16B3">
      <w:pPr>
        <w:spacing w:after="20"/>
      </w:pPr>
    </w:p>
    <w:p w14:paraId="354ACBF0">
      <w:pPr>
        <w:pStyle w:val="4"/>
      </w:pPr>
      <w:bookmarkStart w:id="31" w:name="_Toc2076"/>
      <w:r>
        <w:t>6.1 首期产品范围</w:t>
      </w:r>
      <w:bookmarkEnd w:id="31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298"/>
      </w:tblGrid>
      <w:tr w14:paraId="0106D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C792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DF6D0"/>
        </w:tc>
        <w:tc>
          <w:tcPr>
            <w:tcW w:w="4933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0390884"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最小可用不等于最小安全</w:t>
            </w:r>
          </w:p>
          <w:p w14:paraId="68FFD49B">
            <w:pPr>
              <w:spacing w:after="0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首期可以不建设复杂知识平台、本地模型和高风险工具，但统一身份、基础数据分级、预算控制、调用审计和版本管理不能后补。这些能力决定产品能否作为集团可信入口。</w:t>
            </w:r>
          </w:p>
        </w:tc>
      </w:tr>
    </w:tbl>
    <w:p w14:paraId="7A0A9103">
      <w:pPr>
        <w:spacing w:after="2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1E14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33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708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必须建设</w:t>
            </w:r>
          </w:p>
        </w:tc>
        <w:tc>
          <w:tcPr>
            <w:tcW w:w="4933" w:type="dxa"/>
            <w:shd w:val="clear" w:color="auto" w:fill="1F7A8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BFA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暂缓建设</w:t>
            </w:r>
          </w:p>
        </w:tc>
      </w:tr>
      <w:tr w14:paraId="7365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C0B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统一应用接入与身份；模型服务目录；基础数据分级；路由与预算；模型调用审计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DCB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复杂内容检测；多区域；本地模型集群；精细化模型运营</w:t>
            </w:r>
          </w:p>
        </w:tc>
      </w:tr>
      <w:tr w14:paraId="56E2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2B2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Agent 资产管理；只读 Agent 运行；状态与追踪；基础评测和发布版本</w:t>
            </w:r>
          </w:p>
        </w:tc>
        <w:tc>
          <w:tcPr>
            <w:tcW w:w="476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B3A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完整知识平台；高风险写工具；代码沙箱；组织级 Agent 市场</w:t>
            </w:r>
          </w:p>
        </w:tc>
      </w:tr>
    </w:tbl>
    <w:p w14:paraId="48DAC9EE">
      <w:pPr>
        <w:spacing w:after="20"/>
      </w:pPr>
    </w:p>
    <w:p w14:paraId="08216D64">
      <w:pPr>
        <w:pStyle w:val="4"/>
      </w:pPr>
      <w:bookmarkStart w:id="32" w:name="_Toc3702"/>
      <w:r>
        <w:t>6.2 关键产品里程碑</w:t>
      </w:r>
      <w:bookmarkEnd w:id="32"/>
    </w:p>
    <w:p w14:paraId="708D34B3">
      <w:pPr>
        <w:pStyle w:val="16"/>
        <w:spacing w:after="40"/>
      </w:pPr>
      <w:r>
        <w:rPr>
          <w:rFonts w:ascii="微软雅黑" w:hAnsi="微软雅黑" w:eastAsia="微软雅黑"/>
          <w:sz w:val="19"/>
        </w:rPr>
        <w:t>M1：完成集团模型、供应商、应用和数据边界盘点，确定首批业务系统。</w:t>
      </w:r>
    </w:p>
    <w:p w14:paraId="1C030D6F">
      <w:pPr>
        <w:pStyle w:val="16"/>
        <w:spacing w:after="40"/>
      </w:pPr>
      <w:r>
        <w:rPr>
          <w:rFonts w:ascii="微软雅黑" w:hAnsi="微软雅黑" w:eastAsia="微软雅黑"/>
          <w:sz w:val="19"/>
        </w:rPr>
        <w:t>M2：AI 网关上线统一模型服务，形成身份、数据、预算和审计最小闭环。</w:t>
      </w:r>
    </w:p>
    <w:p w14:paraId="308C645E">
      <w:pPr>
        <w:pStyle w:val="16"/>
        <w:spacing w:after="40"/>
      </w:pPr>
      <w:r>
        <w:rPr>
          <w:rFonts w:ascii="微软雅黑" w:hAnsi="微软雅黑" w:eastAsia="微软雅黑"/>
          <w:sz w:val="19"/>
        </w:rPr>
        <w:t>M3：MaaS 上线一个只读核心 Agent，完成从业务请求到模型调用的端到端链路。</w:t>
      </w:r>
    </w:p>
    <w:p w14:paraId="52446009">
      <w:pPr>
        <w:pStyle w:val="16"/>
        <w:spacing w:after="40"/>
      </w:pPr>
      <w:r>
        <w:rPr>
          <w:rFonts w:ascii="微软雅黑" w:hAnsi="微软雅黑" w:eastAsia="微软雅黑"/>
          <w:sz w:val="19"/>
        </w:rPr>
        <w:t>M4：开放知识服务和受控工具，建立评测、审批、业务金额和发布治理。</w:t>
      </w:r>
    </w:p>
    <w:p w14:paraId="469BE569">
      <w:pPr>
        <w:pStyle w:val="16"/>
        <w:spacing w:after="40"/>
      </w:pPr>
      <w:r>
        <w:rPr>
          <w:rFonts w:ascii="微软雅黑" w:hAnsi="微软雅黑" w:eastAsia="微软雅黑"/>
          <w:sz w:val="19"/>
        </w:rPr>
        <w:t>M5：形成多业务复用、模型与 Agent 分级运营和自主模型服务能力。</w:t>
      </w:r>
    </w:p>
    <w:p w14:paraId="3A632956">
      <w:r>
        <w:br w:type="page"/>
      </w:r>
    </w:p>
    <w:p w14:paraId="106D1762">
      <w:pPr>
        <w:pStyle w:val="3"/>
      </w:pPr>
      <w:bookmarkStart w:id="33" w:name="_Toc12619"/>
      <w:r>
        <w:t>7. 产品价值与衡量指标</w:t>
      </w:r>
      <w:bookmarkEnd w:id="33"/>
    </w:p>
    <w:p w14:paraId="75EA4AD9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同时衡量使用效率、可信程度、成本、质量和业务结果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5159"/>
        <w:gridCol w:w="2835"/>
      </w:tblGrid>
      <w:tr w14:paraId="05EB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272B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指标维度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F2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建议指标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0E3B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衡量目的</w:t>
            </w:r>
          </w:p>
        </w:tc>
      </w:tr>
      <w:tr w14:paraId="5237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4A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接入效率</w:t>
            </w:r>
          </w:p>
        </w:tc>
        <w:tc>
          <w:tcPr>
            <w:tcW w:w="51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F71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新模型接入周期、业务系统接入周期、Agent 首次发布周期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18B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验证平台是否真正降低建设门槛</w:t>
            </w:r>
          </w:p>
        </w:tc>
      </w:tr>
      <w:tr w14:paraId="4CDC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545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平台采用</w:t>
            </w:r>
          </w:p>
        </w:tc>
        <w:tc>
          <w:tcPr>
            <w:tcW w:w="5159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587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接入应用数、活跃模型服务数、已发布 Agent 数、资产复用次数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3C9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验证平台是否形成规模效应</w:t>
            </w:r>
          </w:p>
        </w:tc>
      </w:tr>
      <w:tr w14:paraId="1B1D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1B0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安全可信</w:t>
            </w:r>
          </w:p>
        </w:tc>
        <w:tc>
          <w:tcPr>
            <w:tcW w:w="51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688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未授权出口、数据越界、跨租户访问、无审批高风险动作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301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验证可信边界是否有效</w:t>
            </w:r>
          </w:p>
        </w:tc>
      </w:tr>
      <w:tr w14:paraId="3B65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8F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审计完整</w:t>
            </w:r>
          </w:p>
        </w:tc>
        <w:tc>
          <w:tcPr>
            <w:tcW w:w="5159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E4E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可关联身份、模型、策略、资产版本和业务结果的请求比例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C723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验证问题是否可追溯</w:t>
            </w:r>
          </w:p>
        </w:tc>
      </w:tr>
      <w:tr w14:paraId="6230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79B8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成本运营</w:t>
            </w:r>
          </w:p>
        </w:tc>
        <w:tc>
          <w:tcPr>
            <w:tcW w:w="51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AE9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预算命中率、成本归集率、模型费用差异率、单场景成本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1B1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验证费用是否透明且可管理</w:t>
            </w:r>
          </w:p>
        </w:tc>
      </w:tr>
      <w:tr w14:paraId="1AB1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46F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服务质量</w:t>
            </w:r>
          </w:p>
        </w:tc>
        <w:tc>
          <w:tcPr>
            <w:tcW w:w="5159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E55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可用性、请求成功率、首响应时延、故障恢复时间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8FF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验证模型和 Agent 服务稳定性</w:t>
            </w:r>
          </w:p>
        </w:tc>
      </w:tr>
      <w:tr w14:paraId="63E8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345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Agent 质量</w:t>
            </w:r>
          </w:p>
        </w:tc>
        <w:tc>
          <w:tcPr>
            <w:tcW w:w="51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706B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任务成功率、人工接管率、工具拒绝率、引用正确率、回滚次数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99C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 Agent 是否达到生产标准</w:t>
            </w:r>
          </w:p>
        </w:tc>
      </w:tr>
      <w:tr w14:paraId="77DE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7C6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业务价值</w:t>
            </w:r>
          </w:p>
        </w:tc>
        <w:tc>
          <w:tcPr>
            <w:tcW w:w="5159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AC7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人工节省时间、流程周期缩短、错误率变化、业务满意度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43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验证平台是否产生真实业务收益</w:t>
            </w:r>
          </w:p>
        </w:tc>
      </w:tr>
    </w:tbl>
    <w:p w14:paraId="41CA2BF8">
      <w:pPr>
        <w:spacing w:after="20"/>
      </w:pPr>
    </w:p>
    <w:p w14:paraId="1020B2B1">
      <w:pPr>
        <w:pStyle w:val="4"/>
      </w:pPr>
      <w:bookmarkStart w:id="34" w:name="_Toc18769"/>
      <w:r>
        <w:t>7.1 成功标准</w:t>
      </w:r>
      <w:bookmarkEnd w:id="34"/>
    </w:p>
    <w:p w14:paraId="1C570CF4">
      <w:pPr>
        <w:spacing w:after="100" w:line="300" w:lineRule="auto"/>
      </w:pPr>
      <w:r>
        <w:rPr>
          <w:rFonts w:ascii="微软雅黑" w:hAnsi="微软雅黑" w:eastAsia="微软雅黑"/>
          <w:color w:val="222222"/>
          <w:sz w:val="19"/>
        </w:rPr>
        <w:t>本方案不以“接入了多少模型”作为唯一成功标准。真正的成功是：业务系统能够更快获得合适的模型或 Agent 能力；安全与财务能够看清使用边界和费用；平台能够在模型、Prompt、知识或工具变化后持续保证质量；已建设的 Agent 和能力能够被更多业务复用。</w:t>
      </w:r>
    </w:p>
    <w:p w14:paraId="3A107ADE">
      <w:r>
        <w:br w:type="page"/>
      </w:r>
    </w:p>
    <w:p w14:paraId="73300D02">
      <w:pPr>
        <w:pStyle w:val="3"/>
      </w:pPr>
      <w:bookmarkStart w:id="35" w:name="_Toc22809"/>
      <w:r>
        <w:t>8. 总结</w:t>
      </w:r>
      <w:bookmarkEnd w:id="35"/>
    </w:p>
    <w:p w14:paraId="01868467">
      <w:pPr>
        <w:spacing w:after="200"/>
      </w:pPr>
      <w:r>
        <w:rPr>
          <w:rFonts w:ascii="微软雅黑" w:hAnsi="微软雅黑" w:eastAsia="微软雅黑"/>
          <w:color w:val="666666"/>
          <w:sz w:val="21"/>
        </w:rPr>
        <w:t>两项产品共同构成集团 AI 能力的可信生产体系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535"/>
        <w:gridCol w:w="3402"/>
      </w:tblGrid>
      <w:tr w14:paraId="33718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515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8D81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核心价值</w:t>
            </w:r>
          </w:p>
        </w:tc>
        <w:tc>
          <w:tcPr>
            <w:tcW w:w="32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15C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不可替代的职责</w:t>
            </w:r>
          </w:p>
        </w:tc>
      </w:tr>
      <w:tr w14:paraId="087E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8BD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AI 网关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632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把分散模型调用变成统一、可信、可计量、可审计的集团服务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C332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模型供应、路由、数据出域、模型费用和调用审计</w:t>
            </w:r>
          </w:p>
        </w:tc>
      </w:tr>
      <w:tr w14:paraId="7A1D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62F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MaaS 平台</w:t>
            </w:r>
          </w:p>
        </w:tc>
        <w:tc>
          <w:tcPr>
            <w:tcW w:w="453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78E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把模型能力变成可复用、可评测、可发布、可运营的智能业务能力</w:t>
            </w:r>
          </w:p>
        </w:tc>
        <w:tc>
          <w:tcPr>
            <w:tcW w:w="340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A9A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Agent、Prompt、工具、知识、评测、发布和运行治理</w:t>
            </w:r>
          </w:p>
        </w:tc>
      </w:tr>
    </w:tbl>
    <w:p w14:paraId="54C55E97">
      <w:pPr>
        <w:spacing w:after="2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298"/>
      </w:tblGrid>
      <w:tr w14:paraId="019FC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1F7A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FDD25"/>
        </w:tc>
        <w:tc>
          <w:tcPr>
            <w:tcW w:w="4933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91FFB9C"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最终设计结论</w:t>
            </w:r>
          </w:p>
          <w:p w14:paraId="138B8ADA">
            <w:pPr>
              <w:spacing w:after="0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AI 网关不是简单转发代理，MaaS 也不是模型调用页面。前者建立集团模型使用的可信边界，后者建立智能能力的产品化生产机制。只有两者职责清晰、数据权属唯一、可信链路贯通，集团 AI 建设才能从分散项目走向可持续平台能力。</w:t>
            </w:r>
          </w:p>
        </w:tc>
      </w:tr>
    </w:tbl>
    <w:p w14:paraId="093B110C">
      <w:pPr>
        <w:spacing w:after="20"/>
      </w:pPr>
    </w:p>
    <w:p w14:paraId="0EB9DF64">
      <w:pPr>
        <w:pStyle w:val="4"/>
      </w:pPr>
      <w:bookmarkStart w:id="36" w:name="_Toc21991"/>
      <w:r>
        <w:t>8.1 面试表达要点</w:t>
      </w:r>
      <w:bookmarkEnd w:id="36"/>
    </w:p>
    <w:p w14:paraId="3B0CDAA4">
      <w:pPr>
        <w:pStyle w:val="16"/>
        <w:spacing w:after="40"/>
      </w:pPr>
      <w:r>
        <w:rPr>
          <w:rFonts w:ascii="微软雅黑" w:hAnsi="微软雅黑" w:eastAsia="微软雅黑"/>
          <w:sz w:val="19"/>
        </w:rPr>
        <w:t>先讲为什么需要两个产品，再讲各自模块，避免把 MaaS 描述成更大的网关。</w:t>
      </w:r>
    </w:p>
    <w:p w14:paraId="08566582">
      <w:pPr>
        <w:pStyle w:val="16"/>
        <w:spacing w:after="40"/>
      </w:pPr>
      <w:r>
        <w:rPr>
          <w:rFonts w:ascii="微软雅黑" w:hAnsi="微软雅黑" w:eastAsia="微软雅黑"/>
          <w:sz w:val="19"/>
        </w:rPr>
        <w:t>突出模型供应权与智能资产管理权分离，体现产品边界意识。</w:t>
      </w:r>
    </w:p>
    <w:p w14:paraId="68F4BBD3">
      <w:pPr>
        <w:pStyle w:val="16"/>
        <w:spacing w:after="40"/>
      </w:pPr>
      <w:r>
        <w:rPr>
          <w:rFonts w:ascii="微软雅黑" w:hAnsi="微软雅黑" w:eastAsia="微软雅黑"/>
          <w:sz w:val="19"/>
        </w:rPr>
        <w:t>应用架构说明用户如何使用产品，数据架构说明产品如何形成可运营资产。</w:t>
      </w:r>
    </w:p>
    <w:p w14:paraId="12292F11">
      <w:pPr>
        <w:pStyle w:val="16"/>
        <w:spacing w:after="40"/>
      </w:pPr>
      <w:r>
        <w:rPr>
          <w:rFonts w:ascii="微软雅黑" w:hAnsi="微软雅黑" w:eastAsia="微软雅黑"/>
          <w:sz w:val="19"/>
        </w:rPr>
        <w:t>可信能力覆盖身份、数据、模型、工具、预算、发布和审计，不等同于单一内容过滤。</w:t>
      </w:r>
    </w:p>
    <w:p w14:paraId="14ACB6F0">
      <w:pPr>
        <w:pStyle w:val="16"/>
        <w:spacing w:after="40"/>
      </w:pPr>
      <w:r>
        <w:rPr>
          <w:rFonts w:ascii="微软雅黑" w:hAnsi="微软雅黑" w:eastAsia="微软雅黑"/>
          <w:sz w:val="19"/>
        </w:rPr>
        <w:t>产品路线先完成最小可信闭环，再逐步开放知识、工具、本地模型和高风险能力。</w:t>
      </w:r>
    </w:p>
    <w:sectPr>
      <w:headerReference r:id="rId5" w:type="default"/>
      <w:footerReference r:id="rId6" w:type="default"/>
      <w:pgSz w:w="11906" w:h="16838"/>
      <w:pgMar w:top="1020" w:right="1020" w:bottom="935" w:left="1020" w:header="454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B33BE">
    <w:pPr>
      <w:pStyle w:val="24"/>
      <w:jc w:val="center"/>
    </w:pPr>
    <w:r>
      <w:rPr>
        <w:rFonts w:ascii="微软雅黑" w:hAnsi="微软雅黑" w:eastAsia="微软雅黑"/>
        <w:color w:val="666666"/>
        <w:sz w:val="17"/>
      </w:rPr>
      <w:t xml:space="preserve">第 </w:t>
    </w:r>
    <w:r>
      <w:rPr>
        <w:rFonts w:ascii="微软雅黑" w:hAnsi="微软雅黑" w:eastAsia="微软雅黑"/>
        <w:color w:val="666666"/>
        <w:sz w:val="17"/>
      </w:rPr>
      <w:fldChar w:fldCharType="begin"/>
    </w:r>
    <w:r>
      <w:rPr>
        <w:rFonts w:ascii="微软雅黑" w:hAnsi="微软雅黑" w:eastAsia="微软雅黑"/>
        <w:color w:val="666666"/>
        <w:sz w:val="17"/>
      </w:rPr>
      <w:instrText xml:space="preserve">PAGE</w:instrText>
    </w:r>
    <w:r>
      <w:rPr>
        <w:rFonts w:ascii="微软雅黑" w:hAnsi="微软雅黑" w:eastAsia="微软雅黑"/>
        <w:color w:val="666666"/>
        <w:sz w:val="17"/>
      </w:rPr>
      <w:fldChar w:fldCharType="end"/>
    </w:r>
    <w:r>
      <w:rPr>
        <w:rFonts w:ascii="微软雅黑" w:hAnsi="微软雅黑" w:eastAsia="微软雅黑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D5410">
    <w:pPr>
      <w:pStyle w:val="25"/>
      <w:jc w:val="right"/>
    </w:pPr>
    <w:r>
      <w:rPr>
        <w:rFonts w:ascii="微软雅黑" w:hAnsi="微软雅黑" w:eastAsia="微软雅黑"/>
        <w:b w:val="0"/>
        <w:color w:val="666666"/>
        <w:sz w:val="16"/>
      </w:rPr>
      <w:t>集团 AI 网关与 MaaS 平台初步产品设计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12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80" w:after="20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7A8C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2F75B5"/>
      <w:sz w:val="21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19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sz w:val="19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b/>
      <w:i/>
      <w:iCs/>
      <w:color w:val="666666"/>
      <w:spacing w:val="15"/>
      <w:sz w:val="28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6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候选人</dc:creator>
  <dc:description>generated by python-docx</dc:description>
  <cp:keywords>AI网关, MaaS, Agent平台, 产品设计, 可信AI</cp:keywords>
  <cp:lastModifiedBy>Tywin</cp:lastModifiedBy>
  <dcterms:modified xsi:type="dcterms:W3CDTF">2026-07-12T10:26:25Z</dcterms:modified>
  <dc:subject>产品设计面试作业</dc:subject>
  <dc:title>集团 AI 网关与 MaaS 平台初步产品设计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2CB33A1676CD4591B1F9084F82CDFB1C_12</vt:lpwstr>
  </property>
</Properties>
</file>