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AvalonLabs</w:t>
      </w:r>
    </w:p>
    <w:p>
      <w:pPr>
        <w:pStyle w:val="Subtitle"/>
      </w:pPr>
      <w:r>
        <w:t xml:space="preserve">Revenue Recovery Plan</w:t>
      </w:r>
    </w:p>
    <w:p>
      <w:pPr>
        <w:spacing w:after="40"/>
      </w:pPr>
      <w:r>
        <w:rPr>
          <w:i/>
          <w:iCs/>
          <w:color w:val="666666"/>
        </w:rPr>
        <w:t xml:space="preserve">Prepared for Momčilo Savić — August 26, 2026</w:t>
      </w:r>
    </w:p>
    <w:p>
      <w:pPr>
        <w:spacing w:after="300"/>
      </w:pPr>
      <w:r>
        <w:rPr>
          <w:color w:val="666666"/>
        </w:rPr>
        <w:t xml:space="preserve">Covers: niche selection, hybrid pricing, onboarding-to-paid funnel, and direct outreach — grounded in the platform as actually built (7 agents, Paddle billing, Starter/Pro/Advanced tiers, 4 standalone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0FC" w:val="clear"/>
            <w:tcMar>
              <w:top w:type="dxa" w:w="160"/>
              <w:left w:type="dxa" w:w="200"/>
              <w:bottom w:type="dxa" w:w="160"/>
              <w:right w:type="dxa" w:w="200"/>
            </w:tcMar>
          </w:tcPr>
          <w:p>
            <w:pPr>
              <w:spacing w:after="60"/>
            </w:pPr>
            <w:r>
              <w:rPr>
                <w:b/>
                <w:bCs/>
                <w:color w:val="5B3DF5"/>
              </w:rPr>
              <w:t xml:space="preserve">Bottom line</w:t>
            </w:r>
          </w:p>
          <w:p>
            <w:pPr>
              <w:spacing w:after="0"/>
            </w:pPr>
            <w:r>
              <w:t xml:space="preserve">The product is further along than the framing in your launch posts. You already have a working hybrid pricing engine (subscriptions + one-time microservice purchases + free-credit fallback) and a Security Auditor agent — the exact “outcome, not tool” wedge most people would have to build from scratch. The gap isn't engineering. It's that X/LinkedIn/Reddit/Product Hunt traffic is discovery traffic, not intent traffic, and the free trial never forces a paid moment. This plan reallocates effort toward the three places where people already have the pain and the budget.</w:t>
            </w:r>
          </w:p>
        </w:tc>
      </w:tr>
    </w:tbl>
    <w:p>
      <w:pPr>
        <w:spacing w:after="200"/>
      </w:pPr>
    </w:p>
    <w:p>
      <w:pPr>
        <w:pStyle w:val="Heading1"/>
        <w:spacing w:after="160" w:before="360"/>
      </w:pPr>
      <w:r>
        <w:t xml:space="preserve">1. High-Value Niche Identification</w:t>
      </w:r>
    </w:p>
    <w:p>
      <w:pPr>
        <w:spacing w:after="160" w:line="300"/>
      </w:pPr>
      <w:r>
        <w:t xml:space="preserve">Three pain points map directly onto agents you've already shipped. Each is reframed from “access to a tool” to “get this specific outcome,” which is what unlocks willingness to pay.</w:t>
      </w:r>
    </w:p>
    <w:p>
      <w:pPr>
        <w:pStyle w:val="Heading2"/>
        <w:spacing w:after="120" w:before="260"/>
      </w:pPr>
      <w:r>
        <w:t xml:space="preserve">1.1 Ship-Readiness Security Audit</w:t>
      </w:r>
    </w:p>
    <w:p>
      <w:pPr>
        <w:spacing w:after="160" w:line="300"/>
      </w:pPr>
      <w:r>
        <w:rPr>
          <w:b/>
          <w:bCs/>
        </w:rPr>
        <w:t xml:space="preserve">Who feels this: </w:t>
      </w:r>
      <w:r>
        <w:t xml:space="preserve">solo founders and 2–6 person dev teams about to launch a paid product, or ones who just got a security questionnaire from a first enterprise prospect.</w:t>
      </w:r>
    </w:p>
    <w:p>
      <w:pPr>
        <w:spacing w:after="160" w:line="300"/>
      </w:pPr>
      <w:r>
        <w:rPr>
          <w:b/>
          <w:bCs/>
        </w:rPr>
        <w:t xml:space="preserve">The pain: </w:t>
      </w:r>
      <w:r>
        <w:t xml:space="preserve">not “I want an API analysis,” it's “I'm about to expose an endpoint to real customers and I don't know what I don't know, and a breach right after launch is company-ending.”</w:t>
      </w:r>
    </w:p>
    <w:p>
      <w:pPr>
        <w:spacing w:after="160" w:line="300"/>
      </w:pPr>
      <w:r>
        <w:rPr>
          <w:b/>
          <w:bCs/>
        </w:rPr>
        <w:t xml:space="preserve">Reframe: </w:t>
      </w:r>
      <w:r>
        <w:rPr>
          <w:i/>
          <w:iCs/>
        </w:rPr>
        <w:t xml:space="preserve">“API Analyzer + Security Auditor” </w:t>
      </w:r>
      <w:r>
        <w:t xml:space="preserve">become a single deliverable: a </w:t>
      </w:r>
      <w:r>
        <w:rPr>
          <w:b/>
          <w:bCs/>
        </w:rPr>
        <w:t xml:space="preserve">Ship-Readiness Audit Report</w:t>
      </w:r>
      <w:r>
        <w:t xml:space="preserve"> — OWASP-graded findings with exploit scenarios and a signed-off checklist they can show a customer or investor. You already generate exactly this shape of output (status badge + findings table + task-list recommendations, with PDF export built in).</w:t>
      </w:r>
    </w:p>
    <w:p>
      <w:pPr>
        <w:spacing w:after="160" w:line="300"/>
      </w:pPr>
      <w:r>
        <w:rPr>
          <w:b/>
          <w:bCs/>
        </w:rPr>
        <w:t xml:space="preserve">Willingness to pay: </w:t>
      </w:r>
      <w:r>
        <w:t xml:space="preserve">high and immediate — this is a pre-launch or pre-deal fire, not a nice-to-have.</w:t>
      </w:r>
    </w:p>
    <w:p>
      <w:pPr>
        <w:pStyle w:val="Heading2"/>
        <w:spacing w:after="120" w:before="260"/>
      </w:pPr>
      <w:r>
        <w:t xml:space="preserve">1.2 Database Bill &amp; Incident Firefighting</w:t>
      </w:r>
    </w:p>
    <w:p>
      <w:pPr>
        <w:spacing w:after="160" w:line="300"/>
      </w:pPr>
      <w:r>
        <w:rPr>
          <w:b/>
          <w:bCs/>
        </w:rPr>
        <w:t xml:space="preserve">Who feels this: </w:t>
      </w:r>
      <w:r>
        <w:t xml:space="preserve">small teams on Supabase/Postgres/RDS whose cloud bill jumped, or whose app is slow enough to be costing them signups — not people casually curious about query tuning.</w:t>
      </w:r>
    </w:p>
    <w:p>
      <w:pPr>
        <w:spacing w:after="160" w:line="300"/>
      </w:pPr>
      <w:r>
        <w:rPr>
          <w:b/>
          <w:bCs/>
        </w:rPr>
        <w:t xml:space="preserve">The pain: </w:t>
      </w:r>
      <w:r>
        <w:t xml:space="preserve">a specific query or table is either about to page someone at 2am or is quietly inflating a monthly invoice, and nobody in-house has time to profile it properly.</w:t>
      </w:r>
    </w:p>
    <w:p>
      <w:pPr>
        <w:spacing w:after="160" w:line="300"/>
      </w:pPr>
      <w:r>
        <w:rPr>
          <w:b/>
          <w:bCs/>
        </w:rPr>
        <w:t xml:space="preserve">Reframe: </w:t>
      </w:r>
      <w:r>
        <w:rPr>
          <w:i/>
          <w:iCs/>
        </w:rPr>
        <w:t xml:space="preserve">SQL Optimizer </w:t>
      </w:r>
      <w:r>
        <w:t xml:space="preserve">becomes </w:t>
      </w:r>
      <w:r>
        <w:rPr>
          <w:b/>
          <w:bCs/>
        </w:rPr>
        <w:t xml:space="preserve">“Find the query that's costing you money”</w:t>
      </w:r>
      <w:r>
        <w:t xml:space="preserve"> — priced and marketed as an emergency/one-off fix (paste the slow query + schema, get the rewrite and index plan back in minutes), not as ongoing tool access.</w:t>
      </w:r>
    </w:p>
    <w:p>
      <w:pPr>
        <w:spacing w:after="160" w:line="300"/>
      </w:pPr>
      <w:r>
        <w:rPr>
          <w:b/>
          <w:bCs/>
        </w:rPr>
        <w:t xml:space="preserve">Willingness to pay: </w:t>
      </w:r>
      <w:r>
        <w:t xml:space="preserve">high per-incident, low recurring — this is your best one-time-purchase wedge product, and a natural upsell into Pro once they've been burned twice.</w:t>
      </w:r>
    </w:p>
    <w:p>
      <w:pPr>
        <w:pStyle w:val="Heading2"/>
        <w:spacing w:after="120" w:before="260"/>
      </w:pPr>
      <w:r>
        <w:t xml:space="preserve">1.3 Codebase Due Diligence &amp; Fast Onboarding</w:t>
      </w:r>
    </w:p>
    <w:p>
      <w:pPr>
        <w:spacing w:after="160" w:line="300"/>
      </w:pPr>
      <w:r>
        <w:rPr>
          <w:b/>
          <w:bCs/>
        </w:rPr>
        <w:t xml:space="preserve">Who feels this: </w:t>
      </w:r>
      <w:r>
        <w:t xml:space="preserve">buyers doing technical due diligence on a SaaS acquisition (Acquire.com / Flippa-style deals), agencies inheriting a client's undocumented codebase, and companies onboarding a new engineer onto old code.</w:t>
      </w:r>
    </w:p>
    <w:p>
      <w:pPr>
        <w:spacing w:after="160" w:line="300"/>
      </w:pPr>
      <w:r>
        <w:rPr>
          <w:b/>
          <w:bCs/>
        </w:rPr>
        <w:t xml:space="preserve">The pain: </w:t>
      </w:r>
      <w:r>
        <w:t xml:space="preserve">days lost reverse-engineering someone else's decisions before a deal closes or a new hire becomes productive — and for the M&amp;A case, real financial risk if a landmine is missed.</w:t>
      </w:r>
    </w:p>
    <w:p>
      <w:pPr>
        <w:spacing w:after="160" w:line="300"/>
      </w:pPr>
      <w:r>
        <w:rPr>
          <w:b/>
          <w:bCs/>
        </w:rPr>
        <w:t xml:space="preserve">Reframe: </w:t>
      </w:r>
      <w:r>
        <w:rPr>
          <w:i/>
          <w:iCs/>
        </w:rPr>
        <w:t xml:space="preserve">Code Explainer + Vision Analyzer </w:t>
      </w:r>
      <w:r>
        <w:t xml:space="preserve">(architecture diagrams, screenshots) become a </w:t>
      </w:r>
      <w:r>
        <w:rPr>
          <w:b/>
          <w:bCs/>
        </w:rPr>
        <w:t xml:space="preserve">“Know this codebase in a day”</w:t>
      </w:r>
      <w:r>
        <w:t xml:space="preserve"> report — sold directly to acquisition-marketplace buyers and dev agencies, not to “developers who want an explanation.”</w:t>
      </w:r>
    </w:p>
    <w:p>
      <w:pPr>
        <w:spacing w:after="160" w:line="300"/>
      </w:pPr>
      <w:r>
        <w:rPr>
          <w:b/>
          <w:bCs/>
        </w:rPr>
        <w:t xml:space="preserve">Willingness to pay: </w:t>
      </w:r>
      <w:r>
        <w:t xml:space="preserve">very high per-deal for the M&amp;A slice (dollar amounts at stake are large relative to your price), moderate and recurring for the agency slice.</w:t>
      </w:r>
    </w:p>
    <w:p>
      <w:pPr>
        <w:pStyle w:val="Heading1"/>
        <w:spacing w:after="160" w:before="360"/>
      </w:pPr>
      <w:r>
        <w:t xml:space="preserve">2. Monetization Structure</w:t>
      </w:r>
    </w:p>
    <w:p>
      <w:pPr>
        <w:spacing w:after="160" w:line="300"/>
      </w:pPr>
      <w:r>
        <w:t xml:space="preserve">You don't need to design a hybrid model — you've already shipped one. pricing-tiers.ts and agent-access.ts implement exactly the pattern most people would be building from scratch: subscriptions gate ongoing agent access, one-time Paddle purchases unlock a single microservice, and free_credits is the freemium fallback. The work now is sharpening what each layer sells and what's gated, not re-architecting.</w:t>
      </w:r>
    </w:p>
    <w:p>
      <w:pPr>
        <w:pStyle w:val="Heading2"/>
        <w:spacing w:after="120" w:before="260"/>
      </w:pPr>
      <w:r>
        <w:t xml:space="preserve">2.1 What's already right — keep it</w:t>
      </w:r>
    </w:p>
    <w:p>
      <w:pPr>
        <w:pStyle w:val="ListParagraph"/>
        <w:numPr>
          <w:ilvl w:val="0"/>
          <w:numId w:val="2"/>
        </w:numPr>
        <w:spacing w:after="100" w:line="290"/>
      </w:pPr>
      <w:r>
        <w:rPr>
          <w:b/>
          <w:bCs/>
        </w:rPr>
        <w:t xml:space="preserve">Pay-per-use for microservices, subscriptions for ongoing access </w:t>
      </w:r>
      <w:r>
        <w:t xml:space="preserve">— this is the correct split. A one-time purchase matches how someone experiences these four pain points (an incident, an audit, a deal); a subscription matches ongoing agent use (Business Advisor, General Assistant, day-to-day Code Explainer).</w:t>
      </w:r>
    </w:p>
    <w:p>
      <w:pPr>
        <w:pStyle w:val="ListParagraph"/>
        <w:numPr>
          <w:ilvl w:val="0"/>
          <w:numId w:val="2"/>
        </w:numPr>
        <w:spacing w:after="100" w:line="290"/>
      </w:pPr>
      <w:r>
        <w:rPr>
          <w:b/>
          <w:bCs/>
        </w:rPr>
        <w:t xml:space="preserve">Starter/Pro/Advanced as seat + scope tiers </w:t>
      </w:r>
      <w:r>
        <w:t xml:space="preserve">— Pro bundling all four microservices plus team workspace is the right upsell lever once someone has bought one microservice standalone and liked it.</w:t>
      </w:r>
    </w:p>
    <w:p>
      <w:pPr>
        <w:pStyle w:val="Heading2"/>
        <w:spacing w:after="120" w:before="260"/>
      </w:pPr>
      <w:r>
        <w:t xml:space="preserve">2.2 What to change</w:t>
      </w:r>
    </w:p>
    <w:p>
      <w:pPr>
        <w:pStyle w:val="ListParagraph"/>
        <w:numPr>
          <w:ilvl w:val="0"/>
          <w:numId w:val="2"/>
        </w:numPr>
        <w:spacing w:after="100" w:line="290"/>
      </w:pPr>
      <w:r>
        <w:rPr>
          <w:b/>
          <w:bCs/>
        </w:rPr>
        <w:t xml:space="preserve">Sell the report, not the agent, on the purchase page. </w:t>
      </w:r>
      <w:r>
        <w:t xml:space="preserve">Rename each microservice product from a tool name to the deliverable: “Ship-Readiness Audit Report,” “Query Cost Fix,” “Codebase Due-Diligence Report.” Same priceId, same agent — the label is what changes willingness to pay.</w:t>
      </w:r>
    </w:p>
    <w:p>
      <w:pPr>
        <w:pStyle w:val="ListParagraph"/>
        <w:numPr>
          <w:ilvl w:val="0"/>
          <w:numId w:val="2"/>
        </w:numPr>
        <w:spacing w:after="100" w:line="290"/>
      </w:pPr>
      <w:r>
        <w:rPr>
          <w:b/>
          <w:bCs/>
        </w:rPr>
        <w:t xml:space="preserve">Gate the finished artifact, not the conversation. </w:t>
      </w:r>
      <w:r>
        <w:t xml:space="preserve">Your markdown-renderer already produces a status badge, a findings/architecture section, and a recommendations checklist, with PDF export via message-export-menu. Show the status badge and a one-line summary free/unauthenticated; require signup to see Key Findings; require payment (subscription or one-time purchase) to unlock the Recommendations checklist and the PDF export. That's a paywall built entirely from UI you already have.</w:t>
      </w:r>
    </w:p>
    <w:p>
      <w:pPr>
        <w:pStyle w:val="ListParagraph"/>
        <w:numPr>
          <w:ilvl w:val="0"/>
          <w:numId w:val="2"/>
        </w:numPr>
        <w:spacing w:after="100" w:line="290"/>
      </w:pPr>
      <w:r>
        <w:rPr>
          <w:b/>
          <w:bCs/>
        </w:rPr>
        <w:t xml:space="preserve">Introduce a lower-friction entry price than a monthly plan. </w:t>
      </w:r>
      <w:r>
        <w:t xml:space="preserve">With zero social proof, asking for a subscription first is a bigger ask than the product has earned yet. Price each one-time microservice report at $15–$49 as the wedge, and let Pro be the second purchase, not the first.</w:t>
      </w:r>
    </w:p>
    <w:p>
      <w:pPr>
        <w:pStyle w:val="ListParagraph"/>
        <w:numPr>
          <w:ilvl w:val="0"/>
          <w:numId w:val="2"/>
        </w:numPr>
        <w:spacing w:after="100" w:line="290"/>
      </w:pPr>
      <w:r>
        <w:rPr>
          <w:b/>
          <w:bCs/>
        </w:rPr>
        <w:t xml:space="preserve">Treat true usage-based (per-token/per-run) metering as Phase 2. </w:t>
      </w:r>
      <w:r>
        <w:t xml:space="preserve">Paddle does support metered billing, but it requires reporting usage events to Paddle's API on top of what's built — real integration work, not a pricing-page change. Your current one-time-purchase + subscription hybrid already covers the near-term revenue goal; don't block launch on adding metering.</w:t>
      </w:r>
    </w:p>
    <w:p>
      <w:pPr>
        <w:pStyle w:val="Heading2"/>
        <w:spacing w:after="120" w:before="260"/>
      </w:pPr>
      <w:r>
        <w:t xml:space="preserve">2.3 Paywall gating map</w:t>
      </w:r>
    </w:p>
    <w:tbl>
      <w:tblPr>
        <w:tblW w:type="dxa" w:w="9360"/>
        <w:tblBorders>
          <w:top w:val="single" w:color="D9D5EC" w:sz="4"/>
          <w:left w:val="single" w:color="D9D5EC" w:sz="4"/>
          <w:bottom w:val="single" w:color="D9D5EC" w:sz="4"/>
          <w:right w:val="single" w:color="D9D5EC" w:sz="4"/>
          <w:insideH w:val="single" w:color="D9D5EC" w:sz="4"/>
          <w:insideV w:val="single" w:color="D9D5EC" w:sz="4"/>
        </w:tblBorders>
      </w:tblPr>
      <w:tblGrid>
        <w:gridCol w:w="3000"/>
        <w:gridCol w:w="3360"/>
        <w:gridCol w:w="3000"/>
      </w:tblGrid>
      <w:tr>
        <w:trPr>
          <w:tblHeader/>
        </w:trPr>
        <w:tc>
          <w:tcPr>
            <w:tcW w:type="dxa" w:w="3000"/>
            <w:shd w:fill="5B3DF5" w:val="clear"/>
            <w:tcMar>
              <w:top w:type="dxa" w:w="120"/>
              <w:left w:type="dxa" w:w="140"/>
              <w:bottom w:type="dxa" w:w="120"/>
              <w:right w:type="dxa" w:w="140"/>
            </w:tcMar>
            <w:vAlign w:val="center"/>
          </w:tcPr>
          <w:p>
            <w:r>
              <w:rPr>
                <w:b/>
                <w:bCs/>
                <w:color w:val="FFFFFF"/>
                <w:sz w:val="20"/>
                <w:szCs w:val="20"/>
              </w:rPr>
              <w:t xml:space="preserve">Tier / purchase</w:t>
            </w:r>
          </w:p>
        </w:tc>
        <w:tc>
          <w:tcPr>
            <w:tcW w:type="dxa" w:w="3360"/>
            <w:shd w:fill="5B3DF5" w:val="clear"/>
            <w:tcMar>
              <w:top w:type="dxa" w:w="120"/>
              <w:left w:type="dxa" w:w="140"/>
              <w:bottom w:type="dxa" w:w="120"/>
              <w:right w:type="dxa" w:w="140"/>
            </w:tcMar>
            <w:vAlign w:val="center"/>
          </w:tcPr>
          <w:p>
            <w:r>
              <w:rPr>
                <w:b/>
                <w:bCs/>
                <w:color w:val="FFFFFF"/>
                <w:sz w:val="20"/>
                <w:szCs w:val="20"/>
              </w:rPr>
              <w:t xml:space="preserve">Unlocks</w:t>
            </w:r>
          </w:p>
        </w:tc>
        <w:tc>
          <w:tcPr>
            <w:tcW w:type="dxa" w:w="3000"/>
            <w:shd w:fill="5B3DF5" w:val="clear"/>
            <w:tcMar>
              <w:top w:type="dxa" w:w="120"/>
              <w:left w:type="dxa" w:w="140"/>
              <w:bottom w:type="dxa" w:w="120"/>
              <w:right w:type="dxa" w:w="140"/>
            </w:tcMar>
            <w:vAlign w:val="center"/>
          </w:tcPr>
          <w:p>
            <w:r>
              <w:rPr>
                <w:b/>
                <w:bCs/>
                <w:color w:val="FFFFFF"/>
                <w:sz w:val="20"/>
                <w:szCs w:val="20"/>
              </w:rPr>
              <w:t xml:space="preserve">Gate rationale</w:t>
            </w:r>
          </w:p>
        </w:tc>
      </w:tr>
      <w:tr>
        <w:tc>
          <w:tcPr>
            <w:tcW w:type="dxa" w:w="3000"/>
            <w:shd w:fill="F7F6FD" w:val="clear"/>
            <w:tcMar>
              <w:top w:type="dxa" w:w="120"/>
              <w:left w:type="dxa" w:w="140"/>
              <w:bottom w:type="dxa" w:w="120"/>
              <w:right w:type="dxa" w:w="140"/>
            </w:tcMar>
            <w:vAlign w:val="center"/>
          </w:tcPr>
          <w:p>
            <w:r>
              <w:rPr>
                <w:sz w:val="20"/>
                <w:szCs w:val="20"/>
              </w:rPr>
              <w:t xml:space="preserve">Free (no signup)</w:t>
            </w:r>
          </w:p>
        </w:tc>
        <w:tc>
          <w:tcPr>
            <w:tcW w:type="dxa" w:w="3360"/>
            <w:shd w:fill="F7F6FD" w:val="clear"/>
            <w:tcMar>
              <w:top w:type="dxa" w:w="120"/>
              <w:left w:type="dxa" w:w="140"/>
              <w:bottom w:type="dxa" w:w="120"/>
              <w:right w:type="dxa" w:w="140"/>
            </w:tcMar>
            <w:vAlign w:val="center"/>
          </w:tcPr>
          <w:p>
            <w:pPr>
              <w:spacing w:after="0"/>
            </w:pPr>
            <w:r>
              <w:rPr>
                <w:sz w:val="20"/>
                <w:szCs w:val="20"/>
              </w:rPr>
              <w:t xml:space="preserve">Status badge + 1-line summary of any agent's output</w:t>
            </w:r>
          </w:p>
        </w:tc>
        <w:tc>
          <w:tcPr>
            <w:tcW w:type="dxa" w:w="3000"/>
            <w:shd w:fill="F7F6FD" w:val="clear"/>
            <w:tcMar>
              <w:top w:type="dxa" w:w="120"/>
              <w:left w:type="dxa" w:w="140"/>
              <w:bottom w:type="dxa" w:w="120"/>
              <w:right w:type="dxa" w:w="140"/>
            </w:tcMar>
            <w:vAlign w:val="center"/>
          </w:tcPr>
          <w:p>
            <w:r>
              <w:rPr>
                <w:sz w:val="20"/>
                <w:szCs w:val="20"/>
              </w:rPr>
              <w:t xml:space="preserve">Proves the outcome is real before asking for anything</w:t>
            </w:r>
          </w:p>
        </w:tc>
      </w:tr>
      <w:tr>
        <w:tc>
          <w:tcPr>
            <w:tcW w:type="dxa" w:w="3000"/>
            <w:tcMar>
              <w:top w:type="dxa" w:w="120"/>
              <w:left w:type="dxa" w:w="140"/>
              <w:bottom w:type="dxa" w:w="120"/>
              <w:right w:type="dxa" w:w="140"/>
            </w:tcMar>
            <w:vAlign w:val="center"/>
          </w:tcPr>
          <w:p>
            <w:r>
              <w:rPr>
                <w:sz w:val="20"/>
                <w:szCs w:val="20"/>
              </w:rPr>
              <w:t xml:space="preserve">Free (signed up, has free_credits)</w:t>
            </w:r>
          </w:p>
        </w:tc>
        <w:tc>
          <w:tcPr>
            <w:tcW w:type="dxa" w:w="3360"/>
            <w:tcMar>
              <w:top w:type="dxa" w:w="120"/>
              <w:left w:type="dxa" w:w="140"/>
              <w:bottom w:type="dxa" w:w="120"/>
              <w:right w:type="dxa" w:w="140"/>
            </w:tcMar>
            <w:vAlign w:val="center"/>
          </w:tcPr>
          <w:p>
            <w:pPr>
              <w:spacing w:after="0"/>
            </w:pPr>
            <w:r>
              <w:rPr>
                <w:sz w:val="20"/>
                <w:szCs w:val="20"/>
              </w:rPr>
              <w:t xml:space="preserve">Full Key Findings / Architecture Breakdown section, live chat</w:t>
            </w:r>
          </w:p>
        </w:tc>
        <w:tc>
          <w:tcPr>
            <w:tcW w:type="dxa" w:w="3000"/>
            <w:tcMar>
              <w:top w:type="dxa" w:w="120"/>
              <w:left w:type="dxa" w:w="140"/>
              <w:bottom w:type="dxa" w:w="120"/>
              <w:right w:type="dxa" w:w="140"/>
            </w:tcMar>
            <w:vAlign w:val="center"/>
          </w:tcPr>
          <w:p>
            <w:r>
              <w:rPr>
                <w:sz w:val="20"/>
                <w:szCs w:val="20"/>
              </w:rPr>
              <w:t xml:space="preserve">Signup is the first micro-commitment, not payment</w:t>
            </w:r>
          </w:p>
        </w:tc>
      </w:tr>
      <w:tr>
        <w:tc>
          <w:tcPr>
            <w:tcW w:type="dxa" w:w="3000"/>
            <w:shd w:fill="F7F6FD" w:val="clear"/>
            <w:tcMar>
              <w:top w:type="dxa" w:w="120"/>
              <w:left w:type="dxa" w:w="140"/>
              <w:bottom w:type="dxa" w:w="120"/>
              <w:right w:type="dxa" w:w="140"/>
            </w:tcMar>
            <w:vAlign w:val="center"/>
          </w:tcPr>
          <w:p>
            <w:r>
              <w:rPr>
                <w:sz w:val="20"/>
                <w:szCs w:val="20"/>
              </w:rPr>
              <w:t xml:space="preserve">One-time microservice purchase</w:t>
            </w:r>
          </w:p>
        </w:tc>
        <w:tc>
          <w:tcPr>
            <w:tcW w:type="dxa" w:w="3360"/>
            <w:shd w:fill="F7F6FD" w:val="clear"/>
            <w:tcMar>
              <w:top w:type="dxa" w:w="120"/>
              <w:left w:type="dxa" w:w="140"/>
              <w:bottom w:type="dxa" w:w="120"/>
              <w:right w:type="dxa" w:w="140"/>
            </w:tcMar>
            <w:vAlign w:val="center"/>
          </w:tcPr>
          <w:p>
            <w:pPr>
              <w:spacing w:after="0"/>
            </w:pPr>
            <w:r>
              <w:rPr>
                <w:sz w:val="20"/>
                <w:szCs w:val="20"/>
              </w:rPr>
              <w:t xml:space="preserve">Recommendations checklist, PDF export, that specific agent unlocked permanently</w:t>
            </w:r>
          </w:p>
        </w:tc>
        <w:tc>
          <w:tcPr>
            <w:tcW w:type="dxa" w:w="3000"/>
            <w:shd w:fill="F7F6FD" w:val="clear"/>
            <w:tcMar>
              <w:top w:type="dxa" w:w="120"/>
              <w:left w:type="dxa" w:w="140"/>
              <w:bottom w:type="dxa" w:w="120"/>
              <w:right w:type="dxa" w:w="140"/>
            </w:tcMar>
            <w:vAlign w:val="center"/>
          </w:tcPr>
          <w:p>
            <w:r>
              <w:rPr>
                <w:sz w:val="20"/>
                <w:szCs w:val="20"/>
              </w:rPr>
              <w:t xml:space="preserve">Matches how the pain actually shows up: one incident, one audit, one deal</w:t>
            </w:r>
          </w:p>
        </w:tc>
      </w:tr>
      <w:tr>
        <w:tc>
          <w:tcPr>
            <w:tcW w:type="dxa" w:w="3000"/>
            <w:tcMar>
              <w:top w:type="dxa" w:w="120"/>
              <w:left w:type="dxa" w:w="140"/>
              <w:bottom w:type="dxa" w:w="120"/>
              <w:right w:type="dxa" w:w="140"/>
            </w:tcMar>
            <w:vAlign w:val="center"/>
          </w:tcPr>
          <w:p>
            <w:r>
              <w:rPr>
                <w:sz w:val="20"/>
                <w:szCs w:val="20"/>
              </w:rPr>
              <w:t xml:space="preserve">Pro</w:t>
            </w:r>
          </w:p>
        </w:tc>
        <w:tc>
          <w:tcPr>
            <w:tcW w:type="dxa" w:w="3360"/>
            <w:tcMar>
              <w:top w:type="dxa" w:w="120"/>
              <w:left w:type="dxa" w:w="140"/>
              <w:bottom w:type="dxa" w:w="120"/>
              <w:right w:type="dxa" w:w="140"/>
            </w:tcMar>
            <w:vAlign w:val="center"/>
          </w:tcPr>
          <w:p>
            <w:pPr>
              <w:spacing w:after="0"/>
            </w:pPr>
            <w:r>
              <w:rPr>
                <w:sz w:val="20"/>
                <w:szCs w:val="20"/>
              </w:rPr>
              <w:t xml:space="preserve">All 4 microservices, 5 seats, team workspace + shared history, priority support</w:t>
            </w:r>
          </w:p>
        </w:tc>
        <w:tc>
          <w:tcPr>
            <w:tcW w:type="dxa" w:w="3000"/>
            <w:tcMar>
              <w:top w:type="dxa" w:w="120"/>
              <w:left w:type="dxa" w:w="140"/>
              <w:bottom w:type="dxa" w:w="120"/>
              <w:right w:type="dxa" w:w="140"/>
            </w:tcMar>
            <w:vAlign w:val="center"/>
          </w:tcPr>
          <w:p>
            <w:r>
              <w:rPr>
                <w:sz w:val="20"/>
                <w:szCs w:val="20"/>
              </w:rPr>
              <w:t xml:space="preserve">For teams hitting the pain repeatedly — the natural 2nd-purchase upsell</w:t>
            </w:r>
          </w:p>
        </w:tc>
      </w:tr>
      <w:tr>
        <w:tc>
          <w:tcPr>
            <w:tcW w:type="dxa" w:w="3000"/>
            <w:shd w:fill="F7F6FD" w:val="clear"/>
            <w:tcMar>
              <w:top w:type="dxa" w:w="120"/>
              <w:left w:type="dxa" w:w="140"/>
              <w:bottom w:type="dxa" w:w="120"/>
              <w:right w:type="dxa" w:w="140"/>
            </w:tcMar>
            <w:vAlign w:val="center"/>
          </w:tcPr>
          <w:p>
            <w:r>
              <w:rPr>
                <w:sz w:val="20"/>
                <w:szCs w:val="20"/>
              </w:rPr>
              <w:t xml:space="preserve">Advanced</w:t>
            </w:r>
          </w:p>
        </w:tc>
        <w:tc>
          <w:tcPr>
            <w:tcW w:type="dxa" w:w="3360"/>
            <w:shd w:fill="F7F6FD" w:val="clear"/>
            <w:tcMar>
              <w:top w:type="dxa" w:w="120"/>
              <w:left w:type="dxa" w:w="140"/>
              <w:bottom w:type="dxa" w:w="120"/>
              <w:right w:type="dxa" w:w="140"/>
            </w:tcMar>
            <w:vAlign w:val="center"/>
          </w:tcPr>
          <w:p>
            <w:pPr>
              <w:spacing w:after="0"/>
            </w:pPr>
            <w:r>
              <w:rPr>
                <w:sz w:val="20"/>
                <w:szCs w:val="20"/>
              </w:rPr>
              <w:t xml:space="preserve">Unlimited seats, custom microservices, dedicated success manager, SLA</w:t>
            </w:r>
          </w:p>
        </w:tc>
        <w:tc>
          <w:tcPr>
            <w:tcW w:type="dxa" w:w="3000"/>
            <w:shd w:fill="F7F6FD" w:val="clear"/>
            <w:tcMar>
              <w:top w:type="dxa" w:w="120"/>
              <w:left w:type="dxa" w:w="140"/>
              <w:bottom w:type="dxa" w:w="120"/>
              <w:right w:type="dxa" w:w="140"/>
            </w:tcMar>
            <w:vAlign w:val="center"/>
          </w:tcPr>
          <w:p>
            <w:r>
              <w:rPr>
                <w:sz w:val="20"/>
                <w:szCs w:val="20"/>
              </w:rPr>
              <w:t xml:space="preserve">Agencies/enterprises who need contractual guarantees, not just access</w:t>
            </w:r>
          </w:p>
        </w:tc>
      </w:tr>
    </w:tbl>
    <w:p>
      <w:pPr>
        <w:spacing w:after="100"/>
      </w:pPr>
    </w:p>
    <w:p>
      <w:pPr>
        <w:pStyle w:val="Heading1"/>
        <w:spacing w:after="160" w:before="360"/>
      </w:pPr>
      <w:r>
        <w:t xml:space="preserve">3. The “Aha” Moment Funnel</w:t>
      </w:r>
    </w:p>
    <w:p>
      <w:pPr>
        <w:spacing w:after="160" w:line="300"/>
      </w:pPr>
      <w:r>
        <w:t xml:space="preserve">The current path — sign up, land in a generic multi-agent dashboard, pick from 7 agents — makes the user do the work of finding their own pain point. Redesign it so the pain point picks them.</w:t>
      </w:r>
    </w:p>
    <w:p>
      <w:pPr>
        <w:pStyle w:val="Heading2"/>
        <w:spacing w:after="120" w:before="260"/>
      </w:pPr>
      <w:r>
        <w:t xml:space="preserve">3.1 Onboarding redesign</w:t>
      </w:r>
    </w:p>
    <w:p>
      <w:pPr>
        <w:pStyle w:val="ListParagraph"/>
        <w:numPr>
          <w:ilvl w:val="0"/>
          <w:numId w:val="3"/>
        </w:numPr>
        <w:spacing w:after="120" w:line="290"/>
      </w:pPr>
      <w:r>
        <w:t xml:space="preserve">Replace the generic homepage CTA with three landing pages, one per niche from Section 1 — each with a single paste box (“Paste your slow query,” “Paste an endpoint,” “Paste a code snippet or repo link”) and no signup wall to see the first result.</w:t>
      </w:r>
    </w:p>
    <w:p>
      <w:pPr>
        <w:pStyle w:val="ListParagraph"/>
        <w:numPr>
          <w:ilvl w:val="0"/>
          <w:numId w:val="3"/>
        </w:numPr>
        <w:spacing w:after="120" w:line="290"/>
      </w:pPr>
      <w:r>
        <w:t xml:space="preserve">Run the real agent immediately and show the status badge + 1-line summary unauthenticated — this is the “aha”: they see a real, specific finding about their own code in under 30 seconds, before you've asked for an email.</w:t>
      </w:r>
    </w:p>
    <w:p>
      <w:pPr>
        <w:pStyle w:val="ListParagraph"/>
        <w:numPr>
          <w:ilvl w:val="0"/>
          <w:numId w:val="3"/>
        </w:numPr>
        <w:spacing w:after="120" w:line="290"/>
      </w:pPr>
      <w:r>
        <w:t xml:space="preserve">Gate the full findings behind signup (email + free credit grant), and gate the recommendations checklist + PDF behind the one-time purchase or a Pro trial — using the paywall map in 2.3.</w:t>
      </w:r>
    </w:p>
    <w:p>
      <w:pPr>
        <w:pStyle w:val="ListParagraph"/>
        <w:numPr>
          <w:ilvl w:val="0"/>
          <w:numId w:val="3"/>
        </w:numPr>
        <w:spacing w:after="120" w:line="290"/>
      </w:pPr>
      <w:r>
        <w:t xml:space="preserve">Tag every signup with which niche landing page they came through, so lifecycle email and in-app messaging can stay specific instead of generic — this segmentation is the input the email sequence below depends on.</w:t>
      </w:r>
    </w:p>
    <w:p>
      <w:pPr>
        <w:pStyle w:val="ListParagraph"/>
        <w:numPr>
          <w:ilvl w:val="0"/>
          <w:numId w:val="3"/>
        </w:numPr>
        <w:spacing w:after="120" w:line="290"/>
      </w:pPr>
      <w:r>
        <w:t xml:space="preserve">Log a “first result viewed” and “first full-report unlock attempted” event per user — currently there's no lifecycle event tracking beyond auth, and you need both timestamps to trigger the sequence below correctly.</w:t>
      </w:r>
    </w:p>
    <w:p>
      <w:pPr>
        <w:pStyle w:val="Heading2"/>
        <w:spacing w:after="120" w:before="260"/>
      </w:pPr>
      <w:r>
        <w:t xml:space="preserve">3.2 Automated email sequence for signed-up, non-paying users</w:t>
      </w:r>
    </w:p>
    <w:p>
      <w:pPr>
        <w:spacing w:after="160" w:line="300"/>
      </w:pPr>
      <w:r>
        <w:rPr>
          <w:i/>
          <w:iCs/>
          <w:color w:val="555555"/>
        </w:rPr>
        <w:t xml:space="preserve">Prerequisite: no transactional/lifecycle email provider is wired yet (the contact form currently only logs). Wire Resend or Postmark plus a simple queue (or a lifecycle tool like Loops/Customer.io) before this sequence can run — this is the one piece of infrastructure this plan actually requires you to build.</w:t>
      </w:r>
    </w:p>
    <w:tbl>
      <w:tblPr>
        <w:tblW w:type="dxa" w:w="9360"/>
        <w:tblBorders>
          <w:top w:val="single" w:color="D9D5EC" w:sz="4"/>
          <w:left w:val="single" w:color="D9D5EC" w:sz="4"/>
          <w:bottom w:val="single" w:color="D9D5EC" w:sz="4"/>
          <w:right w:val="single" w:color="D9D5EC" w:sz="4"/>
          <w:insideH w:val="single" w:color="D9D5EC" w:sz="4"/>
          <w:insideV w:val="single" w:color="D9D5EC" w:sz="4"/>
        </w:tblBorders>
      </w:tblPr>
      <w:tblGrid>
        <w:gridCol w:w="1200"/>
        <w:gridCol w:w="2200"/>
        <w:gridCol w:w="5960"/>
      </w:tblGrid>
      <w:tr>
        <w:trPr>
          <w:tblHeader/>
        </w:trPr>
        <w:tc>
          <w:tcPr>
            <w:tcW w:type="dxa" w:w="1200"/>
            <w:shd w:fill="5B3DF5" w:val="clear"/>
            <w:tcMar>
              <w:top w:type="dxa" w:w="120"/>
              <w:left w:type="dxa" w:w="140"/>
              <w:bottom w:type="dxa" w:w="120"/>
              <w:right w:type="dxa" w:w="140"/>
            </w:tcMar>
            <w:vAlign w:val="center"/>
          </w:tcPr>
          <w:p>
            <w:r>
              <w:rPr>
                <w:b/>
                <w:bCs/>
                <w:color w:val="FFFFFF"/>
                <w:sz w:val="20"/>
                <w:szCs w:val="20"/>
              </w:rPr>
              <w:t xml:space="preserve">Day</w:t>
            </w:r>
          </w:p>
        </w:tc>
        <w:tc>
          <w:tcPr>
            <w:tcW w:type="dxa" w:w="2200"/>
            <w:shd w:fill="5B3DF5" w:val="clear"/>
            <w:tcMar>
              <w:top w:type="dxa" w:w="120"/>
              <w:left w:type="dxa" w:w="140"/>
              <w:bottom w:type="dxa" w:w="120"/>
              <w:right w:type="dxa" w:w="140"/>
            </w:tcMar>
            <w:vAlign w:val="center"/>
          </w:tcPr>
          <w:p>
            <w:r>
              <w:rPr>
                <w:b/>
                <w:bCs/>
                <w:color w:val="FFFFFF"/>
                <w:sz w:val="20"/>
                <w:szCs w:val="20"/>
              </w:rPr>
              <w:t xml:space="preserve">Trigger / goal</w:t>
            </w:r>
          </w:p>
        </w:tc>
        <w:tc>
          <w:tcPr>
            <w:tcW w:type="dxa" w:w="5960"/>
            <w:shd w:fill="5B3DF5" w:val="clear"/>
            <w:tcMar>
              <w:top w:type="dxa" w:w="120"/>
              <w:left w:type="dxa" w:w="140"/>
              <w:bottom w:type="dxa" w:w="120"/>
              <w:right w:type="dxa" w:w="140"/>
            </w:tcMar>
            <w:vAlign w:val="center"/>
          </w:tcPr>
          <w:p>
            <w:r>
              <w:rPr>
                <w:b/>
                <w:bCs/>
                <w:color w:val="FFFFFF"/>
                <w:sz w:val="20"/>
                <w:szCs w:val="20"/>
              </w:rPr>
              <w:t xml:space="preserve">Content</w:t>
            </w:r>
          </w:p>
        </w:tc>
      </w:tr>
      <w:tr>
        <w:tc>
          <w:tcPr>
            <w:tcW w:type="dxa" w:w="1200"/>
            <w:shd w:fill="F7F6FD" w:val="clear"/>
            <w:tcMar>
              <w:top w:type="dxa" w:w="120"/>
              <w:left w:type="dxa" w:w="140"/>
              <w:bottom w:type="dxa" w:w="120"/>
              <w:right w:type="dxa" w:w="140"/>
            </w:tcMar>
            <w:vAlign w:val="center"/>
          </w:tcPr>
          <w:p>
            <w:r>
              <w:rPr>
                <w:sz w:val="20"/>
                <w:szCs w:val="20"/>
              </w:rPr>
              <w:t xml:space="preserve">0</w:t>
            </w:r>
          </w:p>
        </w:tc>
        <w:tc>
          <w:tcPr>
            <w:tcW w:type="dxa" w:w="2200"/>
            <w:shd w:fill="F7F6FD" w:val="clear"/>
            <w:tcMar>
              <w:top w:type="dxa" w:w="120"/>
              <w:left w:type="dxa" w:w="140"/>
              <w:bottom w:type="dxa" w:w="120"/>
              <w:right w:type="dxa" w:w="140"/>
            </w:tcMar>
            <w:vAlign w:val="center"/>
          </w:tcPr>
          <w:p>
            <w:r>
              <w:rPr>
                <w:sz w:val="20"/>
                <w:szCs w:val="20"/>
              </w:rPr>
              <w:t xml:space="preserve">Immediately after signup</w:t>
            </w:r>
          </w:p>
        </w:tc>
        <w:tc>
          <w:tcPr>
            <w:tcW w:type="dxa" w:w="5960"/>
            <w:shd w:fill="F7F6FD" w:val="clear"/>
            <w:tcMar>
              <w:top w:type="dxa" w:w="120"/>
              <w:left w:type="dxa" w:w="140"/>
              <w:bottom w:type="dxa" w:w="120"/>
              <w:right w:type="dxa" w:w="140"/>
            </w:tcMar>
            <w:vAlign w:val="center"/>
          </w:tcPr>
          <w:p>
            <w:pPr>
              <w:spacing w:after="0"/>
            </w:pPr>
            <w:r>
              <w:rPr>
                <w:sz w:val="20"/>
                <w:szCs w:val="20"/>
              </w:rPr>
              <w:t xml:space="preserve">Send their own first result back as a clean email (not a generic welcome) — “Here's what we found in your query/endpoint/code.” Ends with one CTA: unlock the full report.</w:t>
            </w:r>
          </w:p>
        </w:tc>
      </w:tr>
      <w:tr>
        <w:tc>
          <w:tcPr>
            <w:tcW w:type="dxa" w:w="1200"/>
            <w:tcMar>
              <w:top w:type="dxa" w:w="120"/>
              <w:left w:type="dxa" w:w="140"/>
              <w:bottom w:type="dxa" w:w="120"/>
              <w:right w:type="dxa" w:w="140"/>
            </w:tcMar>
            <w:vAlign w:val="center"/>
          </w:tcPr>
          <w:p>
            <w:r>
              <w:rPr>
                <w:sz w:val="20"/>
                <w:szCs w:val="20"/>
              </w:rPr>
              <w:t xml:space="preserve">1</w:t>
            </w:r>
          </w:p>
        </w:tc>
        <w:tc>
          <w:tcPr>
            <w:tcW w:type="dxa" w:w="2200"/>
            <w:tcMar>
              <w:top w:type="dxa" w:w="120"/>
              <w:left w:type="dxa" w:w="140"/>
              <w:bottom w:type="dxa" w:w="120"/>
              <w:right w:type="dxa" w:w="140"/>
            </w:tcMar>
            <w:vAlign w:val="center"/>
          </w:tcPr>
          <w:p>
            <w:r>
              <w:rPr>
                <w:sz w:val="20"/>
                <w:szCs w:val="20"/>
              </w:rPr>
              <w:t xml:space="preserve">Hasn't unlocked yet</w:t>
            </w:r>
          </w:p>
        </w:tc>
        <w:tc>
          <w:tcPr>
            <w:tcW w:type="dxa" w:w="5960"/>
            <w:tcMar>
              <w:top w:type="dxa" w:w="120"/>
              <w:left w:type="dxa" w:w="140"/>
              <w:bottom w:type="dxa" w:w="120"/>
              <w:right w:type="dxa" w:w="140"/>
            </w:tcMar>
            <w:vAlign w:val="center"/>
          </w:tcPr>
          <w:p>
            <w:pPr>
              <w:spacing w:after="0"/>
            </w:pPr>
            <w:r>
              <w:rPr>
                <w:sz w:val="20"/>
                <w:szCs w:val="20"/>
              </w:rPr>
              <w:t xml:space="preserve">Show a redacted example of a full unlocked report for their niche (findings table + checklist), so they see exactly what they're one purchase away from.</w:t>
            </w:r>
          </w:p>
        </w:tc>
      </w:tr>
      <w:tr>
        <w:tc>
          <w:tcPr>
            <w:tcW w:type="dxa" w:w="1200"/>
            <w:shd w:fill="F7F6FD" w:val="clear"/>
            <w:tcMar>
              <w:top w:type="dxa" w:w="120"/>
              <w:left w:type="dxa" w:w="140"/>
              <w:bottom w:type="dxa" w:w="120"/>
              <w:right w:type="dxa" w:w="140"/>
            </w:tcMar>
            <w:vAlign w:val="center"/>
          </w:tcPr>
          <w:p>
            <w:r>
              <w:rPr>
                <w:sz w:val="20"/>
                <w:szCs w:val="20"/>
              </w:rPr>
              <w:t xml:space="preserve">3</w:t>
            </w:r>
          </w:p>
        </w:tc>
        <w:tc>
          <w:tcPr>
            <w:tcW w:type="dxa" w:w="2200"/>
            <w:shd w:fill="F7F6FD" w:val="clear"/>
            <w:tcMar>
              <w:top w:type="dxa" w:w="120"/>
              <w:left w:type="dxa" w:w="140"/>
              <w:bottom w:type="dxa" w:w="120"/>
              <w:right w:type="dxa" w:w="140"/>
            </w:tcMar>
            <w:vAlign w:val="center"/>
          </w:tcPr>
          <w:p>
            <w:r>
              <w:rPr>
                <w:sz w:val="20"/>
                <w:szCs w:val="20"/>
              </w:rPr>
              <w:t xml:space="preserve">Still hasn't purchased</w:t>
            </w:r>
          </w:p>
        </w:tc>
        <w:tc>
          <w:tcPr>
            <w:tcW w:type="dxa" w:w="5960"/>
            <w:shd w:fill="F7F6FD" w:val="clear"/>
            <w:tcMar>
              <w:top w:type="dxa" w:w="120"/>
              <w:left w:type="dxa" w:w="140"/>
              <w:bottom w:type="dxa" w:w="120"/>
              <w:right w:type="dxa" w:w="140"/>
            </w:tcMar>
            <w:vAlign w:val="center"/>
          </w:tcPr>
          <w:p>
            <w:pPr>
              <w:spacing w:after="0"/>
            </w:pPr>
            <w:r>
              <w:rPr>
                <w:sz w:val="20"/>
                <w:szCs w:val="20"/>
              </w:rPr>
              <w:t xml:space="preserve">Reminder of remaining free credits, framed as urgency on the credits, not a discount on the product (“you have 2 free reports left”).</w:t>
            </w:r>
          </w:p>
        </w:tc>
      </w:tr>
      <w:tr>
        <w:tc>
          <w:tcPr>
            <w:tcW w:type="dxa" w:w="1200"/>
            <w:tcMar>
              <w:top w:type="dxa" w:w="120"/>
              <w:left w:type="dxa" w:w="140"/>
              <w:bottom w:type="dxa" w:w="120"/>
              <w:right w:type="dxa" w:w="140"/>
            </w:tcMar>
            <w:vAlign w:val="center"/>
          </w:tcPr>
          <w:p>
            <w:r>
              <w:rPr>
                <w:sz w:val="20"/>
                <w:szCs w:val="20"/>
              </w:rPr>
              <w:t xml:space="preserve">5</w:t>
            </w:r>
          </w:p>
        </w:tc>
        <w:tc>
          <w:tcPr>
            <w:tcW w:type="dxa" w:w="2200"/>
            <w:tcMar>
              <w:top w:type="dxa" w:w="120"/>
              <w:left w:type="dxa" w:w="140"/>
              <w:bottom w:type="dxa" w:w="120"/>
              <w:right w:type="dxa" w:w="140"/>
            </w:tcMar>
            <w:vAlign w:val="center"/>
          </w:tcPr>
          <w:p>
            <w:r>
              <w:rPr>
                <w:sz w:val="20"/>
                <w:szCs w:val="20"/>
              </w:rPr>
              <w:t xml:space="preserve">Segment by niche</w:t>
            </w:r>
          </w:p>
        </w:tc>
        <w:tc>
          <w:tcPr>
            <w:tcW w:type="dxa" w:w="5960"/>
            <w:tcMar>
              <w:top w:type="dxa" w:w="120"/>
              <w:left w:type="dxa" w:w="140"/>
              <w:bottom w:type="dxa" w:w="120"/>
              <w:right w:type="dxa" w:w="140"/>
            </w:tcMar>
            <w:vAlign w:val="center"/>
          </w:tcPr>
          <w:p>
            <w:pPr>
              <w:spacing w:after="0"/>
            </w:pPr>
            <w:r>
              <w:rPr>
                <w:sz w:val="20"/>
                <w:szCs w:val="20"/>
              </w:rPr>
              <w:t xml:space="preserve">Pain-amplification email specific to the landing page they entered through (e.g. for the DB niche: a short note on how a single missing index shows up on a cloud bill).</w:t>
            </w:r>
          </w:p>
        </w:tc>
      </w:tr>
      <w:tr>
        <w:tc>
          <w:tcPr>
            <w:tcW w:type="dxa" w:w="1200"/>
            <w:shd w:fill="F7F6FD" w:val="clear"/>
            <w:tcMar>
              <w:top w:type="dxa" w:w="120"/>
              <w:left w:type="dxa" w:w="140"/>
              <w:bottom w:type="dxa" w:w="120"/>
              <w:right w:type="dxa" w:w="140"/>
            </w:tcMar>
            <w:vAlign w:val="center"/>
          </w:tcPr>
          <w:p>
            <w:r>
              <w:rPr>
                <w:sz w:val="20"/>
                <w:szCs w:val="20"/>
              </w:rPr>
              <w:t xml:space="preserve">7</w:t>
            </w:r>
          </w:p>
        </w:tc>
        <w:tc>
          <w:tcPr>
            <w:tcW w:type="dxa" w:w="2200"/>
            <w:shd w:fill="F7F6FD" w:val="clear"/>
            <w:tcMar>
              <w:top w:type="dxa" w:w="120"/>
              <w:left w:type="dxa" w:w="140"/>
              <w:bottom w:type="dxa" w:w="120"/>
              <w:right w:type="dxa" w:w="140"/>
            </w:tcMar>
            <w:vAlign w:val="center"/>
          </w:tcPr>
          <w:p>
            <w:r>
              <w:rPr>
                <w:sz w:val="20"/>
                <w:szCs w:val="20"/>
              </w:rPr>
              <w:t xml:space="preserve">Price nudge</w:t>
            </w:r>
          </w:p>
        </w:tc>
        <w:tc>
          <w:tcPr>
            <w:tcW w:type="dxa" w:w="5960"/>
            <w:shd w:fill="F7F6FD" w:val="clear"/>
            <w:tcMar>
              <w:top w:type="dxa" w:w="120"/>
              <w:left w:type="dxa" w:w="140"/>
              <w:bottom w:type="dxa" w:w="120"/>
              <w:right w:type="dxa" w:w="140"/>
            </w:tcMar>
            <w:vAlign w:val="center"/>
          </w:tcPr>
          <w:p>
            <w:pPr>
              <w:spacing w:after="0"/>
            </w:pPr>
            <w:r>
              <w:rPr>
                <w:sz w:val="20"/>
                <w:szCs w:val="20"/>
              </w:rPr>
              <w:t xml:space="preserve">Offer the one-time report at full price with a clear “why this pays for itself” line, rather than a deep discount — protect price integrity this early.</w:t>
            </w:r>
          </w:p>
        </w:tc>
      </w:tr>
      <w:tr>
        <w:tc>
          <w:tcPr>
            <w:tcW w:type="dxa" w:w="1200"/>
            <w:tcMar>
              <w:top w:type="dxa" w:w="120"/>
              <w:left w:type="dxa" w:w="140"/>
              <w:bottom w:type="dxa" w:w="120"/>
              <w:right w:type="dxa" w:w="140"/>
            </w:tcMar>
            <w:vAlign w:val="center"/>
          </w:tcPr>
          <w:p>
            <w:r>
              <w:rPr>
                <w:sz w:val="20"/>
                <w:szCs w:val="20"/>
              </w:rPr>
              <w:t xml:space="preserve">14</w:t>
            </w:r>
          </w:p>
        </w:tc>
        <w:tc>
          <w:tcPr>
            <w:tcW w:type="dxa" w:w="2200"/>
            <w:tcMar>
              <w:top w:type="dxa" w:w="120"/>
              <w:left w:type="dxa" w:w="140"/>
              <w:bottom w:type="dxa" w:w="120"/>
              <w:right w:type="dxa" w:w="140"/>
            </w:tcMar>
            <w:vAlign w:val="center"/>
          </w:tcPr>
          <w:p>
            <w:r>
              <w:rPr>
                <w:sz w:val="20"/>
                <w:szCs w:val="20"/>
              </w:rPr>
              <w:t xml:space="preserve">Last call</w:t>
            </w:r>
          </w:p>
        </w:tc>
        <w:tc>
          <w:tcPr>
            <w:tcW w:type="dxa" w:w="5960"/>
            <w:tcMar>
              <w:top w:type="dxa" w:w="120"/>
              <w:left w:type="dxa" w:w="140"/>
              <w:bottom w:type="dxa" w:w="120"/>
              <w:right w:type="dxa" w:w="140"/>
            </w:tcMar>
            <w:vAlign w:val="center"/>
          </w:tcPr>
          <w:p>
            <w:pPr>
              <w:spacing w:after="0"/>
            </w:pPr>
            <w:r>
              <w:rPr>
                <w:sz w:val="20"/>
                <w:szCs w:val="20"/>
              </w:rPr>
              <w:t xml:space="preserve">“Your free credits are expiring” — final nudge, then drop into a low-frequency (monthly) value-only nurture track instead of continued daily pressure.</w:t>
            </w:r>
          </w:p>
        </w:tc>
      </w:tr>
    </w:tbl>
    <w:p>
      <w:pPr>
        <w:spacing w:after="100"/>
      </w:pPr>
    </w:p>
    <w:p>
      <w:pPr>
        <w:pStyle w:val="Heading1"/>
        <w:spacing w:after="160" w:before="360"/>
      </w:pPr>
      <w:r>
        <w:t xml:space="preserve">4. Distribution 2.0: Direct Outreach</w:t>
      </w:r>
    </w:p>
    <w:p>
      <w:pPr>
        <w:spacing w:after="160" w:line="300"/>
      </w:pPr>
      <w:r>
        <w:t xml:space="preserve">Organic posts on X, LinkedIn, Reddit, and Product Hunt reach people browsing, not people in pain right now. All five tactics below target people who already have the specific problem, so the ask lands as help rather than a launch announcement.</w:t>
      </w:r>
    </w:p>
    <w:p>
      <w:pPr>
        <w:pStyle w:val="Heading2"/>
        <w:spacing w:after="120" w:before="260"/>
      </w:pPr>
      <w:r>
        <w:t xml:space="preserve">4.1 Five tactics</w:t>
      </w:r>
    </w:p>
    <w:p>
      <w:pPr>
        <w:pStyle w:val="ListParagraph"/>
        <w:numPr>
          <w:ilvl w:val="0"/>
          <w:numId w:val="2"/>
        </w:numPr>
        <w:spacing w:after="100" w:line="290"/>
      </w:pPr>
      <w:r>
        <w:rPr>
          <w:b/>
          <w:bCs/>
        </w:rPr>
        <w:t xml:space="preserve">1. Free audit as the door-opener, run on their actual product. </w:t>
      </w:r>
      <w:r>
        <w:t xml:space="preserve">Instead of pitching the tool, run the Security Audit or Query Cost report against something public of theirs (their live API, a public repo) and send the specific finding unsolicited. Leads with proof, not a pitch.</w:t>
      </w:r>
    </w:p>
    <w:p>
      <w:pPr>
        <w:pStyle w:val="ListParagraph"/>
        <w:numPr>
          <w:ilvl w:val="0"/>
          <w:numId w:val="2"/>
        </w:numPr>
        <w:spacing w:after="100" w:line="290"/>
      </w:pPr>
      <w:r>
        <w:rPr>
          <w:b/>
          <w:bCs/>
        </w:rPr>
        <w:t xml:space="preserve">2. Show up where the pain is already being typed out loud. </w:t>
      </w:r>
      <w:r>
        <w:t xml:space="preserve">Indie Hackers, r/SaaS, r/ExperiencedDevs, MicroConf and YC-alumni Slack/Discord communities — answer real threads about slow queries, security questionnaires, or due-diligence with a genuinely useful reply, and only mention the tool when it's the natural answer.</w:t>
      </w:r>
    </w:p>
    <w:p>
      <w:pPr>
        <w:pStyle w:val="ListParagraph"/>
        <w:numPr>
          <w:ilvl w:val="0"/>
          <w:numId w:val="2"/>
        </w:numPr>
        <w:spacing w:after="100" w:line="290"/>
      </w:pPr>
      <w:r>
        <w:rPr>
          <w:b/>
          <w:bCs/>
        </w:rPr>
        <w:t xml:space="preserve">3. Go where buyer intent already exists for the due-diligence niche specifically. </w:t>
      </w:r>
      <w:r>
        <w:t xml:space="preserve">Acquire.com and Flippa listings show live SaaS deals in progress — message buyers directly offering a codebase due-diligence report before they close, and list on developer-tool directories (SaaSHub, AlternativeTo, There's An API For That) where people search with intent, unlike Product Hunt's one-day discovery spike.</w:t>
      </w:r>
    </w:p>
    <w:p>
      <w:pPr>
        <w:pStyle w:val="ListParagraph"/>
        <w:numPr>
          <w:ilvl w:val="0"/>
          <w:numId w:val="2"/>
        </w:numPr>
        <w:spacing w:after="100" w:line="290"/>
      </w:pPr>
      <w:r>
        <w:rPr>
          <w:b/>
          <w:bCs/>
        </w:rPr>
        <w:t xml:space="preserve">4. Build a referral channel through agencies and freelance devs. </w:t>
      </w:r>
      <w:r>
        <w:t xml:space="preserve">Freelancers who already do code reviews or security passes for clients can white-label or affiliate your reports — they get a deliverable to add to their own service, you get warm, pre-qualified customers.</w:t>
      </w:r>
    </w:p>
    <w:p>
      <w:pPr>
        <w:pStyle w:val="ListParagraph"/>
        <w:numPr>
          <w:ilvl w:val="0"/>
          <w:numId w:val="2"/>
        </w:numPr>
        <w:spacing w:after="100" w:line="290"/>
      </w:pPr>
      <w:r>
        <w:rPr>
          <w:b/>
          <w:bCs/>
        </w:rPr>
        <w:t xml:space="preserve">5. Get the first 10 paying customers through warm outreach, not cold. </w:t>
      </w:r>
      <w:r>
        <w:t xml:space="preserve">Use direct personal and professional contacts first — warm intros convert far better than cold outreach with zero social proof, and each paying customer becomes a specific, named result (“cut X's DB bill by Y%”) that makes tactic #1 and #2 credible.</w:t>
      </w:r>
    </w:p>
    <w:p>
      <w:pPr>
        <w:pStyle w:val="Heading2"/>
        <w:spacing w:after="120" w:before="260"/>
      </w:pPr>
      <w:r>
        <w:t xml:space="preserve">4.2 Cold outreach template</w:t>
      </w:r>
    </w:p>
    <w:p>
      <w:pPr>
        <w:spacing w:after="160" w:line="300"/>
      </w:pPr>
      <w:r>
        <w:rPr>
          <w:i/>
          <w:iCs/>
          <w:color w:val="555555"/>
        </w:rPr>
        <w:t xml:space="preserve">Two variables to swap per niche: [PAIN] and [SPECIFIC_OBSERVATION]. Keep it under 80 words — the goal is a reply, not a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0FC" w:val="clear"/>
            <w:tcMar>
              <w:top w:type="dxa" w:w="160"/>
              <w:left w:type="dxa" w:w="200"/>
              <w:bottom w:type="dxa" w:w="160"/>
              <w:right w:type="dxa" w:w="200"/>
            </w:tcMar>
          </w:tcPr>
          <w:p>
            <w:pPr>
              <w:spacing w:after="60"/>
            </w:pPr>
            <w:r>
              <w:rPr>
                <w:b/>
                <w:bCs/>
                <w:color w:val="5B3DF5"/>
              </w:rPr>
              <w:t xml:space="preserve">Subject</w:t>
            </w:r>
          </w:p>
          <w:p>
            <w:pPr>
              <w:spacing w:after="0"/>
            </w:pPr>
            <w:r>
              <w:t xml:space="preserve">Quick one on [their product]'s [API security / query performance / codebase]</w:t>
            </w:r>
          </w:p>
        </w:tc>
      </w:tr>
    </w:tbl>
    <w:p>
      <w:pPr>
        <w:spacing w:after="160" w:line="300"/>
      </w:pPr>
      <w:r>
        <w:t xml:space="preserve">Hi [Name] — I looked at [SPECIFIC_OBSERVATION, e.g. “the /users endpoint on your public API” / “your repo's schema on GitHub”]. </w:t>
      </w:r>
      <w:r>
        <w:rPr>
          <w:b/>
          <w:bCs/>
        </w:rPr>
        <w:t xml:space="preserve">[One concrete finding, e.g. “It looks like that endpoint doesn't validate the user_id param against the session — worth a look before it's an incident.”]</w:t>
      </w:r>
    </w:p>
    <w:p>
      <w:pPr>
        <w:spacing w:after="160" w:line="300"/>
      </w:pPr>
      <w:r>
        <w:t xml:space="preserve">I run these audits for a living (AI-assisted, human-reviewed) — takes about 10 minutes, no pitch. Want the full report? I'll send it over free, no strings.</w:t>
      </w:r>
    </w:p>
    <w:p>
      <w:pPr>
        <w:spacing w:after="160" w:line="300"/>
      </w:pPr>
      <w:r>
        <w:t xml:space="preserve">— Momčilo</w:t>
      </w:r>
    </w:p>
    <w:p>
      <w:pPr>
        <w:pBdr>
          <w:bottom w:val="single" w:color="D9D5EC" w:sz="6" w:space="1"/>
        </w:pBdr>
        <w:spacing w:after="240" w:before="120"/>
      </w:pPr>
    </w:p>
    <w:p>
      <w:pPr>
        <w:spacing w:after="160" w:line="300"/>
      </w:pPr>
      <w:r>
        <w:rPr>
          <w:i/>
          <w:iCs/>
          <w:color w:val="555555"/>
        </w:rPr>
        <w:t xml:space="preserve">Why this works: it opens with a specific, real observation about their product (not “we built an AI tool”), states the cost of ignoring it in their terms (an incident, a lost deal, a churned customer), and asks for nothing but a reply. “Free, no strings” matches tactic #1 — the free report is what turns a cold message into a warm lead.</w:t>
      </w:r>
    </w:p>
    <w:p>
      <w:pPr>
        <w:spacing w:after="160"/>
      </w:pPr>
    </w:p>
    <w:p>
      <w:pPr>
        <w:pStyle w:val="Heading1"/>
        <w:spacing w:after="160" w:before="360"/>
      </w:pPr>
      <w:r>
        <w:t xml:space="preserve">Priority Order</w:t>
      </w:r>
    </w:p>
    <w:p>
      <w:pPr>
        <w:pStyle w:val="ListParagraph"/>
        <w:numPr>
          <w:ilvl w:val="0"/>
          <w:numId w:val="4"/>
        </w:numPr>
        <w:spacing w:after="120" w:line="290"/>
      </w:pPr>
      <w:r>
        <w:t xml:space="preserve">Relabel the four microservice products around outcomes (Section 2.2) — a copy change, shippable today.</w:t>
      </w:r>
    </w:p>
    <w:p>
      <w:pPr>
        <w:pStyle w:val="ListParagraph"/>
        <w:numPr>
          <w:ilvl w:val="0"/>
          <w:numId w:val="4"/>
        </w:numPr>
        <w:spacing w:after="120" w:line="290"/>
      </w:pPr>
      <w:r>
        <w:t xml:space="preserve">Build the three niche landing pages with the free-teaser → signup → paywall flow (Section 3.1) — reuses UI you've already built.</w:t>
      </w:r>
    </w:p>
    <w:p>
      <w:pPr>
        <w:pStyle w:val="ListParagraph"/>
        <w:numPr>
          <w:ilvl w:val="0"/>
          <w:numId w:val="4"/>
        </w:numPr>
        <w:spacing w:after="120" w:line="290"/>
      </w:pPr>
      <w:r>
        <w:t xml:space="preserve">Wire a transactional email provider and ship the Day 0/1/3 emails first — the highest-leverage three of the six.</w:t>
      </w:r>
    </w:p>
    <w:p>
      <w:pPr>
        <w:pStyle w:val="ListParagraph"/>
        <w:numPr>
          <w:ilvl w:val="0"/>
          <w:numId w:val="4"/>
        </w:numPr>
        <w:spacing w:after="120" w:line="290"/>
      </w:pPr>
      <w:r>
        <w:t xml:space="preserve">Run 20 free audits against real public targets (tactic #1) in parallel with the above — needs no new engineering, only your time.</w:t>
      </w:r>
    </w:p>
    <w:p>
      <w:pPr>
        <w:pStyle w:val="ListParagraph"/>
        <w:numPr>
          <w:ilvl w:val="0"/>
          <w:numId w:val="4"/>
        </w:numPr>
        <w:spacing w:after="120" w:line="290"/>
      </w:pPr>
      <w:r>
        <w:t xml:space="preserve">Once you have 3–5 paying customers or free-audit conversions, fold their results into the cold outreach template and start tactic #5 in earnest.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431"/>
      </w:pPr>
    </w:lvl>
  </w:abstractNum>
  <w:abstractNum w:abstractNumId="4" w15:restartNumberingAfterBreak="0">
    <w:multiLevelType w:val="hybridMultilevel"/>
    <w:lvl w:ilvl="0" w15:tentative="1">
      <w:start w:val="1"/>
      <w:numFmt w:val="decimal"/>
      <w:lvlText w:val="%1."/>
      <w:lvlJc w:val="left"/>
      <w:pPr>
        <w:ind w:left="431" w:hanging="431"/>
      </w:pPr>
    </w:lvl>
  </w:abstractNum>
  <w:abstractNum w:abstractNumId="5"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2A1B6B"/>
      <w:sz w:val="56"/>
      <w:szCs w:val="56"/>
    </w:rPr>
  </w:style>
  <w:style w:type="paragraph" w:styleId="Subtitle">
    <w:name w:val="Subtitle"/>
    <w:basedOn w:val="Normal"/>
    <w:next w:val="Normal"/>
    <w:pPr>
      <w:spacing w:after="60"/>
    </w:pPr>
    <w:rPr>
      <w:rFonts w:ascii="Calibri" w:cs="Calibri" w:eastAsia="Calibri" w:hAnsi="Calibri"/>
      <w:color w:val="5B3DF5"/>
      <w:sz w:val="26"/>
      <w:szCs w:val="26"/>
    </w:rPr>
  </w:style>
  <w:style w:type="paragraph" w:styleId="Heading1">
    <w:name w:val="Heading 1"/>
    <w:basedOn w:val="Normal"/>
    <w:next w:val="Normal"/>
    <w:qFormat/>
    <w:pPr>
      <w:spacing w:after="160" w:before="360"/>
      <w:outlineLvl w:val="0"/>
    </w:pPr>
    <w:rPr>
      <w:rFonts w:ascii="Calibri" w:cs="Calibri" w:eastAsia="Calibri" w:hAnsi="Calibri"/>
      <w:b/>
      <w:bCs/>
      <w:color w:val="2A1B6B"/>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5B3DF5"/>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D2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2026-08-26T13:47:51.668Z</dcterms:created>
  <dcterms:modified xsi:type="dcterms:W3CDTF">2026-08-26T13:47:51.668Z</dcterms:modified>
</cp:coreProperties>
</file>

<file path=docProps/custom.xml><?xml version="1.0" encoding="utf-8"?>
<Properties xmlns="http://schemas.openxmlformats.org/officeDocument/2006/custom-properties" xmlns:vt="http://schemas.openxmlformats.org/officeDocument/2006/docPropsVTypes"/>
</file>