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eba3a948b49ce3d9f7b1859afebea276519f090"/>
    <w:p>
      <w:pPr>
        <w:pStyle w:val="Heading1"/>
      </w:pPr>
      <w:r>
        <w:t xml:space="preserve">Declared and undone: an open tool for finding work that researchers report leaving unfinished, and a test of whether the named obstacles can be lifted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Eirik Botten Nicolaysen, EcoDeco AS, Lillehammer, Norway. ORCID 0009-0001-9188-6788.</w:t>
      </w:r>
      <w:r>
        <w:t xml:space="preserve"> </w:t>
      </w:r>
      <w:r>
        <w:rPr>
          <w:b/>
          <w:bCs/>
        </w:rPr>
        <w:t xml:space="preserve">Code and materials:</w:t>
      </w:r>
      <w:r>
        <w:t xml:space="preserve"> </w:t>
      </w:r>
      <w:hyperlink r:id="rId9">
        <w:r>
          <w:rPr>
            <w:rStyle w:val="Hyperlink"/>
          </w:rPr>
          <w:t xml:space="preserve">https://github.com/avalyset/gjenopptak</w:t>
        </w:r>
      </w:hyperlink>
      <w:r>
        <w:t xml:space="preserve"> </w:t>
      </w:r>
      <w:r>
        <w:t xml:space="preserve">· concept DOI 10.5281/zenodo.22959326</w:t>
      </w:r>
      <w:r>
        <w:t xml:space="preserve"> </w:t>
      </w:r>
      <w:r>
        <w:t xml:space="preserve">(cite the concept DOI); version 0.4.0: 10.5281/zenodo.23073893. Protocol PREREG-v1 locked internally</w:t>
      </w:r>
      <w:r>
        <w:t xml:space="preserve"> </w:t>
      </w:r>
      <w:r>
        <w:t xml:space="preserve">12 September 2026 (sha256</w:t>
      </w:r>
      <w:r>
        <w:t xml:space="preserve"> </w:t>
      </w:r>
      <w:r>
        <w:rPr>
          <w:rStyle w:val="VerbatimChar"/>
        </w:rPr>
        <w:t xml:space="preserve">05988b23…</w:t>
      </w:r>
      <w:r>
        <w:t xml:space="preserve">); see §6 on timestamping.</w:t>
      </w:r>
      <w:r>
        <w:t xml:space="preserve"> </w:t>
      </w:r>
      <w:r>
        <w:rPr>
          <w:b/>
          <w:bCs/>
        </w:rPr>
        <w:t xml:space="preserve">Corresponding author:</w:t>
      </w:r>
      <w:r>
        <w:t xml:space="preserve"> </w:t>
      </w:r>
      <w:r>
        <w:t xml:space="preserve">Eirik Botten Nicolaysen, EcoDeco AS, Lillehammer, Norway; e-mail: [entered at submission].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metascience; preregistration; research limitations; self-admitted technical debt; open access; text classification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Researchers routinely write down work they did not do and name the obstacle: data that were never</w:t>
      </w:r>
      <w:r>
        <w:t xml:space="preserve"> </w:t>
      </w:r>
      <w:r>
        <w:t xml:space="preserve">collected, a manuscript they could not collate, a model that would not accept a measured parameter. We</w:t>
      </w:r>
      <w:r>
        <w:t xml:space="preserve"> </w:t>
      </w:r>
      <w:r>
        <w:t xml:space="preserve">ask whether such passages can be found systematically in published text, what kinds of obstacle they</w:t>
      </w:r>
      <w:r>
        <w:t xml:space="preserve"> </w:t>
      </w:r>
      <w:r>
        <w:t xml:space="preserve">name, and whether any of those obstacles can be lifted today. We preregistered a protocol, drew 100</w:t>
      </w:r>
      <w:r>
        <w:t xml:space="preserve"> </w:t>
      </w:r>
      <w:r>
        <w:t xml:space="preserve">open-access works (2015–2020) from four purposively chosen fields, split them into 22 243 passages,</w:t>
      </w:r>
      <w:r>
        <w:t xml:space="preserve"> </w:t>
      </w:r>
      <w:r>
        <w:t xml:space="preserve">and built an open pipeline: a local sieve (a 9B-parameter judge and a per-document extractor, taken in</w:t>
      </w:r>
      <w:r>
        <w:t xml:space="preserve"> </w:t>
      </w:r>
      <w:r>
        <w:t xml:space="preserve">union), an agentic frontier-model reader, and a register. A blind reading of 320 passages by a second</w:t>
      </w:r>
      <w:r>
        <w:t xml:space="preserve"> </w:t>
      </w:r>
      <w:r>
        <w:t xml:space="preserve">coder gave κ = 0.812 [0.697–0.906] on the hit decision; a third coding by a model of a different family</w:t>
      </w:r>
      <w:r>
        <w:t xml:space="preserve"> </w:t>
      </w:r>
      <w:r>
        <w:t xml:space="preserve">gave κ = 0.899 [0.808–0.969] against the second coder. Among candidate rows, roughly two thirds name</w:t>
      </w:r>
      <w:r>
        <w:t xml:space="preserve"> </w:t>
      </w:r>
      <w:r>
        <w:t xml:space="preserve">an obstacle the protocol classes as not liftable by current tools: the data never existed (H7 = 289</w:t>
      </w:r>
      <w:r>
        <w:t xml:space="preserve"> </w:t>
      </w:r>
      <w:r>
        <w:t xml:space="preserve">of 432 candidate rows, 66.9 % [62.3–71.2]); liftability is a dated assessment. The pipeline produced a candidate list of 432 rows from 60 works</w:t>
      </w:r>
      <w:r>
        <w:t xml:space="preserve"> </w:t>
      </w:r>
      <w:r>
        <w:t xml:space="preserve">that a separate blind reading agreed with in 85 of 100 sampled rows [76.7–90.7]; a preregistered gate</w:t>
      </w:r>
      <w:r>
        <w:t xml:space="preserve"> </w:t>
      </w:r>
      <w:r>
        <w:t xml:space="preserve">on 27 known hits was not met (21 of 27 against a threshold of 22) and that list is therefore a</w:t>
      </w:r>
      <w:r>
        <w:t xml:space="preserve"> </w:t>
      </w:r>
      <w:r>
        <w:t xml:space="preserve">candidate list. A second run on 100 new archaeology works, with the chain as locked before the draw</w:t>
      </w:r>
      <w:r>
        <w:t xml:space="preserve"> </w:t>
      </w:r>
      <w:r>
        <w:t xml:space="preserve">and both gates fixed before anything was read, met its precision gate (85 of 100 [76.7–90.7] against 0.70) and gave</w:t>
      </w:r>
      <w:r>
        <w:t xml:space="preserve"> </w:t>
      </w:r>
      <w:r>
        <w:t xml:space="preserve">the first measured recall: the sieve retained 95 of 104 hits found by reading 20 of the works</w:t>
      </w:r>
      <w:r>
        <w:t xml:space="preserve"> </w:t>
      </w:r>
      <w:r>
        <w:t xml:space="preserve">cover-to-cover before the run (91.3 % [84.4–95.4]), and the reader confirmed 85 of the 104 (81.7 %</w:t>
      </w:r>
      <w:r>
        <w:t xml:space="preserve"> </w:t>
      </w:r>
      <w:r>
        <w:t xml:space="preserve">[73.2–88.0]); that list is a worklist under a prospective gate. We then attempted to reopen six candidates: reproduce the source’s</w:t>
      </w:r>
      <w:r>
        <w:t xml:space="preserve"> </w:t>
      </w:r>
      <w:r>
        <w:t xml:space="preserve">own numbers first, then execute the undone step against a criterion fixed in advance. Three cases</w:t>
      </w:r>
      <w:r>
        <w:t xml:space="preserve"> </w:t>
      </w:r>
      <w:r>
        <w:t xml:space="preserve">reached a locked criterion; three stopped earlier because the input needed was not available to us:</w:t>
      </w:r>
      <w:r>
        <w:t xml:space="preserve"> </w:t>
      </w:r>
      <w:r>
        <w:t xml:space="preserve">interview profiles withheld under consent, model code not found in six checked routes, a scenario</w:t>
      </w:r>
      <w:r>
        <w:t xml:space="preserve"> </w:t>
      </w:r>
      <w:r>
        <w:t xml:space="preserve">set not reported. None of the six obstacles was lifted. Only one case reached a numerical threshold:</w:t>
      </w:r>
      <w:r>
        <w:t xml:space="preserve"> </w:t>
      </w:r>
      <w:r>
        <w:t xml:space="preserve">79 of 90 Greek source passages cited only in translation were resolved to open Greek text</w:t>
      </w:r>
      <w:r>
        <w:t xml:space="preserve"> </w:t>
      </w:r>
      <w:r>
        <w:t xml:space="preserve">(87.8 % [79.4–93.0], threshold 90 %); of the 11 places where the thesis gives its own French</w:t>
      </w:r>
      <w:r>
        <w:t xml:space="preserve"> </w:t>
      </w:r>
      <w:r>
        <w:t xml:space="preserve">rendering, 9 could be read against the original, and two of eight checkable citations point to a</w:t>
      </w:r>
      <w:r>
        <w:t xml:space="preserve"> </w:t>
      </w:r>
      <w:r>
        <w:t xml:space="preserve">different passage than the one cited.</w:t>
      </w:r>
      <w:r>
        <w:t xml:space="preserve"> </w:t>
      </w:r>
      <w:r>
        <w:t xml:space="preserve">On this material, what limits the reopening of declared-undone work is access and consent, not</w:t>
      </w:r>
      <w:r>
        <w:t xml:space="preserve"> </w:t>
      </w:r>
      <w:r>
        <w:t xml:space="preserve">model capability. All coders are language models; no human annotator has read the material, and the</w:t>
      </w:r>
      <w:r>
        <w:t xml:space="preserve"> </w:t>
      </w:r>
      <w:r>
        <w:t xml:space="preserve">reader’s verdicts are dated and not repeatable. We report the tool, the negative result, and the</w:t>
      </w:r>
      <w:r>
        <w:t xml:space="preserve"> </w:t>
      </w:r>
      <w:r>
        <w:t xml:space="preserve">measurement properties of LLM coders as the contribution.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A parked research question is a specific speech act: an author states that a part of the reported</w:t>
      </w:r>
      <w:r>
        <w:t xml:space="preserve"> </w:t>
      </w:r>
      <w:r>
        <w:t xml:space="preserve">work was not done, and gives a reason. The sentence is easy to recognise when quoted —</w:t>
      </w:r>
      <w:r>
        <w:t xml:space="preserve"> </w:t>
      </w:r>
      <w:r>
        <w:t xml:space="preserve">“we were</w:t>
      </w:r>
      <w:r>
        <w:t xml:space="preserve"> </w:t>
      </w:r>
      <w:r>
        <w:t xml:space="preserve">unable to code all data about discharge diagnosis and insurance status”</w:t>
      </w:r>
      <w:r>
        <w:t xml:space="preserve">,</w:t>
      </w:r>
      <w:r>
        <w:t xml:space="preserve"> </w:t>
      </w:r>
      <w:r>
        <w:t xml:space="preserve">“these manuscripts came to</w:t>
      </w:r>
      <w:r>
        <w:t xml:space="preserve"> </w:t>
      </w:r>
      <w:r>
        <w:t xml:space="preserve">my attention too late to be examined and collated”</w:t>
      </w:r>
      <w:r>
        <w:t xml:space="preserve"> </w:t>
      </w:r>
      <w:r>
        <w:t xml:space="preserve">— and hard to find at scale, because it shares no</w:t>
      </w:r>
      <w:r>
        <w:t xml:space="preserve"> </w:t>
      </w:r>
      <w:r>
        <w:t xml:space="preserve">vocabulary and no topic with its neighbours. The class is defined by form, not by subject.</w:t>
      </w:r>
    </w:p>
    <w:p>
      <w:pPr>
        <w:pStyle w:val="BodyText"/>
      </w:pPr>
      <w:r>
        <w:t xml:space="preserve">Three claims are worth testing about this class. First, that it exists in printed text in</w:t>
      </w:r>
      <w:r>
        <w:t xml:space="preserve"> </w:t>
      </w:r>
      <w:r>
        <w:t xml:space="preserve">measurable quantity. Second, that some fraction of the named obstacles have since been removed — by</w:t>
      </w:r>
      <w:r>
        <w:t xml:space="preserve"> </w:t>
      </w:r>
      <w:r>
        <w:t xml:space="preserve">new data, new instruments, or new computational capability, including language models. Third, that</w:t>
      </w:r>
      <w:r>
        <w:t xml:space="preserve"> </w:t>
      </w:r>
      <w:r>
        <w:t xml:space="preserve">the subset can be found systematically rather than by chance.</w:t>
      </w:r>
    </w:p>
    <w:p>
      <w:pPr>
        <w:pStyle w:val="BodyText"/>
      </w:pPr>
      <w:r>
        <w:t xml:space="preserve">The study reported here was preregistered (PREREG-v1, 12 September 2026) with a nine-class typology</w:t>
      </w:r>
      <w:r>
        <w:t xml:space="preserve"> </w:t>
      </w:r>
      <w:r>
        <w:t xml:space="preserve">of obstacles fixed before any article was read: human reading or coding at scale (H1), legibility of</w:t>
      </w:r>
      <w:r>
        <w:t xml:space="preserve"> </w:t>
      </w:r>
      <w:r>
        <w:t xml:space="preserve">a damaged or handwritten source (H2), a language barrier (H3), pattern detection in images or signals</w:t>
      </w:r>
      <w:r>
        <w:t xml:space="preserve"> </w:t>
      </w:r>
      <w:r>
        <w:t xml:space="preserve">at volume (H4), simulation and compute (H5), structural inference from sequence (H6), data that did</w:t>
      </w:r>
      <w:r>
        <w:t xml:space="preserve"> </w:t>
      </w:r>
      <w:r>
        <w:t xml:space="preserve">not exist (H7), access, law, ethics and consent (H8), and a missing concept or theory (H9). Three</w:t>
      </w:r>
      <w:r>
        <w:t xml:space="preserve"> </w:t>
      </w:r>
      <w:r>
        <w:t xml:space="preserve">non-hit forms that resemble hits are counted separately: a question answered in the same article</w:t>
      </w:r>
      <w:r>
        <w:t xml:space="preserve"> </w:t>
      </w:r>
      <w:r>
        <w:t xml:space="preserve">(N1), a novelty claim (N2), and a scope choice with no named obstacle (N3). Liftability by current</w:t>
      </w:r>
      <w:r>
        <w:t xml:space="preserve"> </w:t>
      </w:r>
      <w:r>
        <w:t xml:space="preserve">tools was assigned per class in the protocol, before data, and is never derived from a model.</w:t>
      </w:r>
    </w:p>
    <w:p>
      <w:pPr>
        <w:pStyle w:val="BodyText"/>
      </w:pPr>
      <w:r>
        <w:t xml:space="preserve">We report (i) the class distribution on the 60 of 100 works that yielded candidate rows, (ii) the</w:t>
      </w:r>
      <w:r>
        <w:t xml:space="preserve"> </w:t>
      </w:r>
      <w:r>
        <w:t xml:space="preserve">reliability of language-model coders on this task, (iii) the pipeline and its measured properties,</w:t>
      </w:r>
      <w:r>
        <w:t xml:space="preserve"> </w:t>
      </w:r>
      <w:r>
        <w:t xml:space="preserve">(iv) six reopening attempts, three of them against a criterion locked before computation, and (v)</w:t>
      </w:r>
      <w:r>
        <w:t xml:space="preserve"> </w:t>
      </w:r>
      <w:r>
        <w:t xml:space="preserve">what the results say about the second claim. The third claim — that the subset can be found</w:t>
      </w:r>
      <w:r>
        <w:t xml:space="preserve"> </w:t>
      </w:r>
      <w:r>
        <w:t xml:space="preserve">systematically — is answered prospectively in §4.7.</w:t>
      </w:r>
    </w:p>
    <w:p>
      <w:r>
        <w:pict>
          <v:rect style="width:0;height:1.5pt" o:hralign="center" o:hrstd="t" o:hr="t"/>
        </w:pict>
      </w:r>
    </w:p>
    <w:bookmarkEnd w:id="11"/>
    <w:bookmarkStart w:id="16" w:name="materials"/>
    <w:p>
      <w:pPr>
        <w:pStyle w:val="Heading2"/>
      </w:pPr>
      <w:r>
        <w:t xml:space="preserve">2 Materials</w:t>
      </w:r>
    </w:p>
    <w:bookmarkStart w:id="12" w:name="frame-and-sample"/>
    <w:p>
      <w:pPr>
        <w:pStyle w:val="Heading3"/>
      </w:pPr>
      <w:r>
        <w:t xml:space="preserve">2.1 Frame and sample</w:t>
      </w:r>
    </w:p>
    <w:p>
      <w:pPr>
        <w:pStyle w:val="FirstParagraph"/>
      </w:pPr>
      <w:r>
        <w:t xml:space="preserve">The frame is OpenAlex, publication years 2015–2020, open access with retrievable full text, in four</w:t>
      </w:r>
      <w:r>
        <w:t xml:space="preserve"> </w:t>
      </w:r>
      <w:r>
        <w:t xml:space="preserve">fields chosen to span the natural sciences and the humanities: energy modelling, archaeology,</w:t>
      </w:r>
      <w:r>
        <w:t xml:space="preserve"> </w:t>
      </w:r>
      <w:r>
        <w:t xml:space="preserve">clinical epidemiology, and historical textual scholarship. Twenty-five works were drawn per field</w:t>
      </w:r>
      <w:r>
        <w:t xml:space="preserve"> </w:t>
      </w:r>
      <w:r>
        <w:t xml:space="preserve">(100 in total), by sequential draw in seed order (ADDENDUM-09). The retrievability requirement makes</w:t>
      </w:r>
      <w:r>
        <w:t xml:space="preserve"> </w:t>
      </w:r>
      <w:r>
        <w:t xml:space="preserve">the frame skewed by delivery format rather than by business model: publishers that block download</w:t>
      </w:r>
      <w:r>
        <w:t xml:space="preserve"> </w:t>
      </w:r>
      <w:r>
        <w:t xml:space="preserve">fall almost entirely out of the frame regardless of their access model (ADDENDUM-08; the per-format</w:t>
      </w:r>
      <w:r>
        <w:t xml:space="preserve"> </w:t>
      </w:r>
      <w:r>
        <w:t xml:space="preserve">retrievability shares are reported in ADDENDUM-03 and are not restated here).</w:t>
      </w:r>
    </w:p>
    <w:bookmarkEnd w:id="12"/>
    <w:bookmarkStart w:id="13" w:name="unit-of-observation"/>
    <w:p>
      <w:pPr>
        <w:pStyle w:val="Heading3"/>
      </w:pPr>
      <w:r>
        <w:t xml:space="preserve">2.2 Unit of observation</w:t>
      </w:r>
    </w:p>
    <w:p>
      <w:pPr>
        <w:pStyle w:val="FirstParagraph"/>
      </w:pPr>
      <w:r>
        <w:t xml:space="preserve">The unit is the passage: a candidate sentence with two sentences of context on each side</w:t>
      </w:r>
      <w:r>
        <w:t xml:space="preserve"> </w:t>
      </w:r>
      <w:r>
        <w:t xml:space="preserve">(ADDENDUM-03); the stride of three sentences between passages is a property of the pipeline code,</w:t>
      </w:r>
      <w:r>
        <w:t xml:space="preserve"> </w:t>
      </w:r>
      <w:r>
        <w:t xml:space="preserve">in place from 16 September 2026</w:t>
      </w:r>
      <w:r>
        <w:t xml:space="preserve"> </w:t>
      </w:r>
      <w:r>
        <w:rPr>
          <w:i/>
          <w:iCs/>
        </w:rPr>
        <w:t xml:space="preserve">(source: repository history)</w:t>
      </w:r>
      <w:r>
        <w:t xml:space="preserve">, not of the protocol. A hit requires that the undone and the obstacle both lie inside the</w:t>
      </w:r>
      <w:r>
        <w:t xml:space="preserve"> </w:t>
      </w:r>
      <w:r>
        <w:t xml:space="preserve">passage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are linked — the obstacle must be given as the reason, not merely be nearby — and that</w:t>
      </w:r>
      <w:r>
        <w:t xml:space="preserve"> </w:t>
      </w:r>
      <w:r>
        <w:t xml:space="preserve">the undone belongs to the work the article reports (ADDENDUM-04). The 100 works yield</w:t>
      </w:r>
      <w:r>
        <w:t xml:space="preserve"> </w:t>
      </w:r>
      <w:r>
        <w:rPr>
          <w:b/>
          <w:bCs/>
        </w:rPr>
        <w:t xml:space="preserve">22 243</w:t>
      </w:r>
      <w:r>
        <w:rPr>
          <w:b/>
          <w:bCs/>
        </w:rPr>
        <w:t xml:space="preserve"> </w:t>
      </w:r>
      <w:r>
        <w:rPr>
          <w:b/>
          <w:bCs/>
        </w:rPr>
        <w:t xml:space="preserve">passages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data/port/spesifikasjon.json</w:t>
      </w:r>
      <w:r>
        <w:t xml:space="preserve">).</w:t>
      </w:r>
    </w:p>
    <w:bookmarkEnd w:id="13"/>
    <w:bookmarkStart w:id="14" w:name="reference-readings-and-the-known-hits"/>
    <w:p>
      <w:pPr>
        <w:pStyle w:val="Heading3"/>
      </w:pPr>
      <w:r>
        <w:t xml:space="preserve">2.3 Reference readings and the</w:t>
      </w:r>
      <w:r>
        <w:t xml:space="preserve"> </w:t>
      </w:r>
      <w:r>
        <w:t xml:space="preserve">“known hits”</w:t>
      </w:r>
    </w:p>
    <w:p>
      <w:pPr>
        <w:pStyle w:val="FirstParagraph"/>
      </w:pPr>
      <w:r>
        <w:t xml:space="preserve">Three numbers are easy to confuse and are kept apart throughout.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25</w:t>
      </w:r>
      <w:r>
        <w:t xml:space="preserve"> </w:t>
      </w:r>
      <w:r>
        <w:t xml:space="preserve">true hits were found by a blind reading of 320 passages, among the</w:t>
      </w:r>
      <w:r>
        <w:t xml:space="preserve"> </w:t>
      </w:r>
      <w:r>
        <w:rPr>
          <w:b/>
          <w:bCs/>
        </w:rPr>
        <w:t xml:space="preserve">150 judge-flagged</w:t>
      </w:r>
      <w:r>
        <w:t xml:space="preserve"> </w:t>
      </w:r>
      <w:r>
        <w:t xml:space="preserve">passages that were read. This is the reference set for recall loss</w:t>
      </w:r>
      <w:r>
        <w:t xml:space="preserve"> </w:t>
      </w:r>
      <w:r>
        <w:rPr>
          <w:i/>
          <w:iCs/>
        </w:rPr>
        <w:t xml:space="preserve">relative to the judge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27</w:t>
      </w:r>
      <w:r>
        <w:t xml:space="preserve"> </w:t>
      </w:r>
      <w:r>
        <w:t xml:space="preserve">known hits in the port material: the 25 plus two (PS-257, PS-300) that the extractor found</w:t>
      </w:r>
      <w:r>
        <w:t xml:space="preserve"> </w:t>
      </w:r>
      <w:r>
        <w:t xml:space="preserve">and the judge did not. This is the denominator of the preregistered gate (§4.4).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</w:t>
      </w:r>
      <w:r>
        <w:t xml:space="preserve"> </w:t>
      </w:r>
      <w:r>
        <w:t xml:space="preserve">rows in register v1, the first coder’s confirmed hits.</w:t>
      </w:r>
    </w:p>
    <w:p>
      <w:pPr>
        <w:pStyle w:val="FirstParagraph"/>
      </w:pPr>
      <w:r>
        <w:t xml:space="preserve">The 320 also carried two true hits among non-flagged strata (the judge’s own misses, measured</w:t>
      </w:r>
      <w:r>
        <w:t xml:space="preserve"> </w:t>
      </w:r>
      <w:r>
        <w:t xml:space="preserve">separately) and 20 anchor passages with known status from earlier recall sets (12 hits, 8 non-hits;</w:t>
      </w:r>
      <w:r>
        <w:t xml:space="preserve"> </w:t>
      </w:r>
      <w:r>
        <w:rPr>
          <w:i/>
          <w:iCs/>
        </w:rPr>
        <w:t xml:space="preserve">source: METODE §2</w:t>
      </w:r>
      <w:r>
        <w:t xml:space="preserve">), which belong to the seed material and are excluded from recall measurements.</w:t>
      </w:r>
    </w:p>
    <w:p>
      <w:pPr>
        <w:pStyle w:val="BodyText"/>
      </w:pPr>
      <w:r>
        <w:t xml:space="preserve">What this reference set can measure is recall loss for a new method relative to the judge, comparably</w:t>
      </w:r>
      <w:r>
        <w:t xml:space="preserve"> </w:t>
      </w:r>
      <w:r>
        <w:t xml:space="preserve">between methods because the 25 are the same. What it cannot measure is (a) precision of a new method</w:t>
      </w:r>
      <w:r>
        <w:t xml:space="preserve"> </w:t>
      </w:r>
      <w:r>
        <w:t xml:space="preserve">— the 25 were found among the judge’s flags and are not a random sample; (b) absolute recall — both</w:t>
      </w:r>
      <w:r>
        <w:t xml:space="preserve"> </w:t>
      </w:r>
      <w:r>
        <w:t xml:space="preserve">numerator and denominator are judge-conditioned; (c) prevalence. Wherever we write</w:t>
      </w:r>
      <w:r>
        <w:t xml:space="preserve"> </w:t>
      </w:r>
      <w:r>
        <w:t xml:space="preserve">“21 of 25”</w:t>
      </w:r>
      <w:r>
        <w:t xml:space="preserve"> </w:t>
      </w:r>
      <w:r>
        <w:t xml:space="preserve">it</w:t>
      </w:r>
      <w:r>
        <w:t xml:space="preserve"> </w:t>
      </w:r>
      <w:r>
        <w:t xml:space="preserve">means 21 of the 25 the judge found and we confirmed, not 21 of all hits in the material.</w:t>
      </w:r>
    </w:p>
    <w:bookmarkEnd w:id="14"/>
    <w:bookmarkStart w:id="15" w:name="coders"/>
    <w:p>
      <w:pPr>
        <w:pStyle w:val="Heading3"/>
      </w:pPr>
      <w:r>
        <w:t xml:space="preserve">2.4 Coders</w:t>
      </w:r>
    </w:p>
    <w:p>
      <w:pPr>
        <w:pStyle w:val="FirstParagraph"/>
      </w:pPr>
      <w:r>
        <w:t xml:space="preserve">All coders in this study are language models.</w:t>
      </w:r>
      <w:r>
        <w:t xml:space="preserve"> </w:t>
      </w:r>
      <w:r>
        <w:rPr>
          <w:b/>
          <w:bCs/>
        </w:rPr>
        <w:t xml:space="preserve">Coder 1</w:t>
      </w:r>
      <w:r>
        <w:t xml:space="preserve"> </w:t>
      </w:r>
      <w:r>
        <w:t xml:space="preserve">produced the reference readings.</w:t>
      </w:r>
      <w:r>
        <w:t xml:space="preserve"> </w:t>
      </w:r>
      <w:r>
        <w:rPr>
          <w:b/>
          <w:bCs/>
        </w:rPr>
        <w:t xml:space="preserve">Coder 2</w:t>
      </w:r>
      <w:r>
        <w:t xml:space="preserve"> </w:t>
      </w:r>
      <w:r>
        <w:t xml:space="preserve">was an agentic Claude Code instance on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given a rule file assembled verbatim from six</w:t>
      </w:r>
      <w:r>
        <w:t xml:space="preserve"> </w:t>
      </w:r>
      <w:r>
        <w:t xml:space="preserve">protocol sections (9 805 bytes, sha256</w:t>
      </w:r>
      <w:r>
        <w:t xml:space="preserve"> </w:t>
      </w:r>
      <w:r>
        <w:rPr>
          <w:rStyle w:val="VerbatimChar"/>
        </w:rPr>
        <w:t xml:space="preserve">234695dd…</w:t>
      </w:r>
      <w:r>
        <w:t xml:space="preserve">) and a blind file of 320 passages with only an</w:t>
      </w:r>
      <w:r>
        <w:t xml:space="preserve"> </w:t>
      </w:r>
      <w:r>
        <w:t xml:space="preserve">identifier and the text, in a shuffled order, with an explicit block list. The rule file was not</w:t>
      </w:r>
      <w:r>
        <w:t xml:space="preserve"> </w:t>
      </w:r>
      <w:r>
        <w:t xml:space="preserve">versioned at the time and was recovered from the session transcript on 27 September; its identity was</w:t>
      </w:r>
      <w:r>
        <w:t xml:space="preserve"> </w:t>
      </w:r>
      <w:r>
        <w:t xml:space="preserve">established by three independent checks</w:t>
      </w:r>
      <w:r>
        <w:t xml:space="preserve"> </w:t>
      </w:r>
      <w:r>
        <w:rPr>
          <w:i/>
          <w:iCs/>
        </w:rPr>
        <w:t xml:space="preserve">(source: ADDENDUM-11 §8)</w:t>
      </w:r>
      <w:r>
        <w:t xml:space="preserve"> </w:t>
      </w:r>
      <w:r>
        <w:t xml:space="preserve">and it was deposited</w:t>
      </w:r>
      <w:r>
        <w:t xml:space="preserve"> </w:t>
      </w:r>
      <w:r>
        <w:t xml:space="preserve">with v0.4.0, published on 1 October 2026 (version DOI 10.5281/zenodo.23073893).</w:t>
      </w:r>
      <w:r>
        <w:t xml:space="preserve"> </w:t>
      </w:r>
      <w:r>
        <w:rPr>
          <w:b/>
          <w:bCs/>
        </w:rPr>
        <w:t xml:space="preserve">Coder 4</w:t>
      </w:r>
      <w:r>
        <w:t xml:space="preserve"> </w:t>
      </w:r>
      <w:r>
        <w:t xml:space="preserve">(28 September) is Fable 5.1 in a chat interface — a different model family; no model identifier</w:t>
      </w:r>
      <w:r>
        <w:t xml:space="preserve"> </w:t>
      </w:r>
      <w:r>
        <w:t xml:space="preserve">beyond the product name was recorded — reading the same 320 passages with the same rule file in the</w:t>
      </w:r>
      <w:r>
        <w:t xml:space="preserve"> </w:t>
      </w:r>
      <w:r>
        <w:t xml:space="preserve">same order. Seven of the 320 rows were not coded blind</w:t>
      </w:r>
      <w:r>
        <w:t xml:space="preserve"> </w:t>
      </w:r>
      <w:r>
        <w:rPr>
          <w:i/>
          <w:iCs/>
        </w:rPr>
        <w:t xml:space="preserve">(source: METODE, coder-4 note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koder4/eksponerte-rader.json</w:t>
      </w:r>
      <w:r>
        <w:rPr>
          <w:i/>
          <w:iCs/>
        </w:rPr>
        <w:t xml:space="preserve">)</w:t>
      </w:r>
      <w:r>
        <w:t xml:space="preserve">: one had been seen verbatim with the reader’s class label the day</w:t>
      </w:r>
      <w:r>
        <w:t xml:space="preserve"> </w:t>
      </w:r>
      <w:r>
        <w:t xml:space="preserve">before, four shared two sentences with a labelled passage, and two were known to coder 4 by</w:t>
      </w:r>
      <w:r>
        <w:t xml:space="preserve"> </w:t>
      </w:r>
      <w:r>
        <w:t xml:space="preserve">identifier from the project’s own documents; the sensitivity is reported in §4.2.</w:t>
      </w:r>
    </w:p>
    <w:p>
      <w:pPr>
        <w:pStyle w:val="BodyText"/>
      </w:pPr>
      <w:r>
        <w:t xml:space="preserve">No human annotator has read the material.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methods"/>
    <w:p>
      <w:pPr>
        <w:pStyle w:val="Heading2"/>
      </w:pPr>
      <w:r>
        <w:t xml:space="preserve">3 Methods</w:t>
      </w:r>
    </w:p>
    <w:bookmarkStart w:id="17" w:name="preregistration-and-locks"/>
    <w:p>
      <w:pPr>
        <w:pStyle w:val="Heading3"/>
      </w:pPr>
      <w:r>
        <w:t xml:space="preserve">3.1 Preregistration and locks</w:t>
      </w:r>
    </w:p>
    <w:p>
      <w:pPr>
        <w:pStyle w:val="FirstParagraph"/>
      </w:pPr>
      <w:r>
        <w:t xml:space="preserve">The protocol was locked internally on 12 September 2026 with a sha256 as its first commit. It was</w:t>
      </w:r>
      <w:r>
        <w:t xml:space="preserve"> </w:t>
      </w:r>
      <w:r>
        <w:t xml:space="preserve">corrected through numbered addenda, locked as separate commits; from ADDENDUM-05 onward each lock</w:t>
      </w:r>
      <w:r>
        <w:t xml:space="preserve"> </w:t>
      </w:r>
      <w:r>
        <w:t xml:space="preserve">triggers an archived bundle of the full git history (the protocol and ADDENDUM-01 to -04 predate the</w:t>
      </w:r>
      <w:r>
        <w:t xml:space="preserve"> </w:t>
      </w:r>
      <w:r>
        <w:t xml:space="preserve">bundle mechanism; one lock commit,</w:t>
      </w:r>
      <w:r>
        <w:t xml:space="preserve"> </w:t>
      </w:r>
      <w:r>
        <w:rPr>
          <w:rStyle w:val="VerbatimChar"/>
        </w:rPr>
        <w:t xml:space="preserve">e92620b</w:t>
      </w:r>
      <w:r>
        <w:t xml:space="preserve">, carries two files;</w:t>
      </w:r>
      <w:r>
        <w:t xml:space="preserve"> </w:t>
      </w:r>
      <w:r>
        <w:rPr>
          <w:i/>
          <w:iCs/>
        </w:rPr>
        <w:t xml:space="preserve">source: repository history and</w:t>
      </w:r>
      <w:r>
        <w:rPr>
          <w:i/>
          <w:iCs/>
        </w:rPr>
        <w:t xml:space="preserve"> </w:t>
      </w:r>
      <w:r>
        <w:rPr>
          <w:i/>
          <w:iCs/>
        </w:rPr>
        <w:t xml:space="preserve">the bundle directory listing</w:t>
      </w:r>
      <w:r>
        <w:t xml:space="preserve">). Three rule clarifications were written after data (ADDENDUM-10) and</w:t>
      </w:r>
      <w:r>
        <w:t xml:space="preserve"> </w:t>
      </w:r>
      <w:r>
        <w:t xml:space="preserve">moved one of 48 doubtful cases. The protocol was not timestamped by a third party before data were</w:t>
      </w:r>
      <w:r>
        <w:t xml:space="preserve"> </w:t>
      </w:r>
      <w:r>
        <w:t xml:space="preserve">read. The first third-party guarantee of any lock is the Zenodo deposit of 25 September 2026</w:t>
      </w:r>
      <w:r>
        <w:t xml:space="preserve"> </w:t>
      </w:r>
      <w:r>
        <w:rPr>
          <w:i/>
          <w:iCs/>
        </w:rPr>
        <w:t xml:space="preserve">(source: ZENODO.md)</w:t>
      </w:r>
      <w:r>
        <w:t xml:space="preserve">; OpenTimestamps attestations obtained on 28 September 2026</w:t>
      </w:r>
      <w:r>
        <w:t xml:space="preserve"> </w:t>
      </w:r>
      <w:r>
        <w:rPr>
          <w:i/>
          <w:iCs/>
        </w:rPr>
        <w:t xml:space="preserve">(source:</w:t>
      </w:r>
      <w:r>
        <w:rPr>
          <w:i/>
          <w:iCs/>
        </w:rPr>
        <w:t xml:space="preserve"> </w:t>
      </w:r>
      <w:r>
        <w:rPr>
          <w:i/>
          <w:iCs/>
        </w:rPr>
        <w:t xml:space="preserve">TIDSSTEMPEL.md)</w:t>
      </w:r>
      <w:r>
        <w:t xml:space="preserve"> </w:t>
      </w:r>
      <w:r>
        <w:t xml:space="preserve">prove that the bundles existed by that date, not earlier, and were deposited</w:t>
      </w:r>
      <w:r>
        <w:t xml:space="preserve"> </w:t>
      </w:r>
      <w:r>
        <w:t xml:space="preserve">with v0.4.0, published on 1 October 2026 (version DOI 10.5281/zenodo.23073893).</w:t>
      </w:r>
    </w:p>
    <w:bookmarkEnd w:id="17"/>
    <w:bookmarkStart w:id="18" w:name="the-pipeline"/>
    <w:p>
      <w:pPr>
        <w:pStyle w:val="Heading3"/>
      </w:pPr>
      <w:r>
        <w:t xml:space="preserve">3.2 The pipeline</w:t>
      </w:r>
    </w:p>
    <w:p>
      <w:pPr>
        <w:pStyle w:val="FirstParagraph"/>
      </w:pPr>
      <w:r>
        <w:t xml:space="preserve">The tool runs as one command in ten steps: retrieve → passages → judge → extract → union → blind</w:t>
      </w:r>
      <w:r>
        <w:t xml:space="preserve"> </w:t>
      </w:r>
      <w:r>
        <w:t xml:space="preserve">files and reader assignment → read → work-level assessment → citation falsification → register</w:t>
      </w:r>
      <w:r>
        <w:t xml:space="preserve"> </w:t>
      </w:r>
      <w:r>
        <w:t xml:space="preserve">(ADR-0012, ADR-0014).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Judge.</w:t>
      </w:r>
      <w:r>
        <w:t xml:space="preserve"> </w:t>
      </w:r>
      <w:r>
        <w:rPr>
          <w:rStyle w:val="VerbatimChar"/>
        </w:rPr>
        <w:t xml:space="preserve">gemma2:9b</w:t>
      </w:r>
      <w:r>
        <w:t xml:space="preserve">, temperature 0, seed 734248,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 </w:t>
      </w:r>
      <w:r>
        <w:t xml:space="preserve">8192, one call per passage, output</w:t>
      </w:r>
      <w:r>
        <w:t xml:space="preserve"> </w:t>
      </w:r>
      <w:r>
        <w:t xml:space="preserve">constrained to the typology, a signature per verdict. It flagged</w:t>
      </w:r>
      <w:r>
        <w:t xml:space="preserve"> </w:t>
      </w:r>
      <w:r>
        <w:rPr>
          <w:b/>
          <w:bCs/>
        </w:rPr>
        <w:t xml:space="preserve">2 173</w:t>
      </w:r>
      <w:r>
        <w:t xml:space="preserve"> </w:t>
      </w:r>
      <w:r>
        <w:t xml:space="preserve">of 22 243 passages.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Extractor.</w:t>
      </w:r>
      <w:r>
        <w:t xml:space="preserve"> </w:t>
      </w:r>
      <w:r>
        <w:t xml:space="preserve">The same model reads each document in windows of about 3 000 tokens</w:t>
      </w:r>
      <w:r>
        <w:t xml:space="preserve"> </w:t>
      </w:r>
      <w:r>
        <w:rPr>
          <w:i/>
          <w:iCs/>
        </w:rPr>
        <w:t xml:space="preserve">(source:</w:t>
      </w:r>
      <w:r>
        <w:rPr>
          <w:i/>
          <w:iCs/>
        </w:rPr>
        <w:t xml:space="preserve"> </w:t>
      </w:r>
      <w:r>
        <w:rPr>
          <w:i/>
          <w:iCs/>
        </w:rPr>
        <w:t xml:space="preserve">ADDENDUM-16)</w:t>
      </w:r>
      <w:r>
        <w:t xml:space="preserve"> </w:t>
      </w:r>
      <w:r>
        <w:t xml:space="preserve">and quotes sentences in</w:t>
      </w:r>
      <w:r>
        <w:t xml:space="preserve"> </w:t>
      </w:r>
      <w:r>
        <w:t xml:space="preserve">which the authors state their own undone work with a reason.</w:t>
      </w:r>
      <w:r>
        <w:t xml:space="preserve"> </w:t>
      </w:r>
      <w:r>
        <w:rPr>
          <w:b/>
          <w:bCs/>
        </w:rPr>
        <w:t xml:space="preserve">884</w:t>
      </w:r>
      <w:r>
        <w:t xml:space="preserve"> </w:t>
      </w:r>
      <w:r>
        <w:t xml:space="preserve">quoted lines from 598</w:t>
      </w:r>
      <w:r>
        <w:t xml:space="preserve"> </w:t>
      </w:r>
      <w:r>
        <w:t xml:space="preserve">windows, 124 windows returning none.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Union.</w:t>
      </w:r>
      <w:r>
        <w:t xml:space="preserve"> </w:t>
      </w:r>
      <w:r>
        <w:t xml:space="preserve">Flagged passages ∪ passages containing a quoted line, with an all-hits join between</w:t>
      </w:r>
      <w:r>
        <w:t xml:space="preserve"> </w:t>
      </w:r>
      <w:r>
        <w:t xml:space="preserve">quotes and overlapping windows:</w:t>
      </w:r>
      <w:r>
        <w:t xml:space="preserve"> </w:t>
      </w:r>
      <w:r>
        <w:rPr>
          <w:b/>
          <w:bCs/>
        </w:rPr>
        <w:t xml:space="preserve">2 844</w:t>
      </w:r>
      <w:r>
        <w:t xml:space="preserve"> </w:t>
      </w:r>
      <w:r>
        <w:t xml:space="preserve">candidates, covering</w:t>
      </w:r>
      <w:r>
        <w:t xml:space="preserve"> </w:t>
      </w:r>
      <w:r>
        <w:rPr>
          <w:b/>
          <w:bCs/>
        </w:rPr>
        <w:t xml:space="preserve">27 of 27</w:t>
      </w:r>
      <w:r>
        <w:t xml:space="preserve"> </w:t>
      </w:r>
      <w:r>
        <w:t xml:space="preserve">known hits. The join</w:t>
      </w:r>
      <w:r>
        <w:t xml:space="preserve"> </w:t>
      </w:r>
      <w:r>
        <w:t xml:space="preserve">rule was a correction: a first-hit join gave 2 581 and 26 of 27, because one quote lay in two</w:t>
      </w:r>
      <w:r>
        <w:t xml:space="preserve"> </w:t>
      </w:r>
      <w:r>
        <w:t xml:space="preserve">overlapping windows. On the first 100 works, recall of the sieve beyond the 27 is</w:t>
      </w:r>
      <w:r>
        <w:t xml:space="preserve"> </w:t>
      </w:r>
      <w:r>
        <w:rPr>
          <w:i/>
          <w:iCs/>
        </w:rPr>
        <w:t xml:space="preserve">not measured</w:t>
      </w:r>
      <w:r>
        <w:t xml:space="preserve"> </w:t>
      </w:r>
      <w:r>
        <w:t xml:space="preserve">— the 27 are the sieve’s own output — and the register schema admits only the value</w:t>
      </w:r>
      <w:r>
        <w:t xml:space="preserve"> </w:t>
      </w:r>
      <w:r>
        <w:t xml:space="preserve">“not</w:t>
      </w:r>
      <w:r>
        <w:t xml:space="preserve"> </w:t>
      </w:r>
      <w:r>
        <w:t xml:space="preserve">measured”</w:t>
      </w:r>
      <w:r>
        <w:t xml:space="preserve"> </w:t>
      </w:r>
      <w:r>
        <w:t xml:space="preserve">for it. The first measured recall is reported in §4.7.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Reader.</w:t>
      </w:r>
      <w:r>
        <w:t xml:space="preserve"> </w:t>
      </w:r>
      <w:r>
        <w:t xml:space="preserve">An agentic Opus instance per batch of at most 356 passages</w:t>
      </w:r>
      <w:r>
        <w:t xml:space="preserve"> </w:t>
      </w:r>
      <w:r>
        <w:rPr>
          <w:i/>
          <w:iCs/>
        </w:rPr>
        <w:t xml:space="preserve">(source: ADDENDUM-22)</w:t>
      </w:r>
      <w:r>
        <w:t xml:space="preserve">,</w:t>
      </w:r>
      <w:r>
        <w:t xml:space="preserve"> </w:t>
      </w:r>
      <w:r>
        <w:t xml:space="preserve">with the coder-2 rule file</w:t>
      </w:r>
      <w:r>
        <w:t xml:space="preserve"> </w:t>
      </w:r>
      <w:r>
        <w:t xml:space="preserve">and block list, run serially with its own scratch directory. Reader verdicts are dated and not</w:t>
      </w:r>
      <w:r>
        <w:t xml:space="preserve"> </w:t>
      </w:r>
      <w:r>
        <w:t xml:space="preserve">repeatable: the reader has no seed and is updated by its vendor; each verdict carries a model</w:t>
      </w:r>
      <w:r>
        <w:t xml:space="preserve"> </w:t>
      </w:r>
      <w:r>
        <w:t xml:space="preserve">signature.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Register.</w:t>
      </w:r>
      <w:r>
        <w:t xml:space="preserve"> </w:t>
      </w:r>
      <w:r>
        <w:t xml:space="preserve">One row per hit with class, doubt flag, sieve source and its measured precision,</w:t>
      </w:r>
      <w:r>
        <w:t xml:space="preserve"> </w:t>
      </w:r>
      <w:r>
        <w:t xml:space="preserve">dated liftability from the protocol table, section provenance, and a non-prose flag. The schema</w:t>
      </w:r>
      <w:r>
        <w:t xml:space="preserve"> </w:t>
      </w:r>
      <w:r>
        <w:t xml:space="preserve">reserves fields for the work-level assessment and for citation-falsification coverage; in the</w:t>
      </w:r>
      <w:r>
        <w:t xml:space="preserve"> </w:t>
      </w:r>
      <w:r>
        <w:t xml:space="preserve">candidate list reported here the work-level field is absent and citation coverage is recorded as</w:t>
      </w:r>
      <w:r>
        <w:t xml:space="preserve"> </w:t>
      </w:r>
      <w:r>
        <w:t xml:space="preserve">“not measured”</w:t>
      </w:r>
      <w:r>
        <w:t xml:space="preserve"> </w:t>
      </w:r>
      <w:r>
        <w:t xml:space="preserve">on all rows. The header carries the gate the list has passed and a naming policy:</w:t>
      </w:r>
      <w:r>
        <w:t xml:space="preserve"> </w:t>
      </w:r>
      <w:r>
        <w:t xml:space="preserve">evaluative statements address the work, not the person.</w:t>
      </w:r>
    </w:p>
    <w:bookmarkEnd w:id="18"/>
    <w:bookmarkStart w:id="19" w:name="reliability"/>
    <w:p>
      <w:pPr>
        <w:pStyle w:val="Heading3"/>
      </w:pPr>
      <w:r>
        <w:t xml:space="preserve">3.3 Reliability</w:t>
      </w:r>
    </w:p>
    <w:p>
      <w:pPr>
        <w:pStyle w:val="FirstParagraph"/>
      </w:pPr>
      <w:r>
        <w:t xml:space="preserve">Cohen’s κ with paired bootstrap, 10 000 replications, seed 734248, on the hit decision over all 320</w:t>
      </w:r>
      <w:r>
        <w:t xml:space="preserve"> </w:t>
      </w:r>
      <w:r>
        <w:t xml:space="preserve">passages and over the 300 non-anchor passages; class κ among passages both coders call hits.</w:t>
      </w:r>
    </w:p>
    <w:bookmarkEnd w:id="19"/>
    <w:bookmarkStart w:id="20" w:name="gates"/>
    <w:p>
      <w:pPr>
        <w:pStyle w:val="Heading3"/>
      </w:pPr>
      <w:r>
        <w:t xml:space="preserve">3.4 Gates</w:t>
      </w:r>
    </w:p>
    <w:p>
      <w:pPr>
        <w:pStyle w:val="FirstParagraph"/>
      </w:pPr>
      <w:r>
        <w:t xml:space="preserve">Two gates were set. The</w:t>
      </w:r>
      <w:r>
        <w:t xml:space="preserve"> </w:t>
      </w:r>
      <w:r>
        <w:rPr>
          <w:b/>
          <w:bCs/>
        </w:rPr>
        <w:t xml:space="preserve">preregistered gate</w:t>
      </w:r>
      <w:r>
        <w:t xml:space="preserve"> </w:t>
      </w:r>
      <w:r>
        <w:t xml:space="preserve">(ADDENDUM-22): a third, independent coder reading the</w:t>
      </w:r>
      <w:r>
        <w:t xml:space="preserve"> </w:t>
      </w:r>
      <w:r>
        <w:t xml:space="preserve">union must confirm at least 22 of the 27 known hits. The</w:t>
      </w:r>
      <w:r>
        <w:t xml:space="preserve"> </w:t>
      </w:r>
      <w:r>
        <w:rPr>
          <w:b/>
          <w:bCs/>
        </w:rPr>
        <w:t xml:space="preserve">post hoc gate</w:t>
      </w:r>
      <w:r>
        <w:t xml:space="preserve"> </w:t>
      </w:r>
      <w:r>
        <w:t xml:space="preserve">(ADDENDUM-23, written after</w:t>
      </w:r>
      <w:r>
        <w:t xml:space="preserve"> </w:t>
      </w:r>
      <w:r>
        <w:t xml:space="preserve">the first fell): 100 random rows the reader called hits (seed 734248) read blind by a separate</w:t>
      </w:r>
      <w:r>
        <w:t xml:space="preserve"> </w:t>
      </w:r>
      <w:r>
        <w:t xml:space="preserve">instance, threshold 70 %. The list is named by the gate it passed.</w:t>
      </w:r>
    </w:p>
    <w:bookmarkEnd w:id="20"/>
    <w:bookmarkStart w:id="21" w:name="reopening-procedure"/>
    <w:p>
      <w:pPr>
        <w:pStyle w:val="Heading3"/>
      </w:pPr>
      <w:r>
        <w:t xml:space="preserve">3.5 Reopening procedure</w:t>
      </w:r>
    </w:p>
    <w:p>
      <w:pPr>
        <w:pStyle w:val="FirstParagraph"/>
      </w:pPr>
      <w:r>
        <w:t xml:space="preserve">“Lifted”</w:t>
      </w:r>
      <w:r>
        <w:t xml:space="preserve"> </w:t>
      </w:r>
      <w:r>
        <w:t xml:space="preserve">had no definition before 28 September 2026. ADR-0013, written after the six cases, gives</w:t>
      </w:r>
      <w:r>
        <w:t xml:space="preserve"> </w:t>
      </w:r>
      <w:r>
        <w:t xml:space="preserve">three conditions and maps the cases onto them retrospectively: (i) the named resource exists in an</w:t>
      </w:r>
      <w:r>
        <w:t xml:space="preserve"> </w:t>
      </w:r>
      <w:r>
        <w:t xml:space="preserve">open source on date D; (ii) the source’s own numbers can be reproduced first; (iii) a criterion</w:t>
      </w:r>
      <w:r>
        <w:t xml:space="preserve"> </w:t>
      </w:r>
      <w:r>
        <w:t xml:space="preserve">locked before computation is met. Three of the six cases (PS-246, SAK-14, SAK-09b) reached condition</w:t>
      </w:r>
      <w:r>
        <w:t xml:space="preserve"> </w:t>
      </w:r>
      <w:r>
        <w:t xml:space="preserve">(iii) and have a criterion file whose sha256 was fixed before computation; the other three were</w:t>
      </w:r>
      <w:r>
        <w:t xml:space="preserve"> </w:t>
      </w:r>
      <w:r>
        <w:t xml:space="preserve">closed at condition (i) or (ii) and never had a criterion locked, because a criterion that cannot be</w:t>
      </w:r>
      <w:r>
        <w:t xml:space="preserve"> </w:t>
      </w:r>
      <w:r>
        <w:t xml:space="preserve">run is not locked. A case that fails to reproduce the source’s own numbers is stopped and recorded;</w:t>
      </w:r>
      <w:r>
        <w:t xml:space="preserve"> </w:t>
      </w:r>
      <w:r>
        <w:t xml:space="preserve">substituting our own data would replace the source’s numbers with ours.</w:t>
      </w:r>
    </w:p>
    <w:p>
      <w:r>
        <w:pict>
          <v:rect style="width:0;height:1.5pt" o:hralign="center" o:hrstd="t" o:hr="t"/>
        </w:pict>
      </w:r>
    </w:p>
    <w:bookmarkEnd w:id="21"/>
    <w:bookmarkStart w:id="22" w:name="use-of-ai-tools"/>
    <w:p>
      <w:pPr>
        <w:pStyle w:val="Heading3"/>
      </w:pPr>
      <w:r>
        <w:t xml:space="preserve">3.6 Use of AI tools</w:t>
      </w:r>
    </w:p>
    <w:p>
      <w:pPr>
        <w:pStyle w:val="FirstParagraph"/>
      </w:pPr>
      <w:r>
        <w:t xml:space="preserve">Language models were used in two roles. As research instruments, they coded passages, extracted</w:t>
      </w:r>
      <w:r>
        <w:t xml:space="preserve"> </w:t>
      </w:r>
      <w:r>
        <w:t xml:space="preserve">candidate sentences, read batches and executed case steps under locked instructions; their roles,</w:t>
      </w:r>
      <w:r>
        <w:t xml:space="preserve"> </w:t>
      </w:r>
      <w:r>
        <w:t xml:space="preserve">model identities and reliability are reported as part of the method (§2.4, §3.2, §4.2–4.3). As</w:t>
      </w:r>
      <w:r>
        <w:t xml:space="preserve"> </w:t>
      </w:r>
      <w:r>
        <w:t xml:space="preserve">writing tools, a large language model (Claude, Anthropic) assisted in drafting and editing the</w:t>
      </w:r>
      <w:r>
        <w:t xml:space="preserve"> </w:t>
      </w:r>
      <w:r>
        <w:t xml:space="preserve">manuscript text under the author’s direction. The author designed the study, wrote the protocol and</w:t>
      </w:r>
      <w:r>
        <w:t xml:space="preserve"> </w:t>
      </w:r>
      <w:r>
        <w:t xml:space="preserve">every criterion, made every decision recorded in the decision records, interpreted the results, and</w:t>
      </w:r>
      <w:r>
        <w:t xml:space="preserve"> </w:t>
      </w:r>
      <w:r>
        <w:t xml:space="preserve">revised and approved the final text. Every number was checked against a hash-anchored fact file, and</w:t>
      </w:r>
      <w:r>
        <w:t xml:space="preserve"> </w:t>
      </w:r>
      <w:r>
        <w:t xml:space="preserve">every reference against Crossref or a verified URL, before submission. The author takes full</w:t>
      </w:r>
      <w:r>
        <w:t xml:space="preserve"> </w:t>
      </w:r>
      <w:r>
        <w:t xml:space="preserve">responsibility for the content.</w:t>
      </w:r>
    </w:p>
    <w:bookmarkEnd w:id="22"/>
    <w:bookmarkEnd w:id="23"/>
    <w:bookmarkStart w:id="31" w:name="results"/>
    <w:p>
      <w:pPr>
        <w:pStyle w:val="Heading2"/>
      </w:pPr>
      <w:r>
        <w:t xml:space="preserve">4 Results</w:t>
      </w:r>
    </w:p>
    <w:bookmarkStart w:id="24" w:name="Xe46c8c6036c449074c5220e10138a3c20ad7286"/>
    <w:p>
      <w:pPr>
        <w:pStyle w:val="Heading3"/>
      </w:pPr>
      <w:r>
        <w:t xml:space="preserve">4.1 The class exists, and the obstacles are skewed</w:t>
      </w:r>
    </w:p>
    <w:p>
      <w:pPr>
        <w:pStyle w:val="FirstParagraph"/>
      </w:pPr>
      <w:r>
        <w:t xml:space="preserve">On the 100 works the base rate can be stated three ways, and only one should be used. Confirmed hits</w:t>
      </w:r>
      <w:r>
        <w:t xml:space="preserve"> </w:t>
      </w:r>
      <w:r>
        <w:t xml:space="preserve">over all passages, 25/22 243 = 0.112 % (one per 890), measures the reading sample, not the material.</w:t>
      </w:r>
      <w:r>
        <w:t xml:space="preserve"> </w:t>
      </w:r>
      <w:r>
        <w:t xml:space="preserve">Judge precision times flagged over all passages, 0.1667 × 2 173 = 362, gives 1.63 % [1.13–2.29], a</w:t>
      </w:r>
      <w:r>
        <w:t xml:space="preserve"> </w:t>
      </w:r>
      <w:r>
        <w:t xml:space="preserve">floor. Dividing the floor by the implied recall of the judge, 362/0.475 = 763, gives</w:t>
      </w:r>
      <w:r>
        <w:t xml:space="preserve"> </w:t>
      </w:r>
      <w:r>
        <w:rPr>
          <w:b/>
          <w:bCs/>
        </w:rPr>
        <w:t xml:space="preserve">3.43 % [2.12–</w:t>
      </w:r>
      <w:r>
        <w:rPr>
          <w:b/>
          <w:bCs/>
        </w:rPr>
        <w:t xml:space="preserve"> </w:t>
      </w:r>
      <w:r>
        <w:rPr>
          <w:b/>
          <w:bCs/>
        </w:rPr>
        <w:t xml:space="preserve">7.95]</w:t>
      </w:r>
      <w:r>
        <w:t xml:space="preserve">, one hit per 29 passages — the best estimate, with a wide interval that is dominated by the</w:t>
      </w:r>
      <w:r>
        <w:t xml:space="preserve"> </w:t>
      </w:r>
      <w:r>
        <w:t xml:space="preserve">uncertainty in the judge’s misses.</w:t>
      </w:r>
    </w:p>
    <w:p>
      <w:pPr>
        <w:pStyle w:val="BodyText"/>
      </w:pPr>
      <w:r>
        <w:t xml:space="preserve">Of the 432 candidate rows,</w:t>
      </w:r>
      <w:r>
        <w:t xml:space="preserve"> </w:t>
      </w:r>
      <w:r>
        <w:rPr>
          <w:b/>
          <w:bCs/>
        </w:rPr>
        <w:t xml:space="preserve">289 are H7</w:t>
      </w:r>
      <w:r>
        <w:t xml:space="preserve"> </w:t>
      </w:r>
      <w:r>
        <w:t xml:space="preserve">— the data did not exist — 66.9 % [62.3–71.2]; H7–H9</w:t>
      </w:r>
      <w:r>
        <w:t xml:space="preserve"> </w:t>
      </w:r>
      <w:r>
        <w:t xml:space="preserve">together, the classes the protocol marks as not liftable, are</w:t>
      </w:r>
      <w:r>
        <w:t xml:space="preserve"> </w:t>
      </w:r>
      <w:r>
        <w:rPr>
          <w:b/>
          <w:bCs/>
        </w:rPr>
        <w:t xml:space="preserve">329 of 432 = 76.2 % [71.9–79.9]</w:t>
      </w:r>
      <w:r>
        <w:t xml:space="preserve">.</w:t>
      </w:r>
      <w:r>
        <w:t xml:space="preserve"> </w:t>
      </w:r>
      <w:r>
        <w:t xml:space="preserve">The liftable classes H1–H6 are</w:t>
      </w:r>
      <w:r>
        <w:t xml:space="preserve"> </w:t>
      </w:r>
      <w:r>
        <w:rPr>
          <w:b/>
          <w:bCs/>
        </w:rPr>
        <w:t xml:space="preserve">77 of 406 decided rows = 19.0 % [15.4–23.1]</w:t>
      </w:r>
      <w:r>
        <w:t xml:space="preserve">; the undecided share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H1/H7-uavklart</w:t>
      </w:r>
      <w:r>
        <w:t xml:space="preserve">, the passage does not say whether the obstacle was workload or missing data)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26 of 432 = 6.0 % [4.1–8.7]</w:t>
      </w:r>
      <w:r>
        <w:t xml:space="preserve">, reported separately and never folded into either. Class counts: H7</w:t>
      </w:r>
      <w:r>
        <w:t xml:space="preserve"> </w:t>
      </w:r>
      <w:r>
        <w:t xml:space="preserve">289, H5 50, H9 29, undecided 26, H2 14, H8 11, H1 10, H3 2, H4 1. ADDENDUM-22 §9.3 reports</w:t>
      </w:r>
      <w:r>
        <w:t xml:space="preserve"> </w:t>
      </w:r>
      <w:r>
        <w:t xml:space="preserve">69/374 = 18.4 % for the liftable share and 253/374 = 67.6 % for H7 on the 2 481 of 2 844 passages</w:t>
      </w:r>
      <w:r>
        <w:t xml:space="preserve"> </w:t>
      </w:r>
      <w:r>
        <w:t xml:space="preserve">judged when it was written; the figures here are from the finished register (432 rows), and the</w:t>
      </w:r>
      <w:r>
        <w:t xml:space="preserve"> </w:t>
      </w:r>
      <w:r>
        <w:t xml:space="preserve">liftable share additionally uses decided hits as its denominator (ADDENDUM-05 §4).</w:t>
      </w:r>
    </w:p>
    <w:p>
      <w:pPr>
        <w:pStyle w:val="BodyText"/>
      </w:pPr>
      <w:r>
        <w:t xml:space="preserve">The hit rate differs by field by a factor of 4.6 over the 2 844 judged passages, and the intervals</w:t>
      </w:r>
      <w:r>
        <w:t xml:space="preserve"> </w:t>
      </w:r>
      <w:r>
        <w:t xml:space="preserve">for the extremes do not come near each other: archaeology 274/990 = 27.7 % [25.0–30.5], clinical</w:t>
      </w:r>
      <w:r>
        <w:t xml:space="preserve"> </w:t>
      </w:r>
      <w:r>
        <w:t xml:space="preserve">epidemiology 53/347 = 15.3 % [11.9–19.4], textual scholarship 37/378 = 9.8 % [7.2–13.2], energy</w:t>
      </w:r>
      <w:r>
        <w:t xml:space="preserve"> </w:t>
      </w:r>
      <w:r>
        <w:t xml:space="preserve">modelling 68/1 129 = 6.0 % [4.8–7.6].</w:t>
      </w:r>
    </w:p>
    <w:bookmarkEnd w:id="24"/>
    <w:bookmarkStart w:id="25" w:name="reliability-of-language-model-coders"/>
    <w:p>
      <w:pPr>
        <w:pStyle w:val="Heading3"/>
      </w:pPr>
      <w:r>
        <w:t xml:space="preserve">4.2 Reliability of language-model coders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raw agreement</w:t>
            </w:r>
          </w:p>
        </w:tc>
        <w:tc>
          <w:tcPr/>
          <w:p>
            <w:pPr>
              <w:pStyle w:val="Compact"/>
            </w:pPr>
            <w:r>
              <w:t xml:space="preserve">κ</w:t>
            </w:r>
          </w:p>
        </w:tc>
        <w:tc>
          <w:tcPr/>
          <w:p>
            <w:pPr>
              <w:pStyle w:val="Compact"/>
            </w:pPr>
            <w:r>
              <w:t xml:space="preserve">95 %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1 vs coder 2, all 320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96.2 %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0.812</w:t>
            </w:r>
          </w:p>
        </w:tc>
        <w:tc>
          <w:tcPr/>
          <w:p>
            <w:pPr>
              <w:pStyle w:val="Compact"/>
            </w:pPr>
            <w:r>
              <w:t xml:space="preserve">0.697–0.906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1 vs coder 2, non-anchor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96.7 %</w:t>
            </w:r>
          </w:p>
        </w:tc>
        <w:tc>
          <w:tcPr/>
          <w:p>
            <w:pPr>
              <w:pStyle w:val="Compact"/>
            </w:pPr>
            <w:r>
              <w:t xml:space="preserve">0.774</w:t>
            </w:r>
          </w:p>
        </w:tc>
        <w:tc>
          <w:tcPr/>
          <w:p>
            <w:pPr>
              <w:pStyle w:val="Compact"/>
            </w:pPr>
            <w:r>
              <w:t xml:space="preserve">0.623–0.898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1 (first reading) vs coder 2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96.6 %</w:t>
            </w:r>
          </w:p>
        </w:tc>
        <w:tc>
          <w:tcPr/>
          <w:p>
            <w:pPr>
              <w:pStyle w:val="Compact"/>
            </w:pPr>
            <w:r>
              <w:t xml:space="preserve">0.826</w:t>
            </w:r>
          </w:p>
        </w:tc>
        <w:tc>
          <w:tcPr/>
          <w:p>
            <w:pPr>
              <w:pStyle w:val="Compact"/>
            </w:pPr>
            <w:r>
              <w:t xml:space="preserve">0.712–0.917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4 vs coder 2, all 320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0.899</w:t>
            </w:r>
          </w:p>
        </w:tc>
        <w:tc>
          <w:tcPr/>
          <w:p>
            <w:pPr>
              <w:pStyle w:val="Compact"/>
            </w:pPr>
            <w:r>
              <w:t xml:space="preserve">0.808–0.969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4 vs coder 1, all 320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0.781</w:t>
            </w:r>
          </w:p>
        </w:tc>
        <w:tc>
          <w:tcPr/>
          <w:p>
            <w:pPr>
              <w:pStyle w:val="Compact"/>
            </w:pPr>
            <w:r>
              <w:t xml:space="preserve">0.659–0.883</w:t>
            </w:r>
          </w:p>
        </w:tc>
      </w:tr>
    </w:tbl>
    <w:p>
      <w:pPr>
        <w:pStyle w:val="BodyText"/>
      </w:pPr>
      <w:r>
        <w:t xml:space="preserve">Seven of the 320 rows were not coded blind by coder 4 (§2.4); excluding them gives 0.874 against</w:t>
      </w:r>
      <w:r>
        <w:t xml:space="preserve"> </w:t>
      </w:r>
      <w:r>
        <w:t xml:space="preserve">coder 2 and 0.757 against coder 1, and the ordering coder 4–2 &gt; coder 1–2 &gt; coder 4–1 holds</w:t>
      </w:r>
      <w:r>
        <w:t xml:space="preserve"> </w:t>
      </w:r>
      <w:r>
        <w:t xml:space="preserve">in every subset. The intervals overlap, so the ordering is not established; the direction is opposite</w:t>
      </w:r>
      <w:r>
        <w:t xml:space="preserve"> </w:t>
      </w:r>
      <w:r>
        <w:t xml:space="preserve">to what a model-family caveat would predict — a model from a different family reproduces coder 2’s hit</w:t>
      </w:r>
      <w:r>
        <w:t xml:space="preserve"> </w:t>
      </w:r>
      <w:r>
        <w:t xml:space="preserve">decision at least as well as coder 1 does.</w:t>
      </w:r>
    </w:p>
    <w:p>
      <w:pPr>
        <w:pStyle w:val="BodyText"/>
      </w:pPr>
      <w:r>
        <w:t xml:space="preserve">Agreement is high on the hit decision and much lower on the reference set’s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part. Coders 1</w:t>
      </w:r>
      <w:r>
        <w:t xml:space="preserve"> </w:t>
      </w:r>
      <w:r>
        <w:t xml:space="preserve">and 2 agree on hit status for 19 of 27 known hits; only 7 of 27 are without a doubt flag by coder 1</w:t>
      </w:r>
      <w:r>
        <w:t xml:space="preserve"> </w:t>
      </w:r>
      <w:r>
        <w:t xml:space="preserve">and 4 of 27 by coder 2; the set on which both agree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neither is in doubt is</w:t>
      </w:r>
      <w:r>
        <w:t xml:space="preserve"> </w:t>
      </w:r>
      <w:r>
        <w:rPr>
          <w:b/>
          <w:bCs/>
        </w:rPr>
        <w:t xml:space="preserve">3 of 27</w:t>
      </w:r>
      <w:r>
        <w:t xml:space="preserve"> </w:t>
      </w:r>
      <w:r>
        <w:t xml:space="preserve">(PS-044,</w:t>
      </w:r>
      <w:r>
        <w:t xml:space="preserve"> </w:t>
      </w:r>
      <w:r>
        <w:t xml:space="preserve">PS-205, PS-266). Coder 1 marked 20 of 27 with doubt. This is a property of the agreement between two</w:t>
      </w:r>
      <w:r>
        <w:t xml:space="preserve"> </w:t>
      </w:r>
      <w:r>
        <w:t xml:space="preserve">language-model coders without doubt marks, not of the passages. The consequence for design is that</w:t>
      </w:r>
      <w:r>
        <w:t xml:space="preserve"> </w:t>
      </w:r>
      <w:r>
        <w:t xml:space="preserve">the reference set can carry a finding about class distribution but cannot carry a threshold near its</w:t>
      </w:r>
      <w:r>
        <w:t xml:space="preserve"> </w:t>
      </w:r>
      <w:r>
        <w:t xml:space="preserve">own edge — which is what the preregistered gate turned out to be (§4.4).</w:t>
      </w:r>
    </w:p>
    <w:p>
      <w:pPr>
        <w:pStyle w:val="BodyText"/>
      </w:pPr>
      <w:r>
        <w:t xml:space="preserve">Class agreement is weaker than hit agreement for every pair, and the weakest boundary is a non-hit</w:t>
      </w:r>
      <w:r>
        <w:t xml:space="preserve"> </w:t>
      </w:r>
      <w:r>
        <w:t xml:space="preserve">class: N3, the scope choice without a named obstacle, was counted 54, 34 and 13 times by the three</w:t>
      </w:r>
      <w:r>
        <w:t xml:space="preserve"> </w:t>
      </w:r>
      <w:r>
        <w:t xml:space="preserve">coders on the same 320 passages, with class κ for N3 between coders 1 and 2 of 0.530 and overall</w:t>
      </w:r>
      <w:r>
        <w:t xml:space="preserve"> </w:t>
      </w:r>
      <w:r>
        <w:t xml:space="preserve">class κ of 0.722</w:t>
      </w:r>
      <w:r>
        <w:t xml:space="preserve"> </w:t>
      </w:r>
      <w:r>
        <w:rPr>
          <w:i/>
          <w:iCs/>
        </w:rPr>
        <w:t xml:space="preserve">(source: METODE, class-reliability section; REGEL-N3-v1)</w:t>
      </w:r>
      <w:r>
        <w:t xml:space="preserve">.</w:t>
      </w:r>
      <w:r>
        <w:t xml:space="preserve"> </w:t>
      </w:r>
      <w:r>
        <w:t xml:space="preserve">The boundary has since been written as an explicit, versioned decision rule with anchor examples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REGEL-N3-v1</w:t>
      </w:r>
      <w:r>
        <w:t xml:space="preserve">); the rule has not been applied to the 320 passages, so its effect on agreement is</w:t>
      </w:r>
      <w:r>
        <w:t xml:space="preserve"> </w:t>
      </w:r>
      <w:r>
        <w:t xml:space="preserve">not measured.</w:t>
      </w:r>
    </w:p>
    <w:bookmarkEnd w:id="25"/>
    <w:bookmarkStart w:id="26" w:name="which-model-can-read"/>
    <w:p>
      <w:pPr>
        <w:pStyle w:val="Heading3"/>
      </w:pPr>
      <w:r>
        <w:t xml:space="preserve">4.3 Which model can read</w:t>
      </w:r>
    </w:p>
    <w:p>
      <w:pPr>
        <w:pStyle w:val="FirstParagraph"/>
      </w:pPr>
      <w:r>
        <w:t xml:space="preserve">With the same rule file and the same call structure — one call per passage — the hit-decision κ</w:t>
      </w:r>
      <w:r>
        <w:t xml:space="preserve"> </w:t>
      </w:r>
      <w:r>
        <w:t xml:space="preserve">against coder 1 rises monotonically with model capability, and the intervals for the two ends do not</w:t>
      </w:r>
      <w:r>
        <w:t xml:space="preserve"> </w:t>
      </w:r>
      <w:r>
        <w:t xml:space="preserve">overlap: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κ vs coder 1</w:t>
            </w:r>
          </w:p>
        </w:tc>
        <w:tc>
          <w:tcPr/>
          <w:p>
            <w:pPr>
              <w:pStyle w:val="Compact"/>
            </w:pPr>
            <w:r>
              <w:t xml:space="preserve">95 % CI</w:t>
            </w:r>
          </w:p>
        </w:tc>
        <w:tc>
          <w:tcPr/>
          <w:p>
            <w:pPr>
              <w:pStyle w:val="Compact"/>
            </w:pPr>
            <w:r>
              <w:t xml:space="preserve">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Haiku 4.5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−0.024–0.129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Sonnet 5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0.126–0.455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 5, one call per passage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0.478–0.768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 5, agentic, one continuous session (coder 2)</w:t>
            </w:r>
          </w:p>
        </w:tc>
        <w:tc>
          <w:tcPr/>
          <w:p>
            <w:pPr>
              <w:pStyle w:val="Compact"/>
            </w:pPr>
            <w:r>
              <w:t xml:space="preserve">0.812</w:t>
            </w:r>
          </w:p>
        </w:tc>
        <w:tc>
          <w:tcPr/>
          <w:p>
            <w:pPr>
              <w:pStyle w:val="Compact"/>
            </w:pPr>
            <w:r>
              <w:t xml:space="preserve">0.697–0.906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Opus in one call is precise but loses half: 20 of coder 1’s 39 hits found, 19 missed, one false</w:t>
      </w:r>
      <w:r>
        <w:t xml:space="preserve"> </w:t>
      </w:r>
      <w:r>
        <w:t xml:space="preserve">positive, 280 agreed non-hits. The difference between 0.636 and 0.812 is</w:t>
      </w:r>
      <w:r>
        <w:t xml:space="preserve"> </w:t>
      </w:r>
      <w:r>
        <w:rPr>
          <w:b/>
          <w:bCs/>
        </w:rPr>
        <w:t xml:space="preserve">not statistically</w:t>
      </w:r>
      <w:r>
        <w:rPr>
          <w:b/>
          <w:bCs/>
        </w:rPr>
        <w:t xml:space="preserve"> </w:t>
      </w:r>
      <w:r>
        <w:rPr>
          <w:b/>
          <w:bCs/>
        </w:rPr>
        <w:t xml:space="preserve">established</w:t>
      </w:r>
      <w:r>
        <w:t xml:space="preserve"> </w:t>
      </w:r>
      <w:r>
        <w:t xml:space="preserve">— the intervals overlap in 0.697–0.768 — so the contribution of the session form is not</w:t>
      </w:r>
      <w:r>
        <w:t xml:space="preserve"> </w:t>
      </w:r>
      <w:r>
        <w:t xml:space="preserve">demonstrated. A local 7B model run agentically (rule file plus batches of 20 passages in one context)</w:t>
      </w:r>
      <w:r>
        <w:t xml:space="preserve"> </w:t>
      </w:r>
      <w:r>
        <w:t xml:space="preserve">reached 0.248 [0.113–0.376] (ADDENDUM-24): mode alone does not close the gap. Giving Haiku the full</w:t>
      </w:r>
      <w:r>
        <w:t xml:space="preserve"> </w:t>
      </w:r>
      <w:r>
        <w:t xml:space="preserve">rule file made it worse (κ 0.047 against 0.270 with a short excerpt; paired difference −0.222</w:t>
      </w:r>
      <w:r>
        <w:t xml:space="preserve"> </w:t>
      </w:r>
      <w:r>
        <w:t xml:space="preserve">[−0.402 – −0.044]); Opus uses the same rules to 0.636, so this is a property of the smaller model, not</w:t>
      </w:r>
      <w:r>
        <w:t xml:space="preserve"> </w:t>
      </w:r>
      <w:r>
        <w:t xml:space="preserve">of the rules. Output truncation at 300 tokens affected two earlier runs. An Opus run at κ 0.390,</w:t>
      </w:r>
      <w:r>
        <w:t xml:space="preserve"> </w:t>
      </w:r>
      <w:r>
        <w:t xml:space="preserve">with 36 of 320 answers cut and 27 of coder 1’s 39 hits among them, is invalid; it is kept, marked</w:t>
      </w:r>
      <w:r>
        <w:t xml:space="preserve"> </w:t>
      </w:r>
      <w:r>
        <w:t xml:space="preserve">invalid, and not used. A Sonnet run with a short rule excerpt had 12 answers cut; those were re-run</w:t>
      </w:r>
      <w:r>
        <w:t xml:space="preserve"> </w:t>
      </w:r>
      <w:r>
        <w:t xml:space="preserve">and the corrected value, 0.297 [0.125–0.456], n = 319, is the one cited.</w:t>
      </w:r>
    </w:p>
    <w:bookmarkEnd w:id="26"/>
    <w:bookmarkStart w:id="27" w:name="the-candidate-list"/>
    <w:p>
      <w:pPr>
        <w:pStyle w:val="Heading3"/>
      </w:pPr>
      <w:r>
        <w:t xml:space="preserve">4.4 The candidate list</w:t>
      </w:r>
    </w:p>
    <w:p>
      <w:pPr>
        <w:pStyle w:val="FirstParagraph"/>
      </w:pPr>
      <w:r>
        <w:t xml:space="preserve">The reader produced</w:t>
      </w:r>
      <w:r>
        <w:t xml:space="preserve"> </w:t>
      </w:r>
      <w:r>
        <w:rPr>
          <w:b/>
          <w:bCs/>
        </w:rPr>
        <w:t xml:space="preserve">432</w:t>
      </w:r>
      <w:r>
        <w:t xml:space="preserve"> </w:t>
      </w:r>
      <w:r>
        <w:t xml:space="preserve">hit rows over the 2 844 candidate passages, covering</w:t>
      </w:r>
      <w:r>
        <w:t xml:space="preserve"> </w:t>
      </w:r>
      <w:r>
        <w:rPr>
          <w:b/>
          <w:bCs/>
        </w:rPr>
        <w:t xml:space="preserve">60</w:t>
      </w:r>
      <w:r>
        <w:t xml:space="preserve"> </w:t>
      </w:r>
      <w:r>
        <w:t xml:space="preserve">distinct works;</w:t>
      </w:r>
      <w:r>
        <w:t xml:space="preserve"> </w:t>
      </w:r>
      <w:r>
        <w:t xml:space="preserve">40 of the 100 works yielded no row. 218 rows carry no doubt flag and 214 do; 260 came from the judge</w:t>
      </w:r>
      <w:r>
        <w:t xml:space="preserve"> </w:t>
      </w:r>
      <w:r>
        <w:t xml:space="preserve">alone, 124 from both sieve sources, 48 from the extractor alone; 11 (2.5 %) are flagged non-prose.</w:t>
      </w:r>
    </w:p>
    <w:p>
      <w:pPr>
        <w:pStyle w:val="BodyText"/>
      </w:pPr>
      <w:r>
        <w:t xml:space="preserve">Sieve precision is measured per source, not per obstacle class: both sources 0.345 [0.298–0.396],</w:t>
      </w:r>
      <w:r>
        <w:t xml:space="preserve"> </w:t>
      </w:r>
      <w:r>
        <w:t xml:space="preserve">judge alone 0.143 [0.128–0.160], extractor alone 0.072 [0.054–0.094]; the sieve as a whole 432/2 844</w:t>
      </w:r>
      <w:r>
        <w:t xml:space="preserve"> </w:t>
      </w:r>
      <w:r>
        <w:t xml:space="preserve">= 15.2 %. The cost unit is frontier reads per confirmed hit, about six for the judge (2 173 flagged /</w:t>
      </w:r>
      <w:r>
        <w:t xml:space="preserve"> </w:t>
      </w:r>
      <w:r>
        <w:t xml:space="preserve">362 expected true).</w:t>
      </w:r>
    </w:p>
    <w:p>
      <w:pPr>
        <w:pStyle w:val="BodyText"/>
      </w:pPr>
      <w:r>
        <w:rPr>
          <w:b/>
          <w:bCs/>
        </w:rPr>
        <w:t xml:space="preserve">The preregistered gate fell.</w:t>
      </w:r>
      <w:r>
        <w:t xml:space="preserve"> </w:t>
      </w:r>
      <w:r>
        <w:t xml:space="preserve">The reading confirmed 21 of the 27 known hits against a threshold of</w:t>
      </w:r>
      <w:r>
        <w:t xml:space="preserve"> </w:t>
      </w:r>
      <w:r>
        <w:t xml:space="preserve">22. All six losses were doubt-marked passages, four of them already among coder 2’s disagreements</w:t>
      </w:r>
      <w:r>
        <w:t xml:space="preserve"> </w:t>
      </w:r>
      <w:r>
        <w:t xml:space="preserve">with coder 1. The threshold was not moved. The list is therefore a</w:t>
      </w:r>
      <w:r>
        <w:t xml:space="preserve"> </w:t>
      </w:r>
      <w:r>
        <w:rPr>
          <w:b/>
          <w:bCs/>
        </w:rPr>
        <w:t xml:space="preserve">candidate list, permanently</w:t>
      </w:r>
      <w:r>
        <w:t xml:space="preserve">.</w:t>
      </w:r>
      <w:r>
        <w:t xml:space="preserve"> </w:t>
      </w:r>
      <w:r>
        <w:t xml:space="preserve">In retrospect the threshold, 22 of 27 (81 %), was set above the agreement the two reference coders</w:t>
      </w:r>
      <w:r>
        <w:t xml:space="preserve"> </w:t>
      </w:r>
      <w:r>
        <w:t xml:space="preserve">have with each other (coder 2 confirmed 19 of the 27 known hits, 70.4 %); a gate on a reference set</w:t>
      </w:r>
      <w:r>
        <w:t xml:space="preserve"> </w:t>
      </w:r>
      <w:r>
        <w:t xml:space="preserve">should be set at the set’s own inter-coder agreement, not above it.</w:t>
      </w:r>
    </w:p>
    <w:p>
      <w:pPr>
        <w:pStyle w:val="BodyText"/>
      </w:pPr>
      <w:r>
        <w:rPr>
          <w:b/>
          <w:bCs/>
        </w:rPr>
        <w:t xml:space="preserve">The post hoc gate held.</w:t>
      </w:r>
      <w:r>
        <w:t xml:space="preserve"> </w:t>
      </w:r>
      <w:r>
        <w:t xml:space="preserve">Of 100 random hit rows read blind by a separate instance,</w:t>
      </w:r>
      <w:r>
        <w:t xml:space="preserve"> </w:t>
      </w:r>
      <w:r>
        <w:rPr>
          <w:b/>
          <w:bCs/>
        </w:rPr>
        <w:t xml:space="preserve">85 were</w:t>
      </w:r>
      <w:r>
        <w:rPr>
          <w:b/>
          <w:bCs/>
        </w:rPr>
        <w:t xml:space="preserve"> </w:t>
      </w:r>
      <w:r>
        <w:rPr>
          <w:b/>
          <w:bCs/>
        </w:rPr>
        <w:t xml:space="preserve">confirmed [76.7–90.7]</w:t>
      </w:r>
      <w:r>
        <w:t xml:space="preserve">, with class agreement in 74 of 85 (87.1 %). The reader’s own doubt flag</w:t>
      </w:r>
      <w:r>
        <w:t xml:space="preserve"> </w:t>
      </w:r>
      <w:r>
        <w:t xml:space="preserve">separates the sample sharply: 41 of 42 confirmed where the reader was not in doubt (97.6 %), 44 of 58</w:t>
      </w:r>
      <w:r>
        <w:t xml:space="preserve"> </w:t>
      </w:r>
      <w:r>
        <w:t xml:space="preserve">where it was (75.9 %). This is a post hoc subgroup; no other predictor was compared and the difference</w:t>
      </w:r>
      <w:r>
        <w:t xml:space="preserve"> </w:t>
      </w:r>
      <w:r>
        <w:t xml:space="preserve">is not tested. One deviation from the gate’s text must stand: the gate specified a single separate</w:t>
      </w:r>
      <w:r>
        <w:t xml:space="preserve"> </w:t>
      </w:r>
      <w:r>
        <w:t xml:space="preserve">instance, and two were used — 85 plus 15 — after the first was interrupted; the 85 are a contiguous</w:t>
      </w:r>
      <w:r>
        <w:t xml:space="preserve"> </w:t>
      </w:r>
      <w:r>
        <w:t xml:space="preserve">prefix, not a sample.</w:t>
      </w:r>
    </w:p>
    <w:bookmarkEnd w:id="27"/>
    <w:bookmarkStart w:id="28" w:name="six-reopening-attempts-none-lifted"/>
    <w:p>
      <w:pPr>
        <w:pStyle w:val="Heading3"/>
      </w:pPr>
      <w:r>
        <w:t xml:space="preserve">4.5 Six reopening attempts, none lifted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deciding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PS-246</w:t>
            </w:r>
          </w:p>
        </w:tc>
        <w:tc>
          <w:tcPr/>
          <w:p>
            <w:pPr>
              <w:pStyle w:val="Compact"/>
            </w:pPr>
            <w:r>
              <w:t xml:space="preserve">Pring 2016, W2551114598</w:t>
            </w:r>
          </w:p>
        </w:tc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lifted</w:t>
            </w:r>
            <w:r>
              <w:t xml:space="preserve"> </w:t>
            </w:r>
            <w:r>
              <w:t xml:space="preserve">(25 Sept.)</w:t>
            </w:r>
          </w:p>
        </w:tc>
        <w:tc>
          <w:tcPr/>
          <w:p>
            <w:pPr>
              <w:pStyle w:val="Compact"/>
            </w:pPr>
            <w:r>
              <w:t xml:space="preserve">the model inconsistency (FC &gt; θS) reproduced for exactly the four horizons the thesis names; the horizon-level outcome is in the case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SAK-14</w:t>
            </w:r>
          </w:p>
        </w:tc>
        <w:tc>
          <w:tcPr/>
          <w:p>
            <w:pPr>
              <w:pStyle w:val="Compact"/>
            </w:pPr>
            <w:r>
              <w:t xml:space="preserve">Haouachi 2016, W2474595476</w:t>
            </w:r>
          </w:p>
        </w:tc>
        <w:tc>
          <w:tcPr/>
          <w:p>
            <w:pPr>
              <w:pStyle w:val="Compact"/>
            </w:pPr>
            <w:r>
              <w:t xml:space="preserve">H3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lifted</w:t>
            </w:r>
          </w:p>
        </w:tc>
        <w:tc>
          <w:tcPr/>
          <w:p>
            <w:pPr>
              <w:pStyle w:val="Compact"/>
            </w:pPr>
            <w:r>
              <w:t xml:space="preserve">79 of 90 = 87.8 % [79.4–93.0] vs 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SAK-09b</w:t>
            </w:r>
          </w:p>
        </w:tc>
        <w:tc>
          <w:tcPr/>
          <w:p>
            <w:pPr>
              <w:pStyle w:val="Compact"/>
            </w:pPr>
            <w:r>
              <w:t xml:space="preserve">Aragao 2018, W7133020405</w:t>
            </w:r>
          </w:p>
        </w:tc>
        <w:tc>
          <w:tcPr/>
          <w:p>
            <w:pPr>
              <w:pStyle w:val="Compact"/>
            </w:pPr>
            <w:r>
              <w:t xml:space="preserve">H5 tool limit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lifted by the named means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blockmodeling</w:t>
            </w:r>
            <w:r>
              <w:t xml:space="preserve"> </w:t>
            </w:r>
            <w:r>
              <w:t xml:space="preserve">1.1.8 has no mechanism to bind the two partitions; in our own implementation, unconstrained partitions were equal 0 of 120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SAK-09c</w:t>
            </w:r>
          </w:p>
        </w:tc>
        <w:tc>
          <w:tcPr/>
          <w:p>
            <w:pPr>
              <w:pStyle w:val="Compact"/>
            </w:pPr>
            <w:r>
              <w:t xml:space="preserve">Aragao 2018, W7133020405</w:t>
            </w:r>
          </w:p>
        </w:tc>
        <w:tc>
          <w:tcPr/>
          <w:p>
            <w:pPr>
              <w:pStyle w:val="Compact"/>
            </w:pPr>
            <w:r>
              <w:t xml:space="preserve">H1/H7 →</w:t>
            </w:r>
            <w:r>
              <w:t xml:space="preserve"> </w:t>
            </w:r>
            <w:r>
              <w:rPr>
                <w:b/>
                <w:bCs/>
              </w:rPr>
              <w:t xml:space="preserve">H8, permanent</w:t>
            </w:r>
          </w:p>
        </w:tc>
        <w:tc>
          <w:tcPr/>
          <w:p>
            <w:pPr>
              <w:pStyle w:val="Compact"/>
            </w:pPr>
            <w:r>
              <w:t xml:space="preserve">closed at condition (i)</w:t>
            </w:r>
          </w:p>
        </w:tc>
        <w:tc>
          <w:tcPr/>
          <w:p>
            <w:pPr>
              <w:pStyle w:val="Compact"/>
            </w:pPr>
            <w:r>
              <w:t xml:space="preserve">one content file in the archive; profiles withheld under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SAK-08</w:t>
            </w:r>
          </w:p>
        </w:tc>
        <w:tc>
          <w:tcPr/>
          <w:p>
            <w:pPr>
              <w:pStyle w:val="Compact"/>
            </w:pPr>
            <w:r>
              <w:t xml:space="preserve">Riris 2018, W2784603861</w:t>
            </w:r>
          </w:p>
        </w:tc>
        <w:tc>
          <w:tcPr/>
          <w:p>
            <w:pPr>
              <w:pStyle w:val="Compact"/>
            </w:pPr>
            <w:r>
              <w:t xml:space="preserve">H5 →</w:t>
            </w:r>
            <w:r>
              <w:t xml:space="preserve"> </w:t>
            </w:r>
            <w:r>
              <w:rPr>
                <w:b/>
                <w:bCs/>
              </w:rPr>
              <w:t xml:space="preserve">H8, trigger</w:t>
            </w:r>
          </w:p>
        </w:tc>
        <w:tc>
          <w:tcPr/>
          <w:p>
            <w:pPr>
              <w:pStyle w:val="Compact"/>
            </w:pPr>
            <w:r>
              <w:t xml:space="preserve">closed at condition (i)</w:t>
            </w:r>
          </w:p>
        </w:tc>
        <w:tc>
          <w:tcPr/>
          <w:p>
            <w:pPr>
              <w:pStyle w:val="Compact"/>
            </w:pPr>
            <w:r>
              <w:t xml:space="preserve">model code not found in six checked routes; the publisher’s supplementary material could not be reached (HTTP 403) and is recorded as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SAK-11</w:t>
            </w:r>
          </w:p>
        </w:tc>
        <w:tc>
          <w:tcPr/>
          <w:p>
            <w:pPr>
              <w:pStyle w:val="Compact"/>
            </w:pPr>
            <w:r>
              <w:t xml:space="preserve">Bynum et al. 2021 (seven authors), W4206850274</w:t>
            </w:r>
          </w:p>
        </w:tc>
        <w:tc>
          <w:tcPr/>
          <w:p>
            <w:pPr>
              <w:pStyle w:val="Compact"/>
            </w:pPr>
            <w:r>
              <w:t xml:space="preserve">H5 →</w:t>
            </w:r>
            <w:r>
              <w:t xml:space="preserve"> </w:t>
            </w:r>
            <w:r>
              <w:rPr>
                <w:b/>
                <w:bCs/>
              </w:rPr>
              <w:t xml:space="preserve">H8, trigger</w:t>
            </w:r>
          </w:p>
        </w:tc>
        <w:tc>
          <w:tcPr/>
          <w:p>
            <w:pPr>
              <w:pStyle w:val="Compact"/>
            </w:pPr>
            <w:r>
              <w:t xml:space="preserve">stopped at condition (ii)</w:t>
            </w:r>
          </w:p>
        </w:tc>
        <w:tc>
          <w:tcPr/>
          <w:p>
            <w:pPr>
              <w:pStyle w:val="Compact"/>
            </w:pPr>
            <w:r>
              <w:t xml:space="preserve">C(41,7) = 22 481 940 scenarios; ≈ 5.03 × 10⁹ constraints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SAK-14.</w:t>
      </w:r>
      <w:r>
        <w:t xml:space="preserve"> </w:t>
      </w:r>
      <w:r>
        <w:t xml:space="preserve">The thesis states that Greek sources are given only in French translation because the</w:t>
      </w:r>
      <w:r>
        <w:t xml:space="preserve"> </w:t>
      </w:r>
      <w:r>
        <w:t xml:space="preserve">author does not read Greek. Ninety citation places (Dionysius 57, Plutarch 22, Appian 5, Cassius Dio</w:t>
      </w:r>
      <w:r>
        <w:t xml:space="preserve"> </w:t>
      </w:r>
      <w:r>
        <w:t xml:space="preserve">3,</w:t>
      </w:r>
      <w:r>
        <w:t xml:space="preserve"> </w:t>
      </w:r>
      <w:r>
        <w:rPr>
          <w:i/>
          <w:iCs/>
        </w:rPr>
        <w:t xml:space="preserve">Moralia</w:t>
      </w:r>
      <w:r>
        <w:t xml:space="preserve"> </w:t>
      </w:r>
      <w:r>
        <w:t xml:space="preserve">2, Aristotle 1; 76 unique references, of which 48/19/4/3/1/1) were resolved against</w:t>
      </w:r>
      <w:r>
        <w:t xml:space="preserve"> </w:t>
      </w:r>
      <w:r>
        <w:t xml:space="preserve">open Greek editions. 79</w:t>
      </w:r>
      <w:r>
        <w:t xml:space="preserve"> </w:t>
      </w:r>
      <w:r>
        <w:t xml:space="preserve">resolved (87.8 %), 75 from Perseus and 4 from the Scaife Viewer; Perseus alone gives 75/90 = 83.3 %</w:t>
      </w:r>
      <w:r>
        <w:t xml:space="preserve"> </w:t>
      </w:r>
      <w:r>
        <w:t xml:space="preserve">[74.3–89.6], and the outcome is the same under either. The denominator is 90, the grammar as run; a</w:t>
      </w:r>
      <w:r>
        <w:t xml:space="preserve"> </w:t>
      </w:r>
      <w:r>
        <w:t xml:space="preserve">first parse gave 81 (70 resolved, 86.4 %) and the grammar was extended after locking, which is</w:t>
      </w:r>
      <w:r>
        <w:t xml:space="preserve"> </w:t>
      </w:r>
      <w:r>
        <w:t xml:space="preserve">recorded as a deviation. A denominator of 60 — only the citation form the criterion’s first</w:t>
      </w:r>
      <w:r>
        <w:t xml:space="preserve"> </w:t>
      </w:r>
      <w:r>
        <w:t xml:space="preserve">clarification names literally — gives 55/60 = 91.7 % [81.9–96.4], above the threshold; it is reported</w:t>
      </w:r>
      <w:r>
        <w:t xml:space="preserve"> </w:t>
      </w:r>
      <w:r>
        <w:t xml:space="preserve">as a sensitivity, marked post hoc with the denominator chosen after the outcome, and is not the gate.</w:t>
      </w:r>
      <w:r>
        <w:t xml:space="preserve"> </w:t>
      </w:r>
      <w:r>
        <w:t xml:space="preserve">The eleven misses have three measured causes: seven are edition addressability (the French section</w:t>
      </w:r>
      <w:r>
        <w:t xml:space="preserve"> </w:t>
      </w:r>
      <w:r>
        <w:t xml:space="preserve">numbering is finer than the open Greek editions’), three are absence of an open Greek text (Cassius</w:t>
      </w:r>
      <w:r>
        <w:t xml:space="preserve"> </w:t>
      </w:r>
      <w:r>
        <w:t xml:space="preserve">Dio, books 1–35), one is a mis-citation in the thesis. Both Perseus and Scaife answer HTTP 200 with a</w:t>
      </w:r>
      <w:r>
        <w:t xml:space="preserve"> </w:t>
      </w:r>
      <w:r>
        <w:t xml:space="preserve">different passage when the requested one does not exist; had an HTTP 200 response been taken as a</w:t>
      </w:r>
      <w:r>
        <w:t xml:space="preserve"> </w:t>
      </w:r>
      <w:r>
        <w:t xml:space="preserve">hit, without level-by-level comparison of the resolved against the requested address, all eleven</w:t>
      </w:r>
      <w:r>
        <w:t xml:space="preserve"> </w:t>
      </w:r>
      <w:r>
        <w:t xml:space="preserve">would have been recorded as resolved and the retrieval step would have read 90 of 90. What the</w:t>
      </w:r>
      <w:r>
        <w:t xml:space="preserve"> </w:t>
      </w:r>
      <w:r>
        <w:t xml:space="preserve">case would then have shown is stated differently in the project’s own documents: the case file and</w:t>
      </w:r>
      <w:r>
        <w:t xml:space="preserve"> </w:t>
      </w:r>
      <w:r>
        <w:t xml:space="preserve">LAERDOM §35 say the case would have stood as lifted at 100 %; LAERDOM §37 says the gate would have</w:t>
      </w:r>
      <w:r>
        <w:t xml:space="preserve"> </w:t>
      </w:r>
      <w:r>
        <w:t xml:space="preserve">had no answer, because the criterion’s second element — the load-bearing terms — was unmeasurable</w:t>
      </w:r>
      <w:r>
        <w:t xml:space="preserve"> </w:t>
      </w:r>
      <w:r>
        <w:t xml:space="preserve">for 79 of the 90 places; ADR-0013, written afterwards, holds that under its three conditions the</w:t>
      </w:r>
      <w:r>
        <w:t xml:space="preserve"> </w:t>
      </w:r>
      <w:r>
        <w:t xml:space="preserve">case would not have been lifted. The three statements are reported as they stand. Only 11 of the 90 places (12.2 % [7.0–20.6]) carry the</w:t>
      </w:r>
      <w:r>
        <w:t xml:space="preserve"> </w:t>
      </w:r>
      <w:r>
        <w:t xml:space="preserve">thesis’s own French rendering, and 9 of those 11 (8 unique references) could be resolved at section</w:t>
      </w:r>
      <w:r>
        <w:t xml:space="preserve"> </w:t>
      </w:r>
      <w:r>
        <w:t xml:space="preserve">level, so the comparison of original against translation was possible for those alone; for the</w:t>
      </w:r>
      <w:r>
        <w:t xml:space="preserve"> </w:t>
      </w:r>
      <w:r>
        <w:t xml:space="preserve">rest, resolution to Greek text is what was measured. Post hoc, two of eight checkable references point to the wrong place</w:t>
      </w:r>
      <w:r>
        <w:t xml:space="preserve"> </w:t>
      </w:r>
      <w:r>
        <w:t xml:space="preserve">(the passage cited as</w:t>
      </w:r>
      <w:r>
        <w:t xml:space="preserve"> </w:t>
      </w:r>
      <w:r>
        <w:rPr>
          <w:i/>
          <w:iCs/>
        </w:rPr>
        <w:t xml:space="preserve">AR</w:t>
      </w:r>
      <w:r>
        <w:t xml:space="preserve"> </w:t>
      </w:r>
      <w:r>
        <w:t xml:space="preserve">I, 40, 1 translates I, 60, 1; I, 49, 3 translates I, 59, 3), 25 % [7.1–</w:t>
      </w:r>
      <w:r>
        <w:t xml:space="preserve"> </w:t>
      </w:r>
      <w:r>
        <w:t xml:space="preserve">59.1]. Fourteen load-bearing terms were located character-for-character in the retrieved Greek with</w:t>
      </w:r>
      <w:r>
        <w:t xml:space="preserve"> </w:t>
      </w:r>
      <w:r>
        <w:t xml:space="preserve">zero errors; divergence from the LSJ gloss on the axis the thesis argues was judged 3 of 14 by a blind</w:t>
      </w:r>
      <w:r>
        <w:t xml:space="preserve"> </w:t>
      </w:r>
      <w:r>
        <w:t xml:space="preserve">sub-instance and 7 of 14 by the main reading, agreement 10 of 14 (71.4 % [45.4–88.3]); both are</w:t>
      </w:r>
      <w:r>
        <w:t xml:space="preserve"> </w:t>
      </w:r>
      <w:r>
        <w:t xml:space="preserve">reported. That a translator’s contextual choice differs from a lexicon’s first sense is expected; the</w:t>
      </w:r>
      <w:r>
        <w:t xml:space="preserve"> </w:t>
      </w:r>
      <w:r>
        <w:t xml:space="preserve">two mis-citations are the hard finding.</w:t>
      </w:r>
    </w:p>
    <w:p>
      <w:pPr>
        <w:pStyle w:val="BodyText"/>
      </w:pPr>
      <w:r>
        <w:rPr>
          <w:b/>
          <w:bCs/>
        </w:rPr>
        <w:t xml:space="preserve">SAK-09b.</w:t>
      </w:r>
      <w:r>
        <w:t xml:space="preserve"> </w:t>
      </w:r>
      <w:r>
        <w:t xml:space="preserve">The thesis reports that Pajek cannot force equal partitions of the intermediate mode in</w:t>
      </w:r>
      <w:r>
        <w:t xml:space="preserve"> </w:t>
      </w:r>
      <w:r>
        <w:t xml:space="preserve">two-mode blockmodelling. The thesis’s own numbers were reproduced first: table D.1, 12 of 12 values</w:t>
      </w:r>
      <w:r>
        <w:t xml:space="preserve"> </w:t>
      </w:r>
      <w:r>
        <w:t xml:space="preserve">exactly; 109 constraints reconstructed (13 + 36 + 48 + 12); total error 14 reproduced in two</w:t>
      </w:r>
      <w:r>
        <w:t xml:space="preserve"> </w:t>
      </w:r>
      <w:r>
        <w:t xml:space="preserve">independent implementations, with blocks (1,7) = 3 and (1,8) = 2 from figure 8.2 as controls. Over</w:t>
      </w:r>
      <w:r>
        <w:t xml:space="preserve"> </w:t>
      </w:r>
      <w:r>
        <w:t xml:space="preserve">all 144 blocks the error is 163, a number the thesis does not report and without which 14 cannot be</w:t>
      </w:r>
      <w:r>
        <w:t xml:space="preserve"> </w:t>
      </w:r>
      <w:r>
        <w:t xml:space="preserve">checked. The named alternative, the R package</w:t>
      </w:r>
      <w:r>
        <w:t xml:space="preserve"> </w:t>
      </w:r>
      <w:r>
        <w:rPr>
          <w:rStyle w:val="VerbatimChar"/>
        </w:rPr>
        <w:t xml:space="preserve">blockmodeling</w:t>
      </w:r>
      <w:r>
        <w:t xml:space="preserve"> </w:t>
      </w:r>
      <w:r>
        <w:t xml:space="preserve">(version 0.3.1 was published in June</w:t>
      </w:r>
      <w:r>
        <w:t xml:space="preserve"> </w:t>
      </w:r>
      <w:r>
        <w:t xml:space="preserve">2018, before submission; version 1.1.8, 2025, was run here), also has no mechanism to bind a row</w:t>
      </w:r>
      <w:r>
        <w:t xml:space="preserve"> </w:t>
      </w:r>
      <w:r>
        <w:t xml:space="preserve">partition to a column partition: with 50 starts and free block-type choice (the regime in which</w:t>
      </w:r>
      <w:r>
        <w:t xml:space="preserve"> </w:t>
      </w:r>
      <w:r>
        <w:t xml:space="preserve">the objective is degenerate, see below) it returned solutions whose two partitions of the</w:t>
      </w:r>
      <w:r>
        <w:t xml:space="preserve"> </w:t>
      </w:r>
      <w:r>
        <w:t xml:space="preserve">intermediate mode differed, and in our own implementation with block types fixed to the thesis’s</w:t>
      </w:r>
      <w:r>
        <w:t xml:space="preserve"> </w:t>
      </w:r>
      <w:r>
        <w:t xml:space="preserve">image matrix, unconstrained partitions were equal in 0 of 120 starts. The research result is that the thesis’s workaround is</w:t>
      </w:r>
      <w:r>
        <w:t xml:space="preserve"> </w:t>
      </w:r>
      <w:r>
        <w:t xml:space="preserve">itself a constrained solution: its augmented one-mode matrix has only one partition of the 34 nodes,</w:t>
      </w:r>
      <w:r>
        <w:t xml:space="preserve"> </w:t>
      </w:r>
      <w:r>
        <w:t xml:space="preserve">with error 14 against 18 for the best constrained search from 120 starts in our implementation, and</w:t>
      </w:r>
      <w:r>
        <w:t xml:space="preserve"> </w:t>
      </w:r>
      <w:r>
        <w:t xml:space="preserve">no improvement from a constrained search started at the thesis’s partition. The tool limit blocked a</w:t>
      </w:r>
      <w:r>
        <w:t xml:space="preserve"> </w:t>
      </w:r>
      <w:r>
        <w:t xml:space="preserve">representation, not a result, as far as these searches reach. Two discrepancies in the thesis’s</w:t>
      </w:r>
      <w:r>
        <w:t xml:space="preserve"> </w:t>
      </w:r>
      <w:r>
        <w:t xml:space="preserve">own description were found: the matrix is written as having</w:t>
      </w:r>
      <w:r>
        <w:t xml:space="preserve"> </w:t>
      </w:r>
      <w:r>
        <w:rPr>
          <w:i/>
          <w:iCs/>
        </w:rPr>
        <w:t xml:space="preserve">i + k</w:t>
      </w:r>
      <w:r>
        <w:t xml:space="preserve"> </w:t>
      </w:r>
      <w:r>
        <w:t xml:space="preserve">= 21 columns where the block</w:t>
      </w:r>
      <w:r>
        <w:t xml:space="preserve"> </w:t>
      </w:r>
      <w:r>
        <w:t xml:space="preserve">form gives</w:t>
      </w:r>
      <w:r>
        <w:t xml:space="preserve"> </w:t>
      </w:r>
      <w:r>
        <w:rPr>
          <w:i/>
          <w:iCs/>
        </w:rPr>
        <w:t xml:space="preserve">j + k</w:t>
      </w:r>
      <w:r>
        <w:t xml:space="preserve"> </w:t>
      </w:r>
      <w:r>
        <w:t xml:space="preserve">= 22 (an error), and the stated total error of 14 counts only the 32 three-mode</w:t>
      </w:r>
      <w:r>
        <w:t xml:space="preserve"> </w:t>
      </w:r>
      <w:r>
        <w:t xml:space="preserve">blocks without saying so (an omission; the total over all 144 blocks, 163, is needed to check it).</w:t>
      </w:r>
      <w:r>
        <w:t xml:space="preserve"> </w:t>
      </w:r>
      <w:r>
        <w:t xml:space="preserve">The thesis also states that block types may be given priorities or weights without reporting the</w:t>
      </w:r>
      <w:r>
        <w:t xml:space="preserve"> </w:t>
      </w:r>
      <w:r>
        <w:t xml:space="preserve">values; with free block-type choice the objective is degenerate, so all searches in our own</w:t>
      </w:r>
      <w:r>
        <w:t xml:space="preserve"> </w:t>
      </w:r>
      <w:r>
        <w:t xml:space="preserve">implementation fixed the types per position to the thesis’s own image matrix, while the R-package</w:t>
      </w:r>
      <w:r>
        <w:t xml:space="preserve"> </w:t>
      </w:r>
      <w:r>
        <w:t xml:space="preserve">run reported above used free block-type choice.</w:t>
      </w:r>
    </w:p>
    <w:p>
      <w:pPr>
        <w:pStyle w:val="BodyText"/>
      </w:pPr>
      <w:r>
        <w:rPr>
          <w:b/>
          <w:bCs/>
        </w:rPr>
        <w:t xml:space="preserve">SAK-09c, SAK-08, SAK-11.</w:t>
      </w:r>
      <w:r>
        <w:t xml:space="preserve"> </w:t>
      </w:r>
      <w:r>
        <w:t xml:space="preserve">Automatic generation of a concept network from interview material</w:t>
      </w:r>
      <w:r>
        <w:t xml:space="preserve"> </w:t>
      </w:r>
      <w:r>
        <w:t xml:space="preserve">(SAK-09c) cannot be attempted: the archive record has one content file, and the thesis states that</w:t>
      </w:r>
      <w:r>
        <w:t xml:space="preserve"> </w:t>
      </w:r>
      <w:r>
        <w:t xml:space="preserve">interviewee profiles are withheld under consent — a barrier that will not fall with any model.</w:t>
      </w:r>
      <w:r>
        <w:t xml:space="preserve"> </w:t>
      </w:r>
      <w:r>
        <w:t xml:space="preserve">Continuous re-running of an agent-based model split for processing time (SAK-08) cannot be attempted:</w:t>
      </w:r>
      <w:r>
        <w:t xml:space="preserve"> </w:t>
      </w:r>
      <w:r>
        <w:t xml:space="preserve">six routes (the article, the institutional repository, CoMSES, GitHub, Crossref relations, the</w:t>
      </w:r>
      <w:r>
        <w:t xml:space="preserve"> </w:t>
      </w:r>
      <w:r>
        <w:t xml:space="preserve">author’s ORCID record) hold no model code; re-implementation from a ten-page article would be a</w:t>
      </w:r>
      <w:r>
        <w:t xml:space="preserve"> </w:t>
      </w:r>
      <w:r>
        <w:t xml:space="preserve">different model. Full enumeration of the outage scenarios of a stochastic grid-hardening model</w:t>
      </w:r>
      <w:r>
        <w:t xml:space="preserve"> </w:t>
      </w:r>
      <w:r>
        <w:t xml:space="preserve">(SAK-11) cannot be reproduced: the scenario set and the parameters of its distribution are not</w:t>
      </w:r>
      <w:r>
        <w:t xml:space="preserve"> </w:t>
      </w:r>
      <w:r>
        <w:t xml:space="preserve">reported, the cross-validation result exists only as a figure, and the full problem — C(41,7) =</w:t>
      </w:r>
      <w:r>
        <w:t xml:space="preserve"> </w:t>
      </w:r>
      <w:r>
        <w:t xml:space="preserve">22 481 940 scenarios, verified against MATPOWER case30 with 41 lines, scaled linearly from the</w:t>
      </w:r>
      <w:r>
        <w:t xml:space="preserve"> </w:t>
      </w:r>
      <w:r>
        <w:t xml:space="preserve">article’s table 2 to ≈ 3.28 × 10⁹ variables and ≈ 5.03 × 10⁹ constraints — has a coefficient matrix of</w:t>
      </w:r>
      <w:r>
        <w:t xml:space="preserve"> </w:t>
      </w:r>
      <w:r>
        <w:t xml:space="preserve">0.2–0.4 TB against 11 GB available. The article’s own claim that 100 scenarios are</w:t>
      </w:r>
      <w:r>
        <w:t xml:space="preserve"> </w:t>
      </w:r>
      <w:r>
        <w:t xml:space="preserve">“less than</w:t>
      </w:r>
      <w:r>
        <w:t xml:space="preserve"> </w:t>
      </w:r>
      <w:r>
        <w:t xml:space="preserve">0.001 %”</w:t>
      </w:r>
      <w:r>
        <w:t xml:space="preserve"> </w:t>
      </w:r>
      <w:r>
        <w:t xml:space="preserve">of the space is confirmed: 0.000445 %.</w:t>
      </w:r>
    </w:p>
    <w:p>
      <w:pPr>
        <w:pStyle w:val="BodyText"/>
      </w:pPr>
      <w:r>
        <w:rPr>
          <w:b/>
          <w:bCs/>
        </w:rPr>
        <w:t xml:space="preserve">The pattern.</w:t>
      </w:r>
      <w:r>
        <w:t xml:space="preserve"> </w:t>
      </w:r>
      <w:r>
        <w:t xml:space="preserve">Three cases reached a locked criterion, but only SAK-14 had a numerical threshold,</w:t>
      </w:r>
      <w:r>
        <w:t xml:space="preserve"> </w:t>
      </w:r>
      <w:r>
        <w:t xml:space="preserve">and it fell short by 2.2 percentage points. In three of five new cases the input needed was not</w:t>
      </w:r>
      <w:r>
        <w:t xml:space="preserve"> </w:t>
      </w:r>
      <w:r>
        <w:t xml:space="preserve">available — withheld under consent, not found in six checked routes, not reported; in the fourth the</w:t>
      </w:r>
      <w:r>
        <w:t xml:space="preserve"> </w:t>
      </w:r>
      <w:r>
        <w:t xml:space="preserve">named means lacks the mechanism.</w:t>
      </w:r>
      <w:r>
        <w:t xml:space="preserve"> </w:t>
      </w:r>
      <w:r>
        <w:t xml:space="preserve">The condition distribution over the six is 2–1–3 (stopped at condition i: SAK-09c, SAK-08; at</w:t>
      </w:r>
      <w:r>
        <w:t xml:space="preserve"> </w:t>
      </w:r>
      <w:r>
        <w:t xml:space="preserve">condition ii: SAK-11; reached condition iii: PS-246, SAK-14, SAK-09b). In phase 2 the gate is not what</w:t>
      </w:r>
      <w:r>
        <w:t xml:space="preserve"> </w:t>
      </w:r>
      <w:r>
        <w:t xml:space="preserve">filters; access is.</w:t>
      </w:r>
    </w:p>
    <w:bookmarkEnd w:id="28"/>
    <w:bookmarkStart w:id="29" w:name="has-anyone-done-it-since"/>
    <w:p>
      <w:pPr>
        <w:pStyle w:val="Heading3"/>
      </w:pPr>
      <w:r>
        <w:t xml:space="preserve">4.6 Has anyone done it since?</w:t>
      </w:r>
    </w:p>
    <w:p>
      <w:pPr>
        <w:pStyle w:val="FirstParagraph"/>
      </w:pPr>
      <w:r>
        <w:t xml:space="preserve">For four parked items — dating of the jewellery and metal finds from deposit pit H at the Demeter</w:t>
      </w:r>
      <w:r>
        <w:t xml:space="preserve"> </w:t>
      </w:r>
      <w:r>
        <w:t xml:space="preserve">sanctuary at Knossos (Karatas 2018, W2974992769, 3 citing works), the joint evaluation of pottery,</w:t>
      </w:r>
      <w:r>
        <w:t xml:space="preserve"> </w:t>
      </w:r>
      <w:r>
        <w:t xml:space="preserve">artefacts and houses at Eythra (Mecking et al. 2017, W4317830072, 2 citing works), further analyses</w:t>
      </w:r>
      <w:r>
        <w:t xml:space="preserve"> </w:t>
      </w:r>
      <w:r>
        <w:t xml:space="preserve">of lead-processing crucibles from the fifth-millennium Lower Danube (Hansen et al. 2019,</w:t>
      </w:r>
      <w:r>
        <w:t xml:space="preserve"> </w:t>
      </w:r>
      <w:r>
        <w:t xml:space="preserve">W2936215896, 12 citing works) — the answer from the citation graph is no in all three, at a cost of</w:t>
      </w:r>
      <w:r>
        <w:t xml:space="preserve"> </w:t>
      </w:r>
      <w:r>
        <w:t xml:space="preserve">10 OpenAlex credits; for the fourth, the salinity term in the soil-water model of Pring 2016, the</w:t>
      </w:r>
      <w:r>
        <w:t xml:space="preserve"> </w:t>
      </w:r>
      <w:r>
        <w:t xml:space="preserve">answer is no from a search of the thesis text itself. The fields are not dormant: a broader search returns 137 hits for the Knossos</w:t>
      </w:r>
      <w:r>
        <w:t xml:space="preserve"> </w:t>
      </w:r>
      <w:r>
        <w:t xml:space="preserve">sanctuary and 81 for Eythra since publication. An obstacle is not lifted because the field keeps</w:t>
      </w:r>
      <w:r>
        <w:t xml:space="preserve"> </w:t>
      </w:r>
      <w:r>
        <w:t xml:space="preserve">working nearby. For Pring 2016 the parked term cannot be supplied from the thesis: electrical</w:t>
      </w:r>
      <w:r>
        <w:t xml:space="preserve"> </w:t>
      </w:r>
      <w:r>
        <w:t xml:space="preserve">conductivity is measured by the instruments but never reported as data (0 occurrences of dS/m, ECe,</w:t>
      </w:r>
      <w:r>
        <w:t xml:space="preserve"> </w:t>
      </w:r>
      <w:r>
        <w:t xml:space="preserve">“saturated paste”</w:t>
      </w:r>
      <w:r>
        <w:t xml:space="preserve"> </w:t>
      </w:r>
      <w:r>
        <w:t xml:space="preserve">or</w:t>
      </w:r>
      <w:r>
        <w:t xml:space="preserve"> </w:t>
      </w:r>
      <w:r>
        <w:t xml:space="preserve">“soluble salts”</w:t>
      </w:r>
      <w:r>
        <w:t xml:space="preserve"> </w:t>
      </w:r>
      <w:r>
        <w:t xml:space="preserve">in 579 109 characters of extracted text), and the one value</w:t>
      </w:r>
      <w:r>
        <w:t xml:space="preserve"> </w:t>
      </w:r>
      <w:r>
        <w:t xml:space="preserve">present, 0.0 μS/cm, is the value that was set.</w:t>
      </w:r>
    </w:p>
    <w:bookmarkEnd w:id="29"/>
    <w:bookmarkStart w:id="30" w:name="X0a632b2d207c0fde6d18efc318759d2efb52346"/>
    <w:p>
      <w:pPr>
        <w:pStyle w:val="Heading3"/>
      </w:pPr>
      <w:r>
        <w:t xml:space="preserve">4.7 Phase 3 — prospective gate and first measured recall</w:t>
      </w:r>
    </w:p>
    <w:p>
      <w:pPr>
        <w:pStyle w:val="FirstParagraph"/>
      </w:pPr>
      <w:r>
        <w:rPr>
          <w:i/>
          <w:iCs/>
        </w:rPr>
        <w:t xml:space="preserve">(Numbers in this section are from the ADDENDUM-25 run report of 30 September 2026 and are to be</w:t>
      </w:r>
      <w:r>
        <w:rPr>
          <w:i/>
          <w:iCs/>
        </w:rPr>
        <w:t xml:space="preserve"> </w:t>
      </w:r>
      <w:r>
        <w:rPr>
          <w:i/>
          <w:iCs/>
        </w:rPr>
        <w:t xml:space="preserve">anchored in the fact file’s phase 3 section before circulation.)</w:t>
      </w:r>
    </w:p>
    <w:p>
      <w:pPr>
        <w:pStyle w:val="BodyText"/>
      </w:pPr>
      <w:r>
        <w:t xml:space="preserve">Phase 3 (ADDENDUM-25, locked before the draw) applied the chain as locked — the code of §3.2 with</w:t>
      </w:r>
      <w:r>
        <w:t xml:space="preserve"> </w:t>
      </w:r>
      <w:r>
        <w:t xml:space="preserve">one extension made before the lock, a work-list input for works outside the first 100 — to</w:t>
      </w:r>
      <w:r>
        <w:t xml:space="preserve"> </w:t>
      </w:r>
      <w:r>
        <w:rPr>
          <w:b/>
          <w:bCs/>
        </w:rPr>
        <w:t xml:space="preserve">100</w:t>
      </w:r>
      <w:r>
        <w:rPr>
          <w:b/>
          <w:bCs/>
        </w:rPr>
        <w:t xml:space="preserve"> </w:t>
      </w:r>
      <w:r>
        <w:rPr>
          <w:b/>
          <w:bCs/>
        </w:rPr>
        <w:t xml:space="preserve">archaeology works</w:t>
      </w:r>
      <w:r>
        <w:t xml:space="preserve"> </w:t>
      </w:r>
      <w:r>
        <w:t xml:space="preserve">drawn with seed 734248 from the frozen frame, none of them among the first 100.</w:t>
      </w:r>
      <w:r>
        <w:t xml:space="preserve"> </w:t>
      </w:r>
      <w:r>
        <w:t xml:space="preserve">Before the sieve or the reader ran, a</w:t>
      </w:r>
      <w:r>
        <w:t xml:space="preserve"> </w:t>
      </w:r>
      <w:r>
        <w:rPr>
          <w:b/>
          <w:bCs/>
        </w:rPr>
        <w:t xml:space="preserve">reference set</w:t>
      </w:r>
      <w:r>
        <w:t xml:space="preserve"> </w:t>
      </w:r>
      <w:r>
        <w:t xml:space="preserve">was built: 20 of the 100 works, drawn with</w:t>
      </w:r>
      <w:r>
        <w:t xml:space="preserve"> </w:t>
      </w:r>
      <w:r>
        <w:t xml:space="preserve">the same seed, were read cover-to-cover by twenty agentic Opus instances, one per work, each with an</w:t>
      </w:r>
      <w:r>
        <w:t xml:space="preserve"> </w:t>
      </w:r>
      <w:r>
        <w:t xml:space="preserve">empty context, the coder-2 rule file and a block list, and every hit was recorded. The key was</w:t>
      </w:r>
      <w:r>
        <w:t xml:space="preserve"> </w:t>
      </w:r>
      <w:r>
        <w:t xml:space="preserve">secured on the archive volume with its hash at 10:20:05 UTC and the sieve started 29 seconds later;</w:t>
      </w:r>
      <w:r>
        <w:t xml:space="preserve"> </w:t>
      </w:r>
      <w:r>
        <w:t xml:space="preserve">at that point the order was enforced by procedure, and it has been enforced in the resume routine’s</w:t>
      </w:r>
      <w:r>
        <w:t xml:space="preserve"> </w:t>
      </w:r>
      <w:r>
        <w:t xml:space="preserve">code since 13:04 UTC the same day, which refuses to start the sieve until the reference set is</w:t>
      </w:r>
      <w:r>
        <w:t xml:space="preserve"> </w:t>
      </w:r>
      <w:r>
        <w:t xml:space="preserve">complete. Two gates were fixed in the same document: (1) blind agreement on 100</w:t>
      </w:r>
      <w:r>
        <w:t xml:space="preserve"> </w:t>
      </w:r>
      <w:r>
        <w:t xml:space="preserve">random reader hits, threshold 0.70; (2) recall of the reference set’s hits through the sieve and</w:t>
      </w:r>
      <w:r>
        <w:t xml:space="preserve"> </w:t>
      </w:r>
      <w:r>
        <w:t xml:space="preserve">through the reader, reported without a threshold.</w:t>
      </w:r>
    </w:p>
    <w:p>
      <w:pPr>
        <w:pStyle w:val="BodyText"/>
      </w:pPr>
      <w:r>
        <w:t xml:space="preserve">The 100 works gave</w:t>
      </w:r>
      <w:r>
        <w:t xml:space="preserve"> </w:t>
      </w:r>
      <w:r>
        <w:rPr>
          <w:b/>
          <w:bCs/>
        </w:rPr>
        <w:t xml:space="preserve">21 361 passages</w:t>
      </w:r>
      <w:r>
        <w:t xml:space="preserve">. The judge flagged 2 188; the extractor produced 1 923</w:t>
      </w:r>
      <w:r>
        <w:t xml:space="preserve"> </w:t>
      </w:r>
      <w:r>
        <w:t xml:space="preserve">windows (the run was interrupted four times — a session crash during extraction, a blocked write</w:t>
      </w:r>
      <w:r>
        <w:t xml:space="preserve"> </w:t>
      </w:r>
      <w:r>
        <w:t xml:space="preserve">path that stopped twelve reader sessions before any verdict was written, and two subscription</w:t>
      </w:r>
      <w:r>
        <w:t xml:space="preserve"> </w:t>
      </w:r>
      <w:r>
        <w:t xml:space="preserve">session limits mid-batch — and resumed each time from the locked code; the 1 357 extraction windows</w:t>
      </w:r>
      <w:r>
        <w:t xml:space="preserve"> </w:t>
      </w:r>
      <w:r>
        <w:t xml:space="preserve">written before the crash were byte-identical to the re-run, hash for hash); the</w:t>
      </w:r>
      <w:r>
        <w:t xml:space="preserve"> </w:t>
      </w:r>
      <w:r>
        <w:t xml:space="preserve">union is</w:t>
      </w:r>
      <w:r>
        <w:t xml:space="preserve"> </w:t>
      </w:r>
      <w:r>
        <w:rPr>
          <w:b/>
          <w:bCs/>
        </w:rPr>
        <w:t xml:space="preserve">4 107 passages, 19.2 %</w:t>
      </w:r>
      <w:r>
        <w:t xml:space="preserve"> </w:t>
      </w:r>
      <w:r>
        <w:t xml:space="preserve">of the corpus, against 12.8 % on the first 100 works. Fourteen</w:t>
      </w:r>
      <w:r>
        <w:t xml:space="preserve"> </w:t>
      </w:r>
      <w:r>
        <w:t xml:space="preserve">reader sessions (twelve batches, two of them completed in a second instance after a session limit)</w:t>
      </w:r>
      <w:r>
        <w:t xml:space="preserve"> </w:t>
      </w:r>
      <w:r>
        <w:t xml:space="preserve">judged all 4 107; every session reports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 </w:t>
      </w:r>
      <w:r>
        <w:t xml:space="preserve">in its transcript. The reader called</w:t>
      </w:r>
      <w:r>
        <w:t xml:space="preserve"> </w:t>
      </w:r>
      <w:r>
        <w:rPr>
          <w:b/>
          <w:bCs/>
        </w:rPr>
        <w:t xml:space="preserve">673</w:t>
      </w:r>
      <w:r>
        <w:t xml:space="preserve"> </w:t>
      </w:r>
      <w:r>
        <w:t xml:space="preserve">passages hits (16.4 % of the union), in 73 of the 100 works.</w:t>
      </w:r>
    </w:p>
    <w:p>
      <w:pPr>
        <w:pStyle w:val="BodyText"/>
      </w:pPr>
      <w:r>
        <w:rPr>
          <w:b/>
          <w:bCs/>
        </w:rPr>
        <w:t xml:space="preserve">Gate (1) held: 85 of 100 = 85.0 % [76.7–90.7].</w:t>
      </w:r>
      <w:r>
        <w:t xml:space="preserve"> </w:t>
      </w:r>
      <w:r>
        <w:t xml:space="preserve">The 100 rows were drawn with seed 734248 and read</w:t>
      </w:r>
      <w:r>
        <w:t xml:space="preserve"> </w:t>
      </w:r>
      <w:r>
        <w:t xml:space="preserve">by a separate instance under an assignment byte-identical to the template locked in ADDENDUM-25;</w:t>
      </w:r>
      <w:r>
        <w:t xml:space="preserve"> </w:t>
      </w:r>
      <w:r>
        <w:t xml:space="preserve">the instance reports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. Agreement again separates on the reader’s doubt flag: 97.4 %</w:t>
      </w:r>
      <w:r>
        <w:t xml:space="preserve"> </w:t>
      </w:r>
      <w:r>
        <w:t xml:space="preserve">without doubt, 77.4 % with. The figure is the same as the post hoc gate on the first material</w:t>
      </w:r>
      <w:r>
        <w:t xml:space="preserve"> </w:t>
      </w:r>
      <w:r>
        <w:t xml:space="preserve">(85 of 100), now under a gate fixed before the run.</w:t>
      </w:r>
    </w:p>
    <w:p>
      <w:pPr>
        <w:pStyle w:val="BodyText"/>
      </w:pPr>
      <w:r>
        <w:rPr>
          <w:b/>
          <w:bCs/>
        </w:rPr>
        <w:t xml:space="preserve">Gate (2), the first measured recall.</w:t>
      </w:r>
      <w:r>
        <w:t xml:space="preserve"> </w:t>
      </w:r>
      <w:r>
        <w:t xml:space="preserve">The reference readings found</w:t>
      </w:r>
      <w:r>
        <w:t xml:space="preserve"> </w:t>
      </w:r>
      <w:r>
        <w:rPr>
          <w:b/>
          <w:bCs/>
        </w:rPr>
        <w:t xml:space="preserve">104 hits in the 20</w:t>
      </w:r>
      <w:r>
        <w:rPr>
          <w:b/>
          <w:bCs/>
        </w:rPr>
        <w:t xml:space="preserve"> </w:t>
      </w:r>
      <w:r>
        <w:rPr>
          <w:b/>
          <w:bCs/>
        </w:rPr>
        <w:t xml:space="preserve">works</w:t>
      </w:r>
      <w:r>
        <w:t xml:space="preserve">. The sieve retained</w:t>
      </w:r>
      <w:r>
        <w:t xml:space="preserve"> </w:t>
      </w:r>
      <w:r>
        <w:rPr>
          <w:b/>
          <w:bCs/>
        </w:rPr>
        <w:t xml:space="preserve">95 of 104 = 91.3 % [84.4–95.4]</w:t>
      </w:r>
      <w:r>
        <w:t xml:space="preserve">; the reader confirmed</w:t>
      </w:r>
      <w:r>
        <w:t xml:space="preserve"> </w:t>
      </w:r>
      <w:r>
        <w:rPr>
          <w:b/>
          <w:bCs/>
        </w:rPr>
        <w:t xml:space="preserve">85 of 104 =</w:t>
      </w:r>
      <w:r>
        <w:rPr>
          <w:b/>
          <w:bCs/>
        </w:rPr>
        <w:t xml:space="preserve"> </w:t>
      </w:r>
      <w:r>
        <w:rPr>
          <w:b/>
          <w:bCs/>
        </w:rPr>
        <w:t xml:space="preserve">81.7 % [73.2–88.0]</w:t>
      </w:r>
      <w:r>
        <w:t xml:space="preserve">. The losses are of the same size at each stage: nine reference hits fell in the</w:t>
      </w:r>
      <w:r>
        <w:t xml:space="preserve"> </w:t>
      </w:r>
      <w:r>
        <w:t xml:space="preserve">sieve, ten at the reader. The reference hits are clustered: 51 of the 104 lie in one of the 20</w:t>
      </w:r>
      <w:r>
        <w:t xml:space="preserve"> </w:t>
      </w:r>
      <w:r>
        <w:t xml:space="preserve">works, and the Wilson intervals, which treat hits as independent, are therefore too narrow. Without</w:t>
      </w:r>
      <w:r>
        <w:t xml:space="preserve"> </w:t>
      </w:r>
      <w:r>
        <w:t xml:space="preserve">that work, sieve recall is 84.9 % and reader recall 71.7 %; both values are reported as a</w:t>
      </w:r>
      <w:r>
        <w:t xml:space="preserve"> </w:t>
      </w:r>
      <w:r>
        <w:t xml:space="preserve">sensitivity, and neither gate had a threshold on recall. This is recall against an LLM reference</w:t>
      </w:r>
      <w:r>
        <w:t xml:space="preserve"> </w:t>
      </w:r>
      <w:r>
        <w:t xml:space="preserve">reading, not against a human one, on 20 works, dominated by one; it is the first value the tool has for the quantity. It is recorded in the outcome</w:t>
      </w:r>
      <w:r>
        <w:t xml:space="preserve"> </w:t>
      </w:r>
      <w:r>
        <w:t xml:space="preserve">document of the run; the register schema still admits only</w:t>
      </w:r>
      <w:r>
        <w:t xml:space="preserve"> </w:t>
      </w:r>
      <w:r>
        <w:t xml:space="preserve">“not measured”</w:t>
      </w:r>
      <w:r>
        <w:t xml:space="preserve"> </w:t>
      </w:r>
      <w:r>
        <w:t xml:space="preserve">for the sieve-recall field</w:t>
      </w:r>
      <w:r>
        <w:t xml:space="preserve"> </w:t>
      </w:r>
      <w:r>
        <w:t xml:space="preserve">and is to be extended, with the reference set and n as provenance, before it carries a value.</w:t>
      </w:r>
    </w:p>
    <w:p>
      <w:pPr>
        <w:pStyle w:val="BodyText"/>
      </w:pPr>
      <w:r>
        <w:t xml:space="preserve">The list from this run is therefore named</w:t>
      </w:r>
      <w:r>
        <w:t xml:space="preserve"> </w:t>
      </w:r>
      <w:r>
        <w:rPr>
          <w:b/>
          <w:bCs/>
        </w:rPr>
        <w:t xml:space="preserve">worklist (prospective gate)</w:t>
      </w:r>
      <w:r>
        <w:t xml:space="preserve">; the list from the first</w:t>
      </w:r>
      <w:r>
        <w:t xml:space="preserve"> </w:t>
      </w:r>
      <w:r>
        <w:t xml:space="preserve">100 works remains a candidate list.</w:t>
      </w:r>
    </w:p>
    <w:p>
      <w:pPr>
        <w:pStyle w:val="BodyText"/>
      </w:pPr>
      <w:r>
        <w:t xml:space="preserve">On the new material H7 is 63.2 % of hits; the liftable classes are 101 of 628 decided hits (16.1 %)</w:t>
      </w:r>
      <w:r>
        <w:t xml:space="preserve"> </w:t>
      </w:r>
      <w:r>
        <w:t xml:space="preserve">and the undecided share 45 of 673 (6.7 %), against 19.0 % and 6.0 % on the first 100 works. Density</w:t>
      </w:r>
      <w:r>
        <w:t xml:space="preserve"> </w:t>
      </w:r>
      <w:r>
        <w:t xml:space="preserve">is 6.73 hits per work, against 10.96 in the first 25 archaeology works (31.5 against 40.6 per</w:t>
      </w:r>
      <w:r>
        <w:t xml:space="preserve"> </w:t>
      </w:r>
      <w:r>
        <w:t xml:space="preserve">1 000 passages of the corpus). Reader cost was 79.5 million context tokens over the 14 sessions:</w:t>
      </w:r>
      <w:r>
        <w:t xml:space="preserve"> </w:t>
      </w:r>
      <w:r>
        <w:rPr>
          <w:b/>
          <w:bCs/>
        </w:rPr>
        <w:t xml:space="preserve">118 185 per reader hit</w:t>
      </w:r>
      <w:r>
        <w:t xml:space="preserve">, against 164 805 on the first material, and 139 053 per hit confirmed</w:t>
      </w:r>
      <w:r>
        <w:t xml:space="preserve"> </w:t>
      </w:r>
      <w:r>
        <w:t xml:space="preserve">at the measured 85 % agreement. The deviations recorded in the outcome document include: the locked</w:t>
      </w:r>
      <w:r>
        <w:t xml:space="preserve"> </w:t>
      </w:r>
      <w:r>
        <w:t xml:space="preserve">register step writes a header that fails the schema strengthened before the lock, so the register</w:t>
      </w:r>
      <w:r>
        <w:t xml:space="preserve"> </w:t>
      </w:r>
      <w:r>
        <w:t xml:space="preserve">for this run is written by the corrected step, the one code change after the lock, with the row</w:t>
      </w:r>
      <w:r>
        <w:t xml:space="preserve"> </w:t>
      </w:r>
      <w:r>
        <w:t xml:space="preserve">content unchanged hash for hash; the OpenAlex credit balance before the draw was not recorded (only</w:t>
      </w:r>
      <w:r>
        <w:t xml:space="preserve"> </w:t>
      </w:r>
      <w:r>
        <w:t xml:space="preserve">after: 985); the reference gate existed as procedure, not code, when the sieve started; two reader</w:t>
      </w:r>
      <w:r>
        <w:t xml:space="preserve"> </w:t>
      </w:r>
      <w:r>
        <w:t xml:space="preserve">sessions hit the subscription’s session limit mid-batch and were completed in a second instance</w:t>
      </w:r>
      <w:r>
        <w:t xml:space="preserve"> </w:t>
      </w:r>
      <w:r>
        <w:t xml:space="preserve">without rewriting any existing verdict; and the twelve sessions blocked by the write path consumed</w:t>
      </w:r>
      <w:r>
        <w:t xml:space="preserve"> </w:t>
      </w:r>
      <w:r>
        <w:t xml:space="preserve">tokens without producing a verdict. The full list is in the outcome document, §0.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iscussion"/>
    <w:p>
      <w:pPr>
        <w:pStyle w:val="Heading2"/>
      </w:pPr>
      <w:r>
        <w:t xml:space="preserve">5 Discussion</w:t>
      </w:r>
    </w:p>
    <w:p>
      <w:pPr>
        <w:pStyle w:val="FirstParagraph"/>
      </w:pPr>
      <w:r>
        <w:rPr>
          <w:b/>
          <w:bCs/>
        </w:rPr>
        <w:t xml:space="preserve">What the tool delivers.</w:t>
      </w:r>
      <w:r>
        <w:t xml:space="preserve"> </w:t>
      </w:r>
      <w:r>
        <w:t xml:space="preserve">On this material a field enters and a candidate list leaves: rows with</w:t>
      </w:r>
      <w:r>
        <w:t xml:space="preserve"> </w:t>
      </w:r>
      <w:r>
        <w:t xml:space="preserve">class, doubt flag, sieve source, dated liftability, and a header stating which gate the list passed.</w:t>
      </w:r>
      <w:r>
        <w:t xml:space="preserve"> </w:t>
      </w:r>
      <w:r>
        <w:t xml:space="preserve">What it does not deliver is a judgement of whether a given obstacle can be lifted today. That is</w:t>
      </w:r>
      <w:r>
        <w:t xml:space="preserve"> </w:t>
      </w:r>
      <w:r>
        <w:t xml:space="preserve">casework per candidate — the five new attempts took about 5.5 hours of tool-assisted work in</w:t>
      </w:r>
      <w:r>
        <w:t xml:space="preserve"> </w:t>
      </w:r>
      <w:r>
        <w:t xml:space="preserve">total by commit times, from about 20 minutes (SAK-08) to about 2 hours 10 minutes (SAK-14), over</w:t>
      </w:r>
      <w:r>
        <w:t xml:space="preserve"> </w:t>
      </w:r>
      <w:r>
        <w:t xml:space="preserve">27–28 September — and</w:t>
      </w:r>
      <w:r>
        <w:t xml:space="preserve"> </w:t>
      </w:r>
      <w:r>
        <w:t xml:space="preserve">it is dated, because an obstacle can be reintroduced: the protocol’s H1 control case, a critical</w:t>
      </w:r>
      <w:r>
        <w:t xml:space="preserve"> </w:t>
      </w:r>
      <w:r>
        <w:t xml:space="preserve">edition outside the 100 works that was parked for want of time to collate three British Library</w:t>
      </w:r>
      <w:r>
        <w:t xml:space="preserve"> </w:t>
      </w:r>
      <w:r>
        <w:t xml:space="preserve">manuscripts, moved from H1 to H8 without a change to its text when the library’s digitised images</w:t>
      </w:r>
      <w:r>
        <w:t xml:space="preserve"> </w:t>
      </w:r>
      <w:r>
        <w:t xml:space="preserve">left the open channel in October 2023 (ADR-0010).</w:t>
      </w:r>
    </w:p>
    <w:p>
      <w:pPr>
        <w:pStyle w:val="BodyText"/>
      </w:pPr>
      <w:r>
        <w:rPr>
          <w:b/>
          <w:bCs/>
        </w:rPr>
        <w:t xml:space="preserve">The second claim.</w:t>
      </w:r>
      <w:r>
        <w:t xml:space="preserve"> </w:t>
      </w:r>
      <w:r>
        <w:t xml:space="preserve">On 100 works, zero of six attempted obstacles were lifted by a resource that did</w:t>
      </w:r>
      <w:r>
        <w:t xml:space="preserve"> </w:t>
      </w:r>
      <w:r>
        <w:t xml:space="preserve">not exist at publication. Two thirds of candidate rows are parked on data that never existed. Of</w:t>
      </w:r>
      <w:r>
        <w:t xml:space="preserve"> </w:t>
      </w:r>
      <w:r>
        <w:t xml:space="preserve">the six attempts — five in liftable classes and one (SAK-09c) in the undecided class, whose</w:t>
      </w:r>
      <w:r>
        <w:t xml:space="preserve"> </w:t>
      </w:r>
      <w:r>
        <w:t xml:space="preserve">liftability the protocol sets to</w:t>
      </w:r>
      <w:r>
        <w:t xml:space="preserve"> </w:t>
      </w:r>
      <w:r>
        <w:t xml:space="preserve">“undecided”</w:t>
      </w:r>
      <w:r>
        <w:t xml:space="preserve"> </w:t>
      </w:r>
      <w:r>
        <w:t xml:space="preserve">(ADDENDUM-05 §3) — three stopped on input we could</w:t>
      </w:r>
      <w:r>
        <w:t xml:space="preserve"> </w:t>
      </w:r>
      <w:r>
        <w:t xml:space="preserve">not obtain — withheld under consent, not found where it would be expected, not reported — and three</w:t>
      </w:r>
      <w:r>
        <w:t xml:space="preserve"> </w:t>
      </w:r>
      <w:r>
        <w:t xml:space="preserve">reached a locked criterion and stopped at its threshold or at the named means. The protocol’s second claim, that a share of</w:t>
      </w:r>
      <w:r>
        <w:t xml:space="preserve"> </w:t>
      </w:r>
      <w:r>
        <w:t xml:space="preserve">the named obstacles are lifted today and a share of those by AI (PREREG §1.2, our paraphrase), has</w:t>
      </w:r>
      <w:r>
        <w:t xml:space="preserve"> </w:t>
      </w:r>
      <w:r>
        <w:t xml:space="preserve">no support in this material. What</w:t>
      </w:r>
      <w:r>
        <w:t xml:space="preserve"> </w:t>
      </w:r>
      <w:r>
        <w:t xml:space="preserve">the attempts did produce is of a different kind: verified undone-ness, two mis-citations in a thesis</w:t>
      </w:r>
      <w:r>
        <w:t xml:space="preserve"> </w:t>
      </w:r>
      <w:r>
        <w:t xml:space="preserve">that could not be found without reading the Greek, a thesis’s workaround for which no better</w:t>
      </w:r>
      <w:r>
        <w:t xml:space="preserve"> </w:t>
      </w:r>
      <w:r>
        <w:t xml:space="preserve">constrained solution was found, and an undone enumeration whose sampled fraction the authors had</w:t>
      </w:r>
      <w:r>
        <w:t xml:space="preserve"> </w:t>
      </w:r>
      <w:r>
        <w:t xml:space="preserve">already reported as below 0.001 % — confirmed here as 0.000445 %.</w:t>
      </w:r>
    </w:p>
    <w:p>
      <w:pPr>
        <w:pStyle w:val="BodyText"/>
      </w:pPr>
      <w:r>
        <w:rPr>
          <w:b/>
          <w:bCs/>
        </w:rPr>
        <w:t xml:space="preserve">Language models as measurement instruments.</w:t>
      </w:r>
      <w:r>
        <w:t xml:space="preserve"> </w:t>
      </w:r>
      <w:r>
        <w:t xml:space="preserve">The reliability results bear on studies that use</w:t>
      </w:r>
      <w:r>
        <w:t xml:space="preserve"> </w:t>
      </w:r>
      <w:r>
        <w:t xml:space="preserve">LLM annotation. Hit-decision agreement between two frontier instances is high (0.812) and survives a</w:t>
      </w:r>
      <w:r>
        <w:t xml:space="preserve"> </w:t>
      </w:r>
      <w:r>
        <w:t xml:space="preserve">change of model family (0.899 against coder 2); class agreement is lower (0.722) and weakest at two</w:t>
      </w:r>
      <w:r>
        <w:t xml:space="preserve"> </w:t>
      </w:r>
      <w:r>
        <w:t xml:space="preserve">non-hit boundaries (N3 0.530, N2 0.535); a decision rule now exists for N3 but is untested, and</w:t>
      </w:r>
      <w:r>
        <w:t xml:space="preserve"> </w:t>
      </w:r>
      <w:r>
        <w:t xml:space="preserve">none for N2; the</w:t>
      </w:r>
      <w:r>
        <w:t xml:space="preserve"> </w:t>
      </w:r>
      <w:r>
        <w:t xml:space="preserve">set of items on which two coders agree without doubt is small (3 of 27); and a reader in one call</w:t>
      </w:r>
      <w:r>
        <w:t xml:space="preserve"> </w:t>
      </w:r>
      <w:r>
        <w:t xml:space="preserve">per item has a lower point estimate than the same model reading a batch with the rules in context, a</w:t>
      </w:r>
      <w:r>
        <w:t xml:space="preserve"> </w:t>
      </w:r>
      <w:r>
        <w:t xml:space="preserve">difference that is not statistically established here. The gates were locked before the runs, so</w:t>
      </w:r>
      <w:r>
        <w:t xml:space="preserve"> </w:t>
      </w:r>
      <w:r>
        <w:t xml:space="preserve">the losses could not be re-labelled afterwards.</w:t>
      </w:r>
    </w:p>
    <w:p>
      <w:pPr>
        <w:pStyle w:val="BodyText"/>
      </w:pPr>
      <w:r>
        <w:rPr>
          <w:b/>
          <w:bCs/>
        </w:rPr>
        <w:t xml:space="preserve">Five words.</w:t>
      </w:r>
      <w:r>
        <w:t xml:space="preserve"> </w:t>
      </w:r>
      <w:r>
        <w:t xml:space="preserve">The manuscript uses words that carry less than a reader will hear, and for each there</w:t>
      </w:r>
      <w:r>
        <w:t xml:space="preserve"> </w:t>
      </w:r>
      <w:r>
        <w:t xml:space="preserve">is a measured number saying how much less.</w:t>
      </w:r>
      <w:r>
        <w:t xml:space="preserve"> </w:t>
      </w:r>
      <w:r>
        <w:rPr>
          <w:i/>
          <w:iCs/>
        </w:rPr>
        <w:t xml:space="preserve">Lifted</w:t>
      </w:r>
      <w:r>
        <w:t xml:space="preserve"> </w:t>
      </w:r>
      <w:r>
        <w:t xml:space="preserve">had no definition until ADR-0013; the six cases</w:t>
      </w:r>
      <w:r>
        <w:t xml:space="preserve"> </w:t>
      </w:r>
      <w:r>
        <w:t xml:space="preserve">stopped at three different places and were all called</w:t>
      </w:r>
      <w:r>
        <w:t xml:space="preserve"> </w:t>
      </w:r>
      <w:r>
        <w:t xml:space="preserve">“not lifted”</w:t>
      </w:r>
      <w:r>
        <w:t xml:space="preserve">.</w:t>
      </w:r>
      <w:r>
        <w:t xml:space="preserve"> </w:t>
      </w:r>
      <w:r>
        <w:rPr>
          <w:i/>
          <w:iCs/>
        </w:rPr>
        <w:t xml:space="preserve">Reference set</w:t>
      </w:r>
      <w:r>
        <w:t xml:space="preserve"> </w:t>
      </w:r>
      <w:r>
        <w:t xml:space="preserve">is judge-</w:t>
      </w:r>
      <w:r>
        <w:t xml:space="preserve"> </w:t>
      </w:r>
      <w:r>
        <w:t xml:space="preserve">conditioned and measures recall loss relative to the judge, not precision, absolute recall or</w:t>
      </w:r>
      <w:r>
        <w:t xml:space="preserve"> </w:t>
      </w:r>
      <w:r>
        <w:t xml:space="preserve">prevalence.</w:t>
      </w:r>
      <w:r>
        <w:t xml:space="preserve"> </w:t>
      </w:r>
      <w:r>
        <w:rPr>
          <w:i/>
          <w:iCs/>
        </w:rPr>
        <w:t xml:space="preserve">Confirmed</w:t>
      </w:r>
      <w:r>
        <w:t xml:space="preserve"> </w:t>
      </w:r>
      <w:r>
        <w:t xml:space="preserve">means a post hoc gate at 85 of 100, not the preregistered one, and 15 of the</w:t>
      </w:r>
      <w:r>
        <w:t xml:space="preserve"> </w:t>
      </w:r>
      <w:r>
        <w:t xml:space="preserve">100 were coded by a second instance.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(3 of 27) is a property of two LLM coders’ agreement</w:t>
      </w:r>
      <w:r>
        <w:t xml:space="preserve"> </w:t>
      </w:r>
      <w:r>
        <w:t xml:space="preserve">without doubt marks.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means an empty context and a separate scratch directory, not</w:t>
      </w:r>
      <w:r>
        <w:t xml:space="preserve"> </w:t>
      </w:r>
      <w:r>
        <w:t xml:space="preserve">independent judgement: every coder is a language model. Three words carry their weight and are used</w:t>
      </w:r>
      <w:r>
        <w:t xml:space="preserve"> </w:t>
      </w:r>
      <w:r>
        <w:t xml:space="preserve">instead where possible:</w:t>
      </w:r>
      <w:r>
        <w:t xml:space="preserve"> </w:t>
      </w:r>
      <w:r>
        <w:rPr>
          <w:i/>
          <w:iCs/>
        </w:rPr>
        <w:t xml:space="preserve">candidate list</w:t>
      </w:r>
      <w:r>
        <w:t xml:space="preserve">,</w:t>
      </w:r>
      <w:r>
        <w:t xml:space="preserve"> </w:t>
      </w:r>
      <w:r>
        <w:rPr>
          <w:i/>
          <w:iCs/>
        </w:rPr>
        <w:t xml:space="preserve">not measured</w:t>
      </w:r>
      <w:r>
        <w:t xml:space="preserve">,</w:t>
      </w:r>
      <w:r>
        <w:t xml:space="preserve"> </w:t>
      </w:r>
      <w:r>
        <w:rPr>
          <w:i/>
          <w:iCs/>
        </w:rPr>
        <w:t xml:space="preserve">dated assessment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limitations"/>
    <w:p>
      <w:pPr>
        <w:pStyle w:val="Heading2"/>
      </w:pPr>
      <w:r>
        <w:t xml:space="preserve">6 Limitations</w:t>
      </w:r>
    </w:p>
    <w:p>
      <w:pPr>
        <w:pStyle w:val="Compact"/>
        <w:numPr>
          <w:ilvl w:val="0"/>
          <w:numId w:val="1003"/>
        </w:numPr>
      </w:pPr>
      <w:r>
        <w:t xml:space="preserve">Three codings of the 320 passages, all by language models, none by a human. Coders 1 and 2 are</w:t>
      </w:r>
      <w:r>
        <w:t xml:space="preserve"> </w:t>
      </w:r>
      <w:r>
        <w:t xml:space="preserve">Opus instances; coder 4 is a different family, with 7 of 320 rows exposed. κ against human reading</w:t>
      </w:r>
      <w:r>
        <w:t xml:space="preserve"> </w:t>
      </w:r>
      <w:r>
        <w:t xml:space="preserve">is unknown.</w:t>
      </w:r>
    </w:p>
    <w:p>
      <w:pPr>
        <w:pStyle w:val="Compact"/>
        <w:numPr>
          <w:ilvl w:val="0"/>
          <w:numId w:val="1003"/>
        </w:numPr>
      </w:pPr>
      <w:r>
        <w:t xml:space="preserve">Assessability (M2) carries coder identity: the protocol never defined what counts as assessable</w:t>
      </w:r>
      <w:r>
        <w:t xml:space="preserve"> </w:t>
      </w:r>
      <w:r>
        <w:t xml:space="preserve">without a domain expert, and two readings within its wording gave 88 % and 32 %</w:t>
      </w:r>
      <w:r>
        <w:t xml:space="preserve"> </w:t>
      </w:r>
      <w:r>
        <w:rPr>
          <w:i/>
          <w:iCs/>
        </w:rPr>
        <w:t xml:space="preserve">(source:</w:t>
      </w:r>
      <w:r>
        <w:rPr>
          <w:i/>
          <w:iCs/>
        </w:rPr>
        <w:t xml:space="preserve"> </w:t>
      </w:r>
      <w:r>
        <w:rPr>
          <w:i/>
          <w:iCs/>
        </w:rPr>
        <w:t xml:space="preserve">MASTER §4, ADDENDUM-11)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Four purposively chosen fields; the numbers hold for these four.</w:t>
      </w:r>
    </w:p>
    <w:p>
      <w:pPr>
        <w:pStyle w:val="Compact"/>
        <w:numPr>
          <w:ilvl w:val="0"/>
          <w:numId w:val="1003"/>
        </w:numPr>
      </w:pPr>
      <w:r>
        <w:t xml:space="preserve">Open-access and retrievability selection with strong publisher skew by delivery format.</w:t>
      </w:r>
    </w:p>
    <w:p>
      <w:pPr>
        <w:pStyle w:val="Compact"/>
        <w:numPr>
          <w:ilvl w:val="0"/>
          <w:numId w:val="1003"/>
        </w:numPr>
      </w:pPr>
      <w:r>
        <w:t xml:space="preserve">The preregistration was not externally timestamped before data; OpenTimestamps receipts exist from</w:t>
      </w:r>
      <w:r>
        <w:t xml:space="preserve"> </w:t>
      </w:r>
      <w:r>
        <w:t xml:space="preserve">28 September 2026 for all locks.</w:t>
      </w:r>
    </w:p>
    <w:p>
      <w:pPr>
        <w:pStyle w:val="Compact"/>
        <w:numPr>
          <w:ilvl w:val="0"/>
          <w:numId w:val="1003"/>
        </w:numPr>
      </w:pPr>
      <w:r>
        <w:t xml:space="preserve">Rule clarifications were written after data (ADDENDUM-10 moved 1 of 48 doubtful cases).</w:t>
      </w:r>
    </w:p>
    <w:p>
      <w:pPr>
        <w:pStyle w:val="Compact"/>
        <w:numPr>
          <w:ilvl w:val="0"/>
          <w:numId w:val="1003"/>
        </w:numPr>
      </w:pPr>
      <w:r>
        <w:t xml:space="preserve">On the first 100 works the sieve’s recall is not measured, because the reference set is the</w:t>
      </w:r>
      <w:r>
        <w:t xml:space="preserve"> </w:t>
      </w:r>
      <w:r>
        <w:t xml:space="preserve">sieve’s own output. Phase 3 supplies one measured value — 91.3 % for the sieve, 81.7 % through</w:t>
      </w:r>
      <w:r>
        <w:t xml:space="preserve"> </w:t>
      </w:r>
      <w:r>
        <w:t xml:space="preserve">the reader — against an LLM reference reading of 20 works in one field, with 51 of the 104</w:t>
      </w:r>
      <w:r>
        <w:t xml:space="preserve"> </w:t>
      </w:r>
      <w:r>
        <w:t xml:space="preserve">reference hits in a single work (84.9 % and 71.7 % without it).</w:t>
      </w:r>
    </w:p>
    <w:p>
      <w:pPr>
        <w:pStyle w:val="Compact"/>
        <w:numPr>
          <w:ilvl w:val="0"/>
          <w:numId w:val="1003"/>
        </w:numPr>
      </w:pPr>
      <w:r>
        <w:t xml:space="preserve">No frontier-model judge was used at passage level for the whole corpus; the local judge is the sieve.</w:t>
      </w:r>
    </w:p>
    <w:p>
      <w:pPr>
        <w:pStyle w:val="Compact"/>
        <w:numPr>
          <w:ilvl w:val="0"/>
          <w:numId w:val="1003"/>
        </w:numPr>
      </w:pPr>
      <w:r>
        <w:t xml:space="preserve">Register v2 did not validate against its own schema until 27 September 2026: a sieve-precision</w:t>
      </w:r>
      <w:r>
        <w:t xml:space="preserve"> </w:t>
      </w:r>
      <w:r>
        <w:t xml:space="preserve">interval was missing on all rows and citation coverage carried an unmeasured zero; corrected without</w:t>
      </w:r>
      <w:r>
        <w:t xml:space="preserve"> </w:t>
      </w:r>
      <w:r>
        <w:t xml:space="preserve">new measurement (register sha256</w:t>
      </w:r>
      <w:r>
        <w:t xml:space="preserve"> </w:t>
      </w:r>
      <w:r>
        <w:rPr>
          <w:rStyle w:val="VerbatimChar"/>
        </w:rPr>
        <w:t xml:space="preserve">aa8f7c2e…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6caabaff…</w:t>
      </w:r>
      <w:r>
        <w:t xml:space="preserve">; the register cited in this draft,</w:t>
      </w:r>
      <w:r>
        <w:t xml:space="preserve"> </w:t>
      </w:r>
      <w:r>
        <w:rPr>
          <w:rStyle w:val="VerbatimChar"/>
        </w:rPr>
        <w:t xml:space="preserve">c6895202…</w:t>
      </w:r>
      <w:r>
        <w:t xml:space="preserve">, is the state after four later case updates).</w:t>
      </w:r>
    </w:p>
    <w:p>
      <w:pPr>
        <w:pStyle w:val="Compact"/>
        <w:numPr>
          <w:ilvl w:val="0"/>
          <w:numId w:val="1003"/>
        </w:numPr>
      </w:pPr>
      <w:r>
        <w:t xml:space="preserve">The tool is open in licence but not in practice: without an agentic frontier reader, the sieve is</w:t>
      </w:r>
      <w:r>
        <w:t xml:space="preserve"> </w:t>
      </w:r>
      <w:r>
        <w:t xml:space="preserve">all one gets, and the sieve is 15.2 % precise (432 of 2 844).</w:t>
      </w:r>
    </w:p>
    <w:p>
      <w:r>
        <w:pict>
          <v:rect style="width:0;height:1.5pt" o:hralign="center" o:hrstd="t" o:hr="t"/>
        </w:pict>
      </w:r>
    </w:p>
    <w:bookmarkEnd w:id="33"/>
    <w:bookmarkStart w:id="34" w:name="data-code-and-availability"/>
    <w:p>
      <w:pPr>
        <w:pStyle w:val="Heading2"/>
      </w:pPr>
      <w:r>
        <w:t xml:space="preserve">7 Data, code and availability</w:t>
      </w:r>
    </w:p>
    <w:p>
      <w:pPr>
        <w:pStyle w:val="FirstParagraph"/>
      </w:pPr>
      <w:r>
        <w:t xml:space="preserve">Code is Apache-2.0 at</w:t>
      </w:r>
      <w:r>
        <w:t xml:space="preserve"> </w:t>
      </w:r>
      <w:hyperlink r:id="rId9">
        <w:r>
          <w:rPr>
            <w:rStyle w:val="Hyperlink"/>
          </w:rPr>
          <w:t xml:space="preserve">https://github.com/avalyset/gjenopptak</w:t>
        </w:r>
      </w:hyperlink>
      <w:r>
        <w:t xml:space="preserve"> </w:t>
      </w:r>
      <w:r>
        <w:t xml:space="preserve">(public branch: a root commit plus one</w:t>
      </w:r>
      <w:r>
        <w:t xml:space="preserve"> </w:t>
      </w:r>
      <w:r>
        <w:t xml:space="preserve">release commit per canonical version, the latest tagged</w:t>
      </w:r>
      <w:r>
        <w:t xml:space="preserve"> </w:t>
      </w:r>
      <w:r>
        <w:rPr>
          <w:rStyle w:val="VerbatimChar"/>
        </w:rPr>
        <w:t xml:space="preserve">v0.4</w:t>
      </w:r>
      <w:r>
        <w:t xml:space="preserve">; the full working history is in the git</w:t>
      </w:r>
      <w:r>
        <w:t xml:space="preserve"> </w:t>
      </w:r>
      <w:r>
        <w:t xml:space="preserve">bundle deposited with version 0.4.0). Own data are CC BY 4.0. Third-party text is not redistributed: full texts and</w:t>
      </w:r>
      <w:r>
        <w:t xml:space="preserve"> </w:t>
      </w:r>
      <w:r>
        <w:t xml:space="preserve">the 22 243 passages stay out of the deposit as a decision (licence audit, 28 September 2026),</w:t>
      </w:r>
      <w:r>
        <w:t xml:space="preserve"> </w:t>
      </w:r>
      <w:r>
        <w:t xml:space="preserve">quotations rest on the right of quotation with source attribution, and blind files are deposited</w:t>
      </w:r>
      <w:r>
        <w:t xml:space="preserve"> </w:t>
      </w:r>
      <w:r>
        <w:t xml:space="preserve">as indices (identifier, work, sentence span, sha256 of the text) from which the text is regenerated</w:t>
      </w:r>
      <w:r>
        <w:t xml:space="preserve"> </w:t>
      </w:r>
      <w:r>
        <w:t xml:space="preserve">deterministically from the open sources and verified against the hash. Licence per work is recorded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LISENS-PER-VERK.md</w:t>
      </w:r>
      <w:r>
        <w:t xml:space="preserve">; 13 of the 60 works in the candidate list carry NC or ND terms. Version 0.4.0</w:t>
      </w:r>
      <w:r>
        <w:t xml:space="preserve"> </w:t>
      </w:r>
      <w:r>
        <w:t xml:space="preserve">was published on 1 October 2026 (version DOI 10.5281/zenodo.23073893; the concept DOI</w:t>
      </w:r>
      <w:r>
        <w:t xml:space="preserve"> </w:t>
      </w:r>
      <w:r>
        <w:t xml:space="preserve">10.5281/zenodo.22959326 resolves to the latest version). It holds 98 files: the protocol, all 25</w:t>
      </w:r>
      <w:r>
        <w:t xml:space="preserve"> </w:t>
      </w:r>
      <w:r>
        <w:t xml:space="preserve">addenda and the decision records, the method document, the lessons log, the result notes, this</w:t>
      </w:r>
      <w:r>
        <w:t xml:space="preserve"> </w:t>
      </w:r>
      <w:r>
        <w:t xml:space="preserve">manuscript draft with its hash-anchored fact file, the rule file behind κ = 0.812, the blind-file</w:t>
      </w:r>
      <w:r>
        <w:t xml:space="preserve"> </w:t>
      </w:r>
      <w:r>
        <w:t xml:space="preserve">indices, the keys of completed measurements, the phase 3 measurements and register, the licence</w:t>
      </w:r>
      <w:r>
        <w:t xml:space="preserve"> </w:t>
      </w:r>
      <w:r>
        <w:t xml:space="preserve">table, the OpenTimestamps receipts, the source code and a git bundle of the full history. The case</w:t>
      </w:r>
      <w:r>
        <w:t xml:space="preserve"> </w:t>
      </w:r>
      <w:r>
        <w:t xml:space="preserve">files with their register, the seven fact-check reports, and the five reader assignments with their</w:t>
      </w:r>
      <w:r>
        <w:t xml:space="preserve"> </w:t>
      </w:r>
      <w:r>
        <w:t xml:space="preserve">block lists and a provenance note are packed in three zip archives, because the repository accepts at</w:t>
      </w:r>
      <w:r>
        <w:t xml:space="preserve"> </w:t>
      </w:r>
      <w:r>
        <w:t xml:space="preserve">most 100 files per record. The candidate list from the first 100 works (register v2) is not in any</w:t>
      </w:r>
      <w:r>
        <w:t xml:space="preserve"> </w:t>
      </w:r>
      <w:r>
        <w:t xml:space="preserve">deposited version. Versions 0.1.0–0.3.0 remain available under the same concept DOI.</w:t>
      </w:r>
    </w:p>
    <w:bookmarkEnd w:id="34"/>
    <w:bookmarkStart w:id="37" w:name="statements-and-declarations"/>
    <w:p>
      <w:pPr>
        <w:pStyle w:val="Heading2"/>
      </w:pPr>
      <w:r>
        <w:t xml:space="preserve">Statements and Declarations</w:t>
      </w:r>
    </w:p>
    <w:p>
      <w:pPr>
        <w:pStyle w:val="FirstParagraph"/>
      </w:pPr>
      <w:r>
        <w:rPr>
          <w:b/>
          <w:bCs/>
        </w:rPr>
        <w:t xml:space="preserve">Funding.</w:t>
      </w:r>
      <w:r>
        <w:t xml:space="preserve"> </w:t>
      </w:r>
      <w:r>
        <w:t xml:space="preserve">No funding was received for conducting this study.</w:t>
      </w:r>
    </w:p>
    <w:p>
      <w:pPr>
        <w:pStyle w:val="BodyText"/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The author has no relevant financial or non-financial interests to disclose.</w:t>
      </w:r>
    </w:p>
    <w:p>
      <w:pPr>
        <w:pStyle w:val="BodyText"/>
      </w:pPr>
      <w:r>
        <w:rPr>
          <w:b/>
          <w:bCs/>
        </w:rPr>
        <w:t xml:space="preserve">Ethics approval and consent.</w:t>
      </w:r>
      <w:r>
        <w:t xml:space="preserve"> </w:t>
      </w:r>
      <w:r>
        <w:t xml:space="preserve">Not applicable: the study analyses published open-access texts and involves no human participants.</w:t>
      </w:r>
    </w:p>
    <w:p>
      <w:pPr>
        <w:pStyle w:val="BodyText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Code (Apache-2.0) and the author’s own data (CC BY 4.0) are openly available at Zenodo, concept DOI</w:t>
      </w:r>
      <w:r>
        <w:t xml:space="preserve"> </w:t>
      </w:r>
      <w:hyperlink r:id="rId35">
        <w:r>
          <w:rPr>
            <w:rStyle w:val="Hyperlink"/>
          </w:rPr>
          <w:t xml:space="preserve">https://doi.org/10.5281/zenodo.22959326</w:t>
        </w:r>
      </w:hyperlink>
      <w:r>
        <w:t xml:space="preserve"> </w:t>
      </w:r>
      <w:r>
        <w:t xml:space="preserve">(all versions); the version holding this manuscript is 0.4.1,</w:t>
      </w:r>
      <w:r>
        <w:t xml:space="preserve"> </w:t>
      </w:r>
      <w:hyperlink r:id="rId36">
        <w:r>
          <w:rPr>
            <w:rStyle w:val="Hyperlink"/>
          </w:rPr>
          <w:t xml:space="preserve">https://doi.org/10.5281/zenodo.23096158</w:t>
        </w:r>
      </w:hyperlink>
      <w:r>
        <w:t xml:space="preserve">. Source repository:</w:t>
      </w:r>
      <w:r>
        <w:t xml:space="preserve"> </w:t>
      </w:r>
      <w:hyperlink r:id="rId9">
        <w:r>
          <w:rPr>
            <w:rStyle w:val="Hyperlink"/>
          </w:rPr>
          <w:t xml:space="preserve">https://github.com/avalyset/gjenopptak</w:t>
        </w:r>
      </w:hyperlink>
      <w:r>
        <w:t xml:space="preserve">. Third-party full texts and passages are not redistributed; the blind files are deposited as indices from which the text is regenerated from the open sources and verified by sha256 (Section 7).</w:t>
      </w:r>
    </w:p>
    <w:p>
      <w:pPr>
        <w:pStyle w:val="BodyText"/>
      </w:pPr>
      <w:r>
        <w:rPr>
          <w:b/>
          <w:bCs/>
        </w:rPr>
        <w:t xml:space="preserve">Code availability.</w:t>
      </w:r>
      <w:r>
        <w:t xml:space="preserve"> </w:t>
      </w:r>
      <w:r>
        <w:t xml:space="preserve">The pipeline is open source (Apache-2.0) in the same deposit and repository.</w:t>
      </w:r>
    </w:p>
    <w:p>
      <w:pPr>
        <w:pStyle w:val="BodyText"/>
      </w:pPr>
      <w:r>
        <w:rPr>
          <w:b/>
          <w:bCs/>
        </w:rPr>
        <w:t xml:space="preserve">Preregistration.</w:t>
      </w:r>
      <w:r>
        <w:t xml:space="preserve"> </w:t>
      </w:r>
      <w:r>
        <w:t xml:space="preserve">The protocol (PREREG-v1) was locked internally on 12 September 2026, before data were read (sha256 05988b23…), and corrected only through dated, separately committed addenda. It was not timestamped by a third party before data were read; the first third-party guarantee of any lock is the Zenodo deposit of 25 September 2026 (Sections 3.1 and 6).</w:t>
      </w:r>
    </w:p>
    <w:p>
      <w:pPr>
        <w:pStyle w:val="BodyText"/>
      </w:pPr>
      <w:r>
        <w:rPr>
          <w:b/>
          <w:bCs/>
        </w:rPr>
        <w:t xml:space="preserve">Use of AI tools.</w:t>
      </w:r>
      <w:r>
        <w:t xml:space="preserve"> </w:t>
      </w:r>
      <w:r>
        <w:t xml:space="preserve">Language models were used as research instruments and as writing tools under the author’s direction; the declaration is in Section 3.6.</w:t>
      </w:r>
    </w:p>
    <w:p>
      <w:pPr>
        <w:pStyle w:val="BodyText"/>
      </w:pPr>
      <w:r>
        <w:rPr>
          <w:b/>
          <w:bCs/>
        </w:rPr>
        <w:t xml:space="preserve">Author contributions.</w:t>
      </w:r>
      <w:r>
        <w:t xml:space="preserve"> </w:t>
      </w:r>
      <w:r>
        <w:t xml:space="preserve">Eirik Botten Nicolaysen: conceptualization, methodology, software, validation, formal analysis, investigation, data curation, writing — original draft, writing — review and editing, visualization, project administration (sole author).</w:t>
      </w:r>
    </w:p>
    <w:bookmarkEnd w:id="37"/>
    <w:bookmarkStart w:id="5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Botten Nicolaysen, E. (2026).</w:t>
      </w:r>
      <w:r>
        <w:t xml:space="preserve"> </w:t>
      </w:r>
      <w:r>
        <w:rPr>
          <w:i/>
          <w:iCs/>
        </w:rPr>
        <w:t xml:space="preserve">Gjenopptak: Protocol, code and results — why research gets parked</w:t>
      </w:r>
      <w:r>
        <w:t xml:space="preserve"> </w:t>
      </w:r>
      <w:r>
        <w:t xml:space="preserve">(Version 0.4.0) [Data set and computer software]. Zenodo.</w:t>
      </w:r>
      <w:r>
        <w:t xml:space="preserve"> </w:t>
      </w:r>
      <w:hyperlink r:id="rId38">
        <w:r>
          <w:rPr>
            <w:rStyle w:val="Hyperlink"/>
          </w:rPr>
          <w:t xml:space="preserve">https://doi.org/10.5281/zenodo.23073893</w:t>
        </w:r>
      </w:hyperlink>
    </w:p>
    <w:p>
      <w:pPr>
        <w:pStyle w:val="BodyText"/>
      </w:pPr>
      <w:r>
        <w:t xml:space="preserve">Bynum, M., Staid, A., Arguello, B., Castillo, A., Knueven, B., Laird, C. D., &amp; Watson, J.-P. (2021).</w:t>
      </w:r>
      <w:r>
        <w:t xml:space="preserve"> </w:t>
      </w:r>
      <w:r>
        <w:t xml:space="preserve">Proactive operations and investment planning via stochastic optimization to enhance power systems’</w:t>
      </w:r>
      <w:r>
        <w:t xml:space="preserve"> </w:t>
      </w:r>
      <w:r>
        <w:t xml:space="preserve">extreme weather resilience.</w:t>
      </w:r>
      <w:r>
        <w:t xml:space="preserve"> </w:t>
      </w:r>
      <w:r>
        <w:rPr>
          <w:i/>
          <w:iCs/>
        </w:rPr>
        <w:t xml:space="preserve">Journal of Infrastructure Systems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(2), Article 04021004.</w:t>
      </w:r>
      <w:r>
        <w:t xml:space="preserve"> </w:t>
      </w:r>
      <w:hyperlink r:id="rId39">
        <w:r>
          <w:rPr>
            <w:rStyle w:val="Hyperlink"/>
          </w:rPr>
          <w:t xml:space="preserve">https://doi.org/10.1061/(ASCE)IS.1943-555X.0000603</w:t>
        </w:r>
      </w:hyperlink>
    </w:p>
    <w:p>
      <w:pPr>
        <w:pStyle w:val="BodyText"/>
      </w:pPr>
      <w:r>
        <w:t xml:space="preserve">Hansen, S., Montero-Ruiz, I., Rovira, S., Steiniger, D., &amp; Toderaş, M. (2019). The earliest lead ore</w:t>
      </w:r>
      <w:r>
        <w:t xml:space="preserve"> </w:t>
      </w:r>
      <w:r>
        <w:t xml:space="preserve">processing in Europe. 5th millennium BC finds from Pietrele on the Lower Danube.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(4),</w:t>
      </w:r>
      <w:r>
        <w:t xml:space="preserve"> </w:t>
      </w:r>
      <w:r>
        <w:t xml:space="preserve">Article e0214218.</w:t>
      </w:r>
      <w:r>
        <w:t xml:space="preserve"> </w:t>
      </w:r>
      <w:hyperlink r:id="rId40">
        <w:r>
          <w:rPr>
            <w:rStyle w:val="Hyperlink"/>
          </w:rPr>
          <w:t xml:space="preserve">https://doi.org/10.1371/journal.pone.0214218</w:t>
        </w:r>
      </w:hyperlink>
    </w:p>
    <w:p>
      <w:pPr>
        <w:pStyle w:val="BodyText"/>
      </w:pPr>
      <w:r>
        <w:t xml:space="preserve">Haouachi, D. (2016).</w:t>
      </w:r>
      <w:r>
        <w:t xml:space="preserve"> </w:t>
      </w:r>
      <w:r>
        <w:rPr>
          <w:i/>
          <w:iCs/>
        </w:rPr>
        <w:t xml:space="preserve">Les personnages féminins chez Tite-Live : idéologie et art de la mise en scène</w:t>
      </w:r>
      <w:r>
        <w:t xml:space="preserve"> </w:t>
      </w:r>
      <w:r>
        <w:t xml:space="preserve">[Doctoral dissertation, Université de Strasbourg].</w:t>
      </w:r>
      <w:r>
        <w:t xml:space="preserve"> </w:t>
      </w:r>
      <w:hyperlink r:id="rId41">
        <w:r>
          <w:rPr>
            <w:rStyle w:val="Hyperlink"/>
          </w:rPr>
          <w:t xml:space="preserve">https://doi.org/10.70675/8513d3c9ze385z4b4bz910cz221c7718984d</w:t>
        </w:r>
      </w:hyperlink>
    </w:p>
    <w:p>
      <w:pPr>
        <w:pStyle w:val="BodyText"/>
      </w:pPr>
      <w:r>
        <w:t xml:space="preserve">Karatas, A.-M.-S. (2018). The significance of money for the cults and sanctuaries of Demeter and Kore:</w:t>
      </w:r>
      <w:r>
        <w:t xml:space="preserve"> </w:t>
      </w:r>
      <w:r>
        <w:t xml:space="preserve">The shaping of the cults by commercial transactions.</w:t>
      </w:r>
      <w:r>
        <w:t xml:space="preserve"> </w:t>
      </w:r>
      <w:r>
        <w:rPr>
          <w:i/>
          <w:iCs/>
        </w:rPr>
        <w:t xml:space="preserve">Mythos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, 47–88.</w:t>
      </w:r>
      <w:r>
        <w:t xml:space="preserve"> </w:t>
      </w:r>
      <w:hyperlink r:id="rId42">
        <w:r>
          <w:rPr>
            <w:rStyle w:val="Hyperlink"/>
          </w:rPr>
          <w:t xml:space="preserve">https://doi.org/10.4000/mythos.297</w:t>
        </w:r>
      </w:hyperlink>
    </w:p>
    <w:p>
      <w:pPr>
        <w:pStyle w:val="BodyText"/>
      </w:pPr>
      <w:r>
        <w:t xml:space="preserve">MATPOWER. (n.d.).</w:t>
      </w:r>
      <w:r>
        <w:t xml:space="preserve"> </w:t>
      </w:r>
      <w:r>
        <w:rPr>
          <w:i/>
          <w:iCs/>
        </w:rPr>
        <w:t xml:space="preserve">case30.m</w:t>
      </w:r>
      <w:r>
        <w:t xml:space="preserve"> </w:t>
      </w:r>
      <w:r>
        <w:t xml:space="preserve">[Data set]. GitHub. Retrieved September 28, 2026, from</w:t>
      </w:r>
      <w:r>
        <w:t xml:space="preserve"> </w:t>
      </w:r>
      <w:hyperlink r:id="rId43">
        <w:r>
          <w:rPr>
            <w:rStyle w:val="Hyperlink"/>
          </w:rPr>
          <w:t xml:space="preserve">https://raw.githubusercontent.com/MATPOWER/matpower/master/data/case30.m</w:t>
        </w:r>
      </w:hyperlink>
    </w:p>
    <w:p>
      <w:pPr>
        <w:pStyle w:val="BodyText"/>
      </w:pPr>
      <w:r>
        <w:t xml:space="preserve">Mecking, O., Hohle, I., &amp; Wolfram, S. (2017). The development of pottery technology in Eythra from the</w:t>
      </w:r>
      <w:r>
        <w:t xml:space="preserve"> </w:t>
      </w:r>
      <w:r>
        <w:t xml:space="preserve">Early Linear Pottery culture to the Late Stroke Ornamented Pottery culture.</w:t>
      </w:r>
      <w:r>
        <w:t xml:space="preserve"> </w:t>
      </w:r>
      <w:r>
        <w:rPr>
          <w:i/>
          <w:iCs/>
        </w:rPr>
        <w:t xml:space="preserve">Archeologické rozhledy</w:t>
      </w:r>
      <w:r>
        <w:t xml:space="preserve">,</w:t>
      </w:r>
      <w:r>
        <w:t xml:space="preserve"> </w:t>
      </w:r>
      <w:r>
        <w:rPr>
          <w:i/>
          <w:iCs/>
        </w:rPr>
        <w:t xml:space="preserve">69</w:t>
      </w:r>
      <w:r>
        <w:t xml:space="preserve">(2).</w:t>
      </w:r>
      <w:r>
        <w:t xml:space="preserve"> </w:t>
      </w:r>
      <w:hyperlink r:id="rId44">
        <w:r>
          <w:rPr>
            <w:rStyle w:val="Hyperlink"/>
          </w:rPr>
          <w:t xml:space="preserve">https://doi.org/10.35686/ar.2017.12</w:t>
        </w:r>
      </w:hyperlink>
    </w:p>
    <w:p>
      <w:pPr>
        <w:pStyle w:val="BodyText"/>
      </w:pPr>
      <w:r>
        <w:t xml:space="preserve">Pring, L. J. (2016).</w:t>
      </w:r>
      <w:r>
        <w:t xml:space="preserve"> </w:t>
      </w:r>
      <w:r>
        <w:rPr>
          <w:i/>
          <w:iCs/>
        </w:rPr>
        <w:t xml:space="preserve">Soil-based analysis methods to aid the detection of cropmarks over buried</w:t>
      </w:r>
      <w:r>
        <w:rPr>
          <w:i/>
          <w:iCs/>
        </w:rP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[Doctoral dissertation, University of Birmingham].</w:t>
      </w:r>
      <w:r>
        <w:t xml:space="preserve"> </w:t>
      </w:r>
      <w:hyperlink r:id="rId45">
        <w:r>
          <w:rPr>
            <w:rStyle w:val="Hyperlink"/>
          </w:rPr>
          <w:t xml:space="preserve">https://etheses.bham.ac.uk/id/eprint/7069/</w:t>
        </w:r>
      </w:hyperlink>
    </w:p>
    <w:p>
      <w:pPr>
        <w:pStyle w:val="BodyText"/>
      </w:pPr>
      <w:r>
        <w:t xml:space="preserve">Riris, P. (2018). Assessing the impact and legacy of swidden farming in neotropical interfluvial</w:t>
      </w:r>
      <w:r>
        <w:t xml:space="preserve"> </w:t>
      </w:r>
      <w:r>
        <w:t xml:space="preserve">environments through exploratory modelling of post-contact Piaroa land use (Upper Orinoco, Venezuela).</w:t>
      </w:r>
      <w:r>
        <w:t xml:space="preserve"> </w:t>
      </w:r>
      <w:r>
        <w:rPr>
          <w:i/>
          <w:iCs/>
        </w:rPr>
        <w:t xml:space="preserve">The Holocene</w:t>
      </w:r>
      <w:r>
        <w:t xml:space="preserve">,</w:t>
      </w:r>
      <w:r>
        <w:t xml:space="preserve"> </w:t>
      </w:r>
      <w:r>
        <w:rPr>
          <w:i/>
          <w:iCs/>
        </w:rPr>
        <w:t xml:space="preserve">28</w:t>
      </w:r>
      <w:r>
        <w:t xml:space="preserve">(6), 945–954.</w:t>
      </w:r>
      <w:r>
        <w:t xml:space="preserve"> </w:t>
      </w:r>
      <w:hyperlink r:id="rId46">
        <w:r>
          <w:rPr>
            <w:rStyle w:val="Hyperlink"/>
          </w:rPr>
          <w:t xml:space="preserve">https://doi.org/10.1177/0959683617752857</w:t>
        </w:r>
      </w:hyperlink>
    </w:p>
    <w:p>
      <w:pPr>
        <w:pStyle w:val="BodyText"/>
      </w:pPr>
      <w:r>
        <w:t xml:space="preserve">Rodrigues Aragao, R. (2018).</w:t>
      </w:r>
      <w:r>
        <w:t xml:space="preserve"> </w:t>
      </w:r>
      <w:r>
        <w:rPr>
          <w:i/>
          <w:iCs/>
        </w:rPr>
        <w:t xml:space="preserve">Using network theory to manage knowledge from unstructured data in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 projects: Application to a collaborative analysis of the energy consumption in the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 of oil and gas facilities</w:t>
      </w:r>
      <w:r>
        <w:t xml:space="preserve"> </w:t>
      </w:r>
      <w:r>
        <w:t xml:space="preserve">[Doctoral dissertation, University of Toronto].</w:t>
      </w:r>
      <w:r>
        <w:t xml:space="preserve"> </w:t>
      </w:r>
      <w:hyperlink r:id="rId47">
        <w:r>
          <w:rPr>
            <w:rStyle w:val="Hyperlink"/>
          </w:rPr>
          <w:t xml:space="preserve">https://hdl.handle.net/1807/92034</w:t>
        </w:r>
      </w:hyperlink>
    </w:p>
    <w:p>
      <w:pPr>
        <w:pStyle w:val="BodyText"/>
      </w:pPr>
      <w:r>
        <w:t xml:space="preserve">Todd, P. (2024).</w:t>
      </w:r>
      <w:r>
        <w:t xml:space="preserve"> </w:t>
      </w:r>
      <w:r>
        <w:rPr>
          <w:i/>
          <w:iCs/>
        </w:rPr>
        <w:t xml:space="preserve">opentimestamps-client</w:t>
      </w:r>
      <w:r>
        <w:t xml:space="preserve"> </w:t>
      </w:r>
      <w:r>
        <w:t xml:space="preserve">(Version 0.7.2) [Computer software]. Python Package Index.</w:t>
      </w:r>
      <w:r>
        <w:t xml:space="preserve"> </w:t>
      </w:r>
      <w:hyperlink r:id="rId48">
        <w:r>
          <w:rPr>
            <w:rStyle w:val="Hyperlink"/>
          </w:rPr>
          <w:t xml:space="preserve">https://pypi.org/project/opentimestamps-client/0.7.2/</w:t>
        </w:r>
      </w:hyperlink>
    </w:p>
    <w:p>
      <w:pPr>
        <w:pStyle w:val="BodyText"/>
      </w:pPr>
      <w:r>
        <w:t xml:space="preserve">Zimmerman, R. D., Murillo-Sanchez, C. E., &amp; Thomas, R. J. (2011). MATPOWER: Steady-state operations,</w:t>
      </w:r>
      <w:r>
        <w:t xml:space="preserve"> </w:t>
      </w:r>
      <w:r>
        <w:t xml:space="preserve">planning, and analysis tools for power systems research and education.</w:t>
      </w:r>
      <w:r>
        <w:t xml:space="preserve"> </w:t>
      </w:r>
      <w:r>
        <w:rPr>
          <w:i/>
          <w:iCs/>
        </w:rPr>
        <w:t xml:space="preserve">IEEE Transactions on Power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(1), 12–19.</w:t>
      </w:r>
      <w:r>
        <w:t xml:space="preserve"> </w:t>
      </w:r>
      <w:hyperlink r:id="rId49">
        <w:r>
          <w:rPr>
            <w:rStyle w:val="Hyperlink"/>
          </w:rPr>
          <w:t xml:space="preserve">https://doi.org/10.1109/TPWRS.2010.2051168</w:t>
        </w:r>
      </w:hyperlink>
    </w:p>
    <w:p>
      <w:pPr>
        <w:pStyle w:val="BodyText"/>
      </w:pPr>
      <w:r>
        <w:t xml:space="preserve">Žiberna, A. (2018).</w:t>
      </w:r>
      <w:r>
        <w:t xml:space="preserve"> </w:t>
      </w:r>
      <w:r>
        <w:rPr>
          <w:i/>
          <w:iCs/>
        </w:rPr>
        <w:t xml:space="preserve">blockmodeling</w:t>
      </w:r>
      <w:r>
        <w:t xml:space="preserve"> </w:t>
      </w:r>
      <w:r>
        <w:t xml:space="preserve">(Version 0.3.1) [Computer software]. CRAN.</w:t>
      </w:r>
      <w:r>
        <w:t xml:space="preserve"> </w:t>
      </w:r>
      <w:hyperlink r:id="rId50">
        <w:r>
          <w:rPr>
            <w:rStyle w:val="Hyperlink"/>
          </w:rPr>
          <w:t xml:space="preserve">https://cran.r-project.org/src/contrib/Archive/blockmodeling/</w:t>
        </w:r>
      </w:hyperlink>
    </w:p>
    <w:p>
      <w:pPr>
        <w:pStyle w:val="BodyText"/>
      </w:pPr>
      <w:r>
        <w:t xml:space="preserve">Žiberna, A. (2025).</w:t>
      </w:r>
      <w:r>
        <w:t xml:space="preserve"> </w:t>
      </w:r>
      <w:r>
        <w:rPr>
          <w:i/>
          <w:iCs/>
        </w:rPr>
        <w:t xml:space="preserve">blockmodeling: Generalized and classical blockmodeling of valued networks</w:t>
      </w:r>
      <w:r>
        <w:t xml:space="preserve"> </w:t>
      </w:r>
      <w:r>
        <w:t xml:space="preserve">(Version 1.1.8) [Computer software]. CRAN.</w:t>
      </w:r>
      <w:r>
        <w:t xml:space="preserve"> </w:t>
      </w:r>
      <w:hyperlink r:id="rId51">
        <w:r>
          <w:rPr>
            <w:rStyle w:val="Hyperlink"/>
          </w:rPr>
          <w:t xml:space="preserve">https://CRAN.R-project.org/package=blockmodeling</w:t>
        </w:r>
      </w:hyperlink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s://CRAN.R-project.org/package=blockmodeling" TargetMode="External" /><Relationship Type="http://schemas.openxmlformats.org/officeDocument/2006/relationships/hyperlink" Id="rId50" Target="https://cran.r-project.org/src/contrib/Archive/blockmodeling/" TargetMode="External" /><Relationship Type="http://schemas.openxmlformats.org/officeDocument/2006/relationships/hyperlink" Id="rId39" Target="https://doi.org/10.1061/(ASCE)IS.1943-555X.0000603" TargetMode="External" /><Relationship Type="http://schemas.openxmlformats.org/officeDocument/2006/relationships/hyperlink" Id="rId49" Target="https://doi.org/10.1109/TPWRS.2010.2051168" TargetMode="External" /><Relationship Type="http://schemas.openxmlformats.org/officeDocument/2006/relationships/hyperlink" Id="rId46" Target="https://doi.org/10.1177/0959683617752857" TargetMode="External" /><Relationship Type="http://schemas.openxmlformats.org/officeDocument/2006/relationships/hyperlink" Id="rId40" Target="https://doi.org/10.1371/journal.pone.0214218" TargetMode="External" /><Relationship Type="http://schemas.openxmlformats.org/officeDocument/2006/relationships/hyperlink" Id="rId44" Target="https://doi.org/10.35686/ar.2017.12" TargetMode="External" /><Relationship Type="http://schemas.openxmlformats.org/officeDocument/2006/relationships/hyperlink" Id="rId42" Target="https://doi.org/10.4000/mythos.297" TargetMode="External" /><Relationship Type="http://schemas.openxmlformats.org/officeDocument/2006/relationships/hyperlink" Id="rId35" Target="https://doi.org/10.5281/zenodo.22959326" TargetMode="External" /><Relationship Type="http://schemas.openxmlformats.org/officeDocument/2006/relationships/hyperlink" Id="rId38" Target="https://doi.org/10.5281/zenodo.23073893" TargetMode="External" /><Relationship Type="http://schemas.openxmlformats.org/officeDocument/2006/relationships/hyperlink" Id="rId36" Target="https://doi.org/10.5281/zenodo.23096158" TargetMode="External" /><Relationship Type="http://schemas.openxmlformats.org/officeDocument/2006/relationships/hyperlink" Id="rId41" Target="https://doi.org/10.70675/8513d3c9ze385z4b4bz910cz221c7718984d" TargetMode="External" /><Relationship Type="http://schemas.openxmlformats.org/officeDocument/2006/relationships/hyperlink" Id="rId45" Target="https://etheses.bham.ac.uk/id/eprint/7069/" TargetMode="External" /><Relationship Type="http://schemas.openxmlformats.org/officeDocument/2006/relationships/hyperlink" Id="rId9" Target="https://github.com/avalyset/gjenopptak" TargetMode="External" /><Relationship Type="http://schemas.openxmlformats.org/officeDocument/2006/relationships/hyperlink" Id="rId47" Target="https://hdl.handle.net/1807/92034" TargetMode="External" /><Relationship Type="http://schemas.openxmlformats.org/officeDocument/2006/relationships/hyperlink" Id="rId48" Target="https://pypi.org/project/opentimestamps-client/0.7.2/" TargetMode="External" /><Relationship Type="http://schemas.openxmlformats.org/officeDocument/2006/relationships/hyperlink" Id="rId43" Target="https://raw.githubusercontent.com/MATPOWER/matpower/master/data/case30.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CRAN.R-project.org/package=blockmodeling" TargetMode="External" /><Relationship Type="http://schemas.openxmlformats.org/officeDocument/2006/relationships/hyperlink" Id="rId50" Target="https://cran.r-project.org/src/contrib/Archive/blockmodeling/" TargetMode="External" /><Relationship Type="http://schemas.openxmlformats.org/officeDocument/2006/relationships/hyperlink" Id="rId39" Target="https://doi.org/10.1061/(ASCE)IS.1943-555X.0000603" TargetMode="External" /><Relationship Type="http://schemas.openxmlformats.org/officeDocument/2006/relationships/hyperlink" Id="rId49" Target="https://doi.org/10.1109/TPWRS.2010.2051168" TargetMode="External" /><Relationship Type="http://schemas.openxmlformats.org/officeDocument/2006/relationships/hyperlink" Id="rId46" Target="https://doi.org/10.1177/0959683617752857" TargetMode="External" /><Relationship Type="http://schemas.openxmlformats.org/officeDocument/2006/relationships/hyperlink" Id="rId40" Target="https://doi.org/10.1371/journal.pone.0214218" TargetMode="External" /><Relationship Type="http://schemas.openxmlformats.org/officeDocument/2006/relationships/hyperlink" Id="rId44" Target="https://doi.org/10.35686/ar.2017.12" TargetMode="External" /><Relationship Type="http://schemas.openxmlformats.org/officeDocument/2006/relationships/hyperlink" Id="rId42" Target="https://doi.org/10.4000/mythos.297" TargetMode="External" /><Relationship Type="http://schemas.openxmlformats.org/officeDocument/2006/relationships/hyperlink" Id="rId35" Target="https://doi.org/10.5281/zenodo.22959326" TargetMode="External" /><Relationship Type="http://schemas.openxmlformats.org/officeDocument/2006/relationships/hyperlink" Id="rId38" Target="https://doi.org/10.5281/zenodo.23073893" TargetMode="External" /><Relationship Type="http://schemas.openxmlformats.org/officeDocument/2006/relationships/hyperlink" Id="rId36" Target="https://doi.org/10.5281/zenodo.23096158" TargetMode="External" /><Relationship Type="http://schemas.openxmlformats.org/officeDocument/2006/relationships/hyperlink" Id="rId41" Target="https://doi.org/10.70675/8513d3c9ze385z4b4bz910cz221c7718984d" TargetMode="External" /><Relationship Type="http://schemas.openxmlformats.org/officeDocument/2006/relationships/hyperlink" Id="rId45" Target="https://etheses.bham.ac.uk/id/eprint/7069/" TargetMode="External" /><Relationship Type="http://schemas.openxmlformats.org/officeDocument/2006/relationships/hyperlink" Id="rId9" Target="https://github.com/avalyset/gjenopptak" TargetMode="External" /><Relationship Type="http://schemas.openxmlformats.org/officeDocument/2006/relationships/hyperlink" Id="rId47" Target="https://hdl.handle.net/1807/92034" TargetMode="External" /><Relationship Type="http://schemas.openxmlformats.org/officeDocument/2006/relationships/hyperlink" Id="rId48" Target="https://pypi.org/project/opentimestamps-client/0.7.2/" TargetMode="External" /><Relationship Type="http://schemas.openxmlformats.org/officeDocument/2006/relationships/hyperlink" Id="rId43" Target="https://raw.githubusercontent.com/MATPOWER/matpower/master/data/case30.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2026-10-02T09:50:45Z</dcterms:created>
  <dcterms:modified xsi:type="dcterms:W3CDTF">2026-10-02T09:50:45Z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