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Test Strategy Document       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Avani Gupta (2019121004), Parv Joshi(2018101062), SIddharth Jain(2018101038), Apoorva Tirupathi(2019121012)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Scrapshut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Team#24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To be Reviewed &amp; Approved By :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 xml:space="preserve">The Client : The CEO, CoFounder of ScrapShut, Mounikesh</w:t>
      </w:r>
    </w:p>
    <w:p w:rsidR="00000000" w:rsidDel="00000000" w:rsidP="00000000" w:rsidRDefault="00000000" w:rsidRPr="00000000" w14:paraId="00000009">
      <w:pPr>
        <w:spacing w:after="12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 xml:space="preserve">Our Mentor : Head TA Mohit Chandra sir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 xml:space="preserve">The Professor : Ramesh Loganathan sir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24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This file contains a detailed writeup of our timeline of testing phases throughout the AGILE sprint cycle.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Test Approach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made a detailed plan for testing our webapp, as we didn’t want to miss out on anything under the sun, and cross-checked our work inorder to take a second look at any edge cases one would’ve overlooked.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Testing the ScrapShut web app was divided into 4 major components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Deep Learning Models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The Customised Scrapper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Each testing was further divided into 2 levels of abstraction - The site admin functionalities &amp; the user functionalities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did testing at various stages as we’ve had multiple refactorings done in each consecutive sprint, for which we needed to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ensure our changes haven’t affected the application’s behavior unexpectedly. It was a complex task as Scrapshut is made of several layers of logic, from HTTP-level request handling, to form validation and processing, to rendering of all the templates.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Test Environment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We didnt use any new additonal environment apart from the existing environment.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Our testing modules &amp; frameworks were also in python,  so we continued to use the same virtual environment to install them, and for selenium used the IDE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Testing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used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Django’s “unittest” module to  simulate requests, insert test data into the user forms, inspect the application’s output for article rating requests and generally to verify all that the code should be doing.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For automation of a simulated user we used Selenium, to moniter a complete cycle of user activities from login to exit.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center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jc w:val="center"/>
        <w:rPr>
          <w:rFonts w:ascii="Open Sans" w:cs="Open Sans" w:eastAsia="Open Sans" w:hAnsi="Open Sans"/>
          <w:b w:val="1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u w:val="single"/>
          <w:rtl w:val="0"/>
        </w:rPr>
        <w:t xml:space="preserve">Test Use Cases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performed load testing to check site performance under normal &amp; peak conditions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did unit testing of all frontend &amp; backend components, including our deployed ML models.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did security testing for user authentication &amp; verification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did localization testing by trying out the site on various browsers &amp; platforms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did interface testing of the entire UI and have tried to keep things as easy to understand as possible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We did integration testing after connecting the 3 different components of our project - the UI, database &amp; the on-the-fly ML models</w:t>
      </w:r>
    </w:p>
    <w:p w:rsidR="00000000" w:rsidDel="00000000" w:rsidP="00000000" w:rsidRDefault="00000000" w:rsidRPr="00000000" w14:paraId="0000002C">
      <w:pPr>
        <w:spacing w:after="120" w:lineRule="auto"/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