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6"/>
          <w:szCs w:val="36"/>
          <w:b/>
        </w:rPr>
        <w:t xml:space="preserve">Effect of Emotion-Focused Skills Training on Alexithymia in Opioid-Dependent Individuals With and Without HIV: A Pilot Pretest-Posttest Study Using Psychometric and Projective Assessment</w:t>
      </w:r>
    </w:p>
    <w:p>
      <w:pPr>
        <w:pStyle w:val="Normal"/>
        <w:jc w:val="both"/>
      </w:pPr>
      <w:r>
        <w:rPr>
          <w:sz w:val="22"/>
          <w:szCs w:val="22"/>
        </w:rPr>
        <w:t xml:space="preserve">MPhil Clinical Psychology Dissertation Research Framework</w:t>
      </w:r>
    </w:p>
    <w:p>
      <w:pPr>
        <w:pStyle w:val="Normal"/>
        <w:jc w:val="both"/>
      </w:pPr>
      <w:r>
        <w:rPr>
          <w:sz w:val="22"/>
          <w:szCs w:val="22"/>
        </w:rPr>
        <w:t xml:space="preserve">Comprehensive Academic Research Plan</w:t>
      </w:r>
    </w:p>
    <w:p>
      <w:pPr>
        <w:pStyle w:val="Heading2"/>
        <w:jc w:val="start"/>
      </w:pPr>
      <w:r>
        <w:rPr>
          <w:sz w:val="28"/>
          <w:szCs w:val="28"/>
          <w:b/>
        </w:rPr>
        <w:t xml:space="preserve">1. Problem Statement</w:t>
      </w:r>
    </w:p>
    <w:p>
      <w:pPr>
        <w:pStyle w:val="Normal"/>
        <w:jc w:val="both"/>
      </w:pPr>
      <w:r>
        <w:rPr>
          <w:sz w:val="22"/>
          <w:szCs w:val="22"/>
        </w:rPr>
        <w:t xml:space="preserve">Opioid dependence remains one of the most devastating substance use disorders globally, characterised by compulsive drug-seeking behaviour, physiological tolerance, and severe psychosocial deterioration. In India, the prevalence of opioid use disorder has risen sharply, with injection drug use serving as a primary vector for HIV transmission among people who inject drugs (PWID). Approximately 22-28% of PWID in India are living with HIV, creating a dual-burden population with compounded psychological vulnerabilities.</w:t>
      </w:r>
    </w:p>
    <w:p>
      <w:pPr>
        <w:pStyle w:val="Normal"/>
        <w:jc w:val="both"/>
      </w:pPr>
      <w:r>
        <w:rPr>
          <w:sz w:val="22"/>
          <w:szCs w:val="22"/>
        </w:rPr>
        <w:t xml:space="preserve">A critical yet under-investigated psychological dimension in this population is alexithymia — the inability to identify, describe, and communicate one's emotional states. Alexithymia is characterised by three core deficits: difficulty identifying feelings (DIF), difficulty describing feelings (DDF), and externally oriented thinking (EOT). This construct is not merely an epiphenomenon of substance use; rather, it represents a fundamental deficit in emotional processing that perpetuates the addiction cycle and impairs treatment engagement.</w:t>
      </w:r>
    </w:p>
    <w:p>
      <w:pPr>
        <w:pStyle w:val="Normal"/>
        <w:jc w:val="both"/>
      </w:pPr>
      <w:r>
        <w:rPr>
          <w:sz w:val="22"/>
          <w:szCs w:val="22"/>
        </w:rPr>
        <w:t xml:space="preserve">Research consistently demonstrates that opioid-dependent individuals exhibit significantly elevated alexithymia compared to non-clinical populations. Concurrently, emerging evidence links HIV-related neuropathological changes to worsened alexithymic traits, creating a compounding effect in comorbid populations. HIV infection may independently exacerbate emotional processing deficits through neuroinflammation, frontal-subcortical circuit disruption, and psychosocial stressors including stigma, isolation, and existential distress.</w:t>
      </w:r>
    </w:p>
    <w:p>
      <w:pPr>
        <w:pStyle w:val="Normal"/>
        <w:jc w:val="both"/>
      </w:pPr>
      <w:r>
        <w:rPr>
          <w:sz w:val="22"/>
          <w:szCs w:val="22"/>
        </w:rPr>
        <w:t xml:space="preserve">Despite the established prevalence of alexithymia in both opioid dependence and HIV populations independently, no study has examined whether the co-occurrence of HIV in opioid-dependent individuals intensifies alexithymia, nor whether a targeted emotion-focused intervention can differentially reduce alexithymia in these two subgroups. Furthermore, the assessment of alexithymia has predominantly relied on self-report measures alone, neglecting the richness and depth that projective assessment methods (Rorschach Inkblot Test, Thematic Apperception Test) can offer in capturing implicit emotional processing deficits.</w:t>
      </w:r>
    </w:p>
    <w:p>
      <w:pPr>
        <w:pStyle w:val="Normal"/>
        <w:jc w:val="both"/>
      </w:pPr>
      <w:r>
        <w:rPr>
          <w:sz w:val="22"/>
          <w:szCs w:val="22"/>
        </w:rPr>
        <w:t xml:space="preserve">This study addresses these gaps by employing a multi-method assessment approach (psychometric + projective) within a controlled intervention framework, targeting inpatients in a de-addiction facility during their one-month rehabilitation stay.</w:t>
      </w:r>
    </w:p>
    <w:p>
      <w:pPr>
        <w:pStyle w:val="Heading2"/>
        <w:jc w:val="start"/>
      </w:pPr>
      <w:r>
        <w:rPr>
          <w:sz w:val="28"/>
          <w:szCs w:val="28"/>
          <w:b/>
        </w:rPr>
        <w:t xml:space="preserve">2. Research Gap</w:t>
      </w:r>
    </w:p>
    <w:p>
      <w:pPr>
        <w:pStyle w:val="Heading3"/>
        <w:jc w:val="start"/>
      </w:pPr>
      <w:r>
        <w:rPr>
          <w:b/>
        </w:rPr>
        <w:t xml:space="preserve">Identified Gaps in Existing Literature:</w:t>
      </w:r>
    </w:p>
    <w:p>
      <w:pPr>
        <w:pStyle w:val="ListParagraph"/>
        <w:jc w:val="both"/>
      </w:pPr>
      <w:r>
        <w:rPr>
          <w:sz w:val="22"/>
          <w:szCs w:val="22"/>
        </w:rPr>
        <w:t xml:space="preserve">1. No comparative study of alexithymia between HIV+ and HIV- opioid-dependent individuals: While alexithymia has been studied separately in opioid dependence and HIV populations, no research has directly compared alexithymia levels between these two subgroups within the same diagnostic category of opioid dependence.</w:t>
      </w:r>
    </w:p>
    <w:p>
      <w:pPr>
        <w:pStyle w:val="ListParagraph"/>
        <w:jc w:val="both"/>
      </w:pPr>
      <w:r>
        <w:rPr>
          <w:sz w:val="22"/>
          <w:szCs w:val="22"/>
        </w:rPr>
        <w:t xml:space="preserve">2. No intervention study targeting alexithymia in opioid-HIV comorbidity: Intervention studies for alexithymia have focused on depression, anxiety, eating disorders, and general substance use — but never specifically on opioid-dependent individuals stratified by HIV status.</w:t>
      </w:r>
    </w:p>
    <w:p>
      <w:pPr>
        <w:pStyle w:val="ListParagraph"/>
        <w:jc w:val="both"/>
      </w:pPr>
      <w:r>
        <w:rPr>
          <w:sz w:val="22"/>
          <w:szCs w:val="22"/>
        </w:rPr>
        <w:t xml:space="preserve">3. Over-reliance on self-report measurement: The vast majority of alexithymia research uses the TAS-20 alone. The integration of projective assessment (Rorschach, TAT) to capture implicit emotional processing deficits in this population has never been attempted.</w:t>
      </w:r>
    </w:p>
    <w:p>
      <w:pPr>
        <w:pStyle w:val="ListParagraph"/>
        <w:jc w:val="both"/>
      </w:pPr>
      <w:r>
        <w:rPr>
          <w:sz w:val="22"/>
          <w:szCs w:val="22"/>
        </w:rPr>
        <w:t xml:space="preserve">4. Absence of Indian context: Despite India's significant burden of opioid dependence and HIV among PWID, no Indian study has examined alexithymia as an intervention target in de-addiction settings.</w:t>
      </w:r>
    </w:p>
    <w:p>
      <w:pPr>
        <w:pStyle w:val="ListParagraph"/>
        <w:jc w:val="both"/>
      </w:pPr>
      <w:r>
        <w:rPr>
          <w:sz w:val="22"/>
          <w:szCs w:val="22"/>
        </w:rPr>
        <w:t xml:space="preserve">5. Inpatient rehabilitation context neglected: Most alexithymia-substance use research is conducted in outpatient settings. The unique opportunity of a structured 1-month inpatient de-addiction programme to deliver and evaluate emotion-focused interventions has not been utilised.</w:t>
      </w:r>
    </w:p>
    <w:p>
      <w:pPr>
        <w:pStyle w:val="ListParagraph"/>
        <w:jc w:val="both"/>
      </w:pPr>
      <w:r>
        <w:rPr>
          <w:sz w:val="22"/>
          <w:szCs w:val="22"/>
        </w:rPr>
        <w:t xml:space="preserve">6. Lack of pilot data: No feasibility or pilot data exists on whether emotion-focused skills training can modify alexithymia within the timeframe of standard inpatient de-addiction treatment (4 weeks).</w:t>
      </w:r>
    </w:p>
    <w:p>
      <w:pPr>
        <w:pStyle w:val="Heading3"/>
        <w:jc w:val="start"/>
      </w:pPr>
      <w:r>
        <w:rPr>
          <w:b/>
        </w:rPr>
        <w:t xml:space="preserve">Limitations of Prior Studies:</w:t>
      </w:r>
    </w:p>
    <w:p>
      <w:pPr>
        <w:pStyle w:val="ListParagraph"/>
        <w:jc w:val="both"/>
      </w:pPr>
      <w:r>
        <w:rPr>
          <w:sz w:val="22"/>
          <w:szCs w:val="22"/>
        </w:rPr>
        <w:t xml:space="preserve">• Chronic and heterogeneous substance use samples (mixing alcohol, cannabis, opioids) without diagnostic specificity</w:t>
      </w:r>
    </w:p>
    <w:p>
      <w:pPr>
        <w:pStyle w:val="ListParagraph"/>
        <w:jc w:val="both"/>
      </w:pPr>
      <w:r>
        <w:rPr>
          <w:sz w:val="22"/>
          <w:szCs w:val="22"/>
        </w:rPr>
        <w:t xml:space="preserve">• Cross-sectional designs that cannot establish temporal or causal relationships</w:t>
      </w:r>
    </w:p>
    <w:p>
      <w:pPr>
        <w:pStyle w:val="ListParagraph"/>
        <w:jc w:val="both"/>
      </w:pPr>
      <w:r>
        <w:rPr>
          <w:sz w:val="22"/>
          <w:szCs w:val="22"/>
        </w:rPr>
        <w:t xml:space="preserve">• Western-centric samples with limited applicability to Indian sociocultural context</w:t>
      </w:r>
    </w:p>
    <w:p>
      <w:pPr>
        <w:pStyle w:val="ListParagraph"/>
        <w:jc w:val="both"/>
      </w:pPr>
      <w:r>
        <w:rPr>
          <w:sz w:val="22"/>
          <w:szCs w:val="22"/>
        </w:rPr>
        <w:t xml:space="preserve">• Failure to control for HIV status as a potentially confounding neuropsychological variable</w:t>
      </w:r>
    </w:p>
    <w:p>
      <w:pPr>
        <w:pStyle w:val="ListParagraph"/>
        <w:jc w:val="both"/>
      </w:pPr>
      <w:r>
        <w:rPr>
          <w:sz w:val="22"/>
          <w:szCs w:val="22"/>
        </w:rPr>
        <w:t xml:space="preserve">• Absence of projective assessment methods that bypass self-report biases inherent in alexithymia measurement</w:t>
      </w:r>
    </w:p>
    <w:p>
      <w:pPr>
        <w:pStyle w:val="Heading3"/>
        <w:jc w:val="start"/>
      </w:pPr>
      <w:r>
        <w:rPr>
          <w:b/>
        </w:rPr>
        <w:t xml:space="preserve">Justification for the Present Study:</w:t>
      </w:r>
    </w:p>
    <w:p>
      <w:pPr>
        <w:pStyle w:val="Normal"/>
        <w:jc w:val="both"/>
      </w:pPr>
      <w:r>
        <w:rPr>
          <w:sz w:val="22"/>
          <w:szCs w:val="22"/>
        </w:rPr>
        <w:t xml:space="preserve">The present study addresses these gaps by (a) directly comparing alexithymia between HIV-positive and HIV-negative opioid-dependent inpatients, (b) implementing a targeted emotion-focused intervention during a structured 1-month inpatient stay, (c) employing both psychometric (TAS-20, DERS) and projective (Rorschach, TAT) methods for comprehensive assessment, and (d) providing pilot data on intervention feasibility and efficacy within an Indian de-addiction rehabilitation context.</w:t>
      </w:r>
    </w:p>
    <w:p>
      <w:pPr>
        <w:pStyle w:val="Heading2"/>
        <w:jc w:val="start"/>
      </w:pPr>
      <w:r>
        <w:rPr>
          <w:sz w:val="28"/>
          <w:szCs w:val="28"/>
          <w:b/>
        </w:rPr>
        <w:t xml:space="preserve">3. Aim of the Study</w:t>
      </w:r>
    </w:p>
    <w:p>
      <w:pPr>
        <w:pStyle w:val="Normal"/>
        <w:jc w:val="both"/>
      </w:pPr>
      <w:r>
        <w:rPr>
          <w:sz w:val="22"/>
          <w:szCs w:val="22"/>
        </w:rPr>
        <w:t xml:space="preserve">Primary Aim: To evaluate the effectiveness of a structured Emotion-Focused Skills Training (EFST) intervention in reducing alexithymia among opioid-dependent inpatients, and to examine whether the presence of HIV comorbidity moderates treatment response, using an integrated psychometric and projective assessment approach.</w:t>
      </w:r>
    </w:p>
    <w:p>
      <w:pPr>
        <w:pStyle w:val="Heading2"/>
        <w:jc w:val="start"/>
      </w:pPr>
      <w:r>
        <w:rPr>
          <w:sz w:val="28"/>
          <w:szCs w:val="28"/>
          <w:b/>
        </w:rPr>
        <w:t xml:space="preserve">4. Objectives</w:t>
      </w:r>
    </w:p>
    <w:p>
      <w:pPr>
        <w:pStyle w:val="ListParagraph"/>
        <w:jc w:val="both"/>
      </w:pPr>
      <w:r>
        <w:rPr>
          <w:sz w:val="22"/>
          <w:szCs w:val="22"/>
        </w:rPr>
        <w:t xml:space="preserve">1. To assess and compare baseline levels of alexithymia (TAS-20 total and subscale scores) between HIV-positive and HIV-negative opioid-dependent inpatients in a de-addiction facility.</w:t>
      </w:r>
    </w:p>
    <w:p>
      <w:pPr>
        <w:pStyle w:val="ListParagraph"/>
        <w:jc w:val="both"/>
      </w:pPr>
      <w:r>
        <w:rPr>
          <w:sz w:val="22"/>
          <w:szCs w:val="22"/>
        </w:rPr>
        <w:t xml:space="preserve">2. To evaluate the pre-post change in alexithymia following an 8-session Emotion-Focused Skills Training intervention in both groups.</w:t>
      </w:r>
    </w:p>
    <w:p>
      <w:pPr>
        <w:pStyle w:val="ListParagraph"/>
        <w:jc w:val="both"/>
      </w:pPr>
      <w:r>
        <w:rPr>
          <w:sz w:val="22"/>
          <w:szCs w:val="22"/>
        </w:rPr>
        <w:t xml:space="preserve">3. To examine whether HIV status moderates the effectiveness of EFST in reducing alexithymia (interaction effect).</w:t>
      </w:r>
    </w:p>
    <w:p>
      <w:pPr>
        <w:pStyle w:val="ListParagraph"/>
        <w:jc w:val="both"/>
      </w:pPr>
      <w:r>
        <w:rPr>
          <w:sz w:val="22"/>
          <w:szCs w:val="22"/>
        </w:rPr>
        <w:t xml:space="preserve">4. To assess alexithymia through projective assessment methods (Rorschach affect-related variables and TAT emotional narrative quality) and examine convergence with self-report measures.</w:t>
      </w:r>
    </w:p>
    <w:p>
      <w:pPr>
        <w:pStyle w:val="ListParagraph"/>
        <w:jc w:val="both"/>
      </w:pPr>
      <w:r>
        <w:rPr>
          <w:sz w:val="22"/>
          <w:szCs w:val="22"/>
        </w:rPr>
        <w:t xml:space="preserve">5. To explore the relationship between alexithymia, emotion regulation difficulties (DERS), and depression (BDI-II) in opioid-dependent individuals with and without HIV.</w:t>
      </w:r>
    </w:p>
    <w:p>
      <w:pPr>
        <w:pStyle w:val="ListParagraph"/>
        <w:jc w:val="both"/>
      </w:pPr>
      <w:r>
        <w:rPr>
          <w:sz w:val="22"/>
          <w:szCs w:val="22"/>
        </w:rPr>
        <w:t xml:space="preserve">6. To establish pilot feasibility data (retention, session attendance, participant feedback) for EFST in an inpatient de-addiction context.</w:t>
      </w:r>
    </w:p>
    <w:p>
      <w:pPr>
        <w:pStyle w:val="Heading2"/>
        <w:jc w:val="start"/>
      </w:pPr>
      <w:r>
        <w:rPr>
          <w:sz w:val="28"/>
          <w:szCs w:val="28"/>
          <w:b/>
        </w:rPr>
        <w:t xml:space="preserve">5. Hypotheses</w:t>
      </w:r>
    </w:p>
    <w:p>
      <w:pPr>
        <w:pStyle w:val="Heading3"/>
        <w:jc w:val="start"/>
      </w:pPr>
      <w:r>
        <w:rPr>
          <w:b/>
        </w:rPr>
        <w:t xml:space="preserve">Primary Hypotheses: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w="3000" w:type="dxa"/>
            <w:shd w:val="clear" w:color="auto" w:fill="1A237E"/>
          </w:tcPr>
          <w:p>
            <w:r>
              <w:rPr>
                <w:b/>
                <w:color w:val="FFFFFF"/>
                <w:sz w:val="20"/>
                <w:szCs w:val="20"/>
              </w:rPr>
              <w:t xml:space="preserve">#</w:t>
            </w:r>
          </w:p>
        </w:tc>
        <w:tc>
          <w:tcPr>
            <w:tcW w:w="3000" w:type="dxa"/>
            <w:shd w:val="clear" w:color="auto" w:fill="1A237E"/>
          </w:tcPr>
          <w:p>
            <w:r>
              <w:rPr>
                <w:b/>
                <w:color w:val="FFFFFF"/>
                <w:sz w:val="20"/>
                <w:szCs w:val="20"/>
              </w:rPr>
              <w:t xml:space="preserve">Null Hypothesis (H₀)</w:t>
            </w:r>
          </w:p>
        </w:tc>
        <w:tc>
          <w:tcPr>
            <w:tcW w:w="3000" w:type="dxa"/>
            <w:shd w:val="clear" w:color="auto" w:fill="1A237E"/>
          </w:tcPr>
          <w:p>
            <w:r>
              <w:rPr>
                <w:b/>
                <w:color w:val="FFFFFF"/>
                <w:sz w:val="20"/>
                <w:szCs w:val="20"/>
              </w:rPr>
              <w:t xml:space="preserve">Alternative Hypothesis (H₁)</w:t>
            </w:r>
          </w:p>
        </w:tc>
      </w:tr>
      <w:tr>
        <w:tc>
          <w:tcPr>
            <w:tcW w:w="3000" w:type="dxa"/>
          </w:tcPr>
          <w:p>
            <w:r>
              <w:rPr>
                <w:sz w:val="20"/>
                <w:szCs w:val="20"/>
              </w:rPr>
              <w:t xml:space="preserve">1</w:t>
            </w:r>
          </w:p>
        </w:tc>
        <w:tc>
          <w:tcPr>
            <w:tcW w:w="3000" w:type="dxa"/>
          </w:tcPr>
          <w:p>
            <w:r>
              <w:rPr>
                <w:sz w:val="20"/>
                <w:szCs w:val="20"/>
              </w:rPr>
              <w:t xml:space="preserve">There is no significant difference in baseline alexithymia (TAS-20) scores between HIV-positive and HIV-negative opioid-dependent inpatients.</w:t>
            </w:r>
          </w:p>
        </w:tc>
        <w:tc>
          <w:tcPr>
            <w:tcW w:w="3000" w:type="dxa"/>
          </w:tcPr>
          <w:p>
            <w:r>
              <w:rPr>
                <w:sz w:val="20"/>
                <w:szCs w:val="20"/>
              </w:rPr>
              <w:t xml:space="preserve">HIV-positive opioid-dependent inpatients will demonstrate significantly higher baseline alexithymia scores compared to HIV-negative opioid-dependent inpatients.</w:t>
            </w:r>
          </w:p>
        </w:tc>
      </w:tr>
      <w:tr>
        <w:tc>
          <w:tcPr>
            <w:tcW w:w="3000" w:type="dxa"/>
          </w:tcPr>
          <w:p>
            <w:r>
              <w:rPr>
                <w:sz w:val="20"/>
                <w:szCs w:val="20"/>
              </w:rPr>
              <w:t xml:space="preserve">2</w:t>
            </w:r>
          </w:p>
        </w:tc>
        <w:tc>
          <w:tcPr>
            <w:tcW w:w="3000" w:type="dxa"/>
          </w:tcPr>
          <w:p>
            <w:r>
              <w:rPr>
                <w:sz w:val="20"/>
                <w:szCs w:val="20"/>
              </w:rPr>
              <w:t xml:space="preserve">There is no significant reduction in alexithymia scores from pre-test to post-test following EFST intervention.</w:t>
            </w:r>
          </w:p>
        </w:tc>
        <w:tc>
          <w:tcPr>
            <w:tcW w:w="3000" w:type="dxa"/>
          </w:tcPr>
          <w:p>
            <w:r>
              <w:rPr>
                <w:sz w:val="20"/>
                <w:szCs w:val="20"/>
              </w:rPr>
              <w:t xml:space="preserve">There will be a significant reduction in alexithymia (TAS-20 total and subscale scores) from pre-test to post-test following EFST in both groups.</w:t>
            </w:r>
          </w:p>
        </w:tc>
      </w:tr>
      <w:tr>
        <w:tc>
          <w:tcPr>
            <w:tcW w:w="3000" w:type="dxa"/>
          </w:tcPr>
          <w:p>
            <w:r>
              <w:rPr>
                <w:sz w:val="20"/>
                <w:szCs w:val="20"/>
              </w:rPr>
              <w:t xml:space="preserve">3</w:t>
            </w:r>
          </w:p>
        </w:tc>
        <w:tc>
          <w:tcPr>
            <w:tcW w:w="3000" w:type="dxa"/>
          </w:tcPr>
          <w:p>
            <w:r>
              <w:rPr>
                <w:sz w:val="20"/>
                <w:szCs w:val="20"/>
              </w:rPr>
              <w:t xml:space="preserve">There is no significant interaction between HIV status and time (pre-post) on alexithymia scores.</w:t>
            </w:r>
          </w:p>
        </w:tc>
        <w:tc>
          <w:tcPr>
            <w:tcW w:w="3000" w:type="dxa"/>
          </w:tcPr>
          <w:p>
            <w:r>
              <w:rPr>
                <w:sz w:val="20"/>
                <w:szCs w:val="20"/>
              </w:rPr>
              <w:t xml:space="preserve">The magnitude of reduction in alexithymia following EFST will differ significantly between HIV-positive and HIV-negative groups (significant Group × Time interaction).</w:t>
            </w:r>
          </w:p>
        </w:tc>
      </w:tr>
    </w:tbl>
    <w:p/>
    <w:p>
      <w:pPr>
        <w:pStyle w:val="Heading3"/>
        <w:jc w:val="start"/>
      </w:pPr>
      <w:r>
        <w:rPr>
          <w:b/>
        </w:rPr>
        <w:t xml:space="preserve">Secondary Hypotheses: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w="3000" w:type="dxa"/>
            <w:shd w:val="clear" w:color="auto" w:fill="1A237E"/>
          </w:tcPr>
          <w:p>
            <w:r>
              <w:rPr>
                <w:b/>
                <w:color w:val="FFFFFF"/>
                <w:sz w:val="20"/>
                <w:szCs w:val="20"/>
              </w:rPr>
              <w:t xml:space="preserve">#</w:t>
            </w:r>
          </w:p>
        </w:tc>
        <w:tc>
          <w:tcPr>
            <w:tcW w:w="3000" w:type="dxa"/>
            <w:shd w:val="clear" w:color="auto" w:fill="1A237E"/>
          </w:tcPr>
          <w:p>
            <w:r>
              <w:rPr>
                <w:b/>
                <w:color w:val="FFFFFF"/>
                <w:sz w:val="20"/>
                <w:szCs w:val="20"/>
              </w:rPr>
              <w:t xml:space="preserve">Null Hypothesis (H₀)</w:t>
            </w:r>
          </w:p>
        </w:tc>
        <w:tc>
          <w:tcPr>
            <w:tcW w:w="3000" w:type="dxa"/>
            <w:shd w:val="clear" w:color="auto" w:fill="1A237E"/>
          </w:tcPr>
          <w:p>
            <w:r>
              <w:rPr>
                <w:b/>
                <w:color w:val="FFFFFF"/>
                <w:sz w:val="20"/>
                <w:szCs w:val="20"/>
              </w:rPr>
              <w:t xml:space="preserve">Alternative Hypothesis (H₁)</w:t>
            </w:r>
          </w:p>
        </w:tc>
      </w:tr>
      <w:tr>
        <w:tc>
          <w:tcPr>
            <w:tcW w:w="3000" w:type="dxa"/>
          </w:tcPr>
          <w:p>
            <w:r>
              <w:rPr>
                <w:sz w:val="20"/>
                <w:szCs w:val="20"/>
              </w:rPr>
              <w:t xml:space="preserve">4</w:t>
            </w:r>
          </w:p>
        </w:tc>
        <w:tc>
          <w:tcPr>
            <w:tcW w:w="3000" w:type="dxa"/>
          </w:tcPr>
          <w:p>
            <w:r>
              <w:rPr>
                <w:sz w:val="20"/>
                <w:szCs w:val="20"/>
              </w:rPr>
              <w:t xml:space="preserve">There is no significant correlation between TAS-20 scores and Rorschach affect-related variables.</w:t>
            </w:r>
          </w:p>
        </w:tc>
        <w:tc>
          <w:tcPr>
            <w:tcW w:w="3000" w:type="dxa"/>
          </w:tcPr>
          <w:p>
            <w:r>
              <w:rPr>
                <w:sz w:val="20"/>
                <w:szCs w:val="20"/>
              </w:rPr>
              <w:t xml:space="preserve">TAS-20 scores will show significant correlations with Rorschach affect constriction indicators (low Afr, low FC, low Blends).</w:t>
            </w:r>
          </w:p>
        </w:tc>
      </w:tr>
      <w:tr>
        <w:tc>
          <w:tcPr>
            <w:tcW w:w="3000" w:type="dxa"/>
          </w:tcPr>
          <w:p>
            <w:r>
              <w:rPr>
                <w:sz w:val="20"/>
                <w:szCs w:val="20"/>
              </w:rPr>
              <w:t xml:space="preserve">5</w:t>
            </w:r>
          </w:p>
        </w:tc>
        <w:tc>
          <w:tcPr>
            <w:tcW w:w="3000" w:type="dxa"/>
          </w:tcPr>
          <w:p>
            <w:r>
              <w:rPr>
                <w:sz w:val="20"/>
                <w:szCs w:val="20"/>
              </w:rPr>
              <w:t xml:space="preserve">There is no significant relationship between alexithymia and emotion regulation difficulties.</w:t>
            </w:r>
          </w:p>
        </w:tc>
        <w:tc>
          <w:tcPr>
            <w:tcW w:w="3000" w:type="dxa"/>
          </w:tcPr>
          <w:p>
            <w:r>
              <w:rPr>
                <w:sz w:val="20"/>
                <w:szCs w:val="20"/>
              </w:rPr>
              <w:t xml:space="preserve">Higher alexithymia (TAS-20) will be significantly associated with greater emotion regulation difficulties (DERS total score) in both groups.</w:t>
            </w:r>
          </w:p>
        </w:tc>
      </w:tr>
      <w:tr>
        <w:tc>
          <w:tcPr>
            <w:tcW w:w="3000" w:type="dxa"/>
          </w:tcPr>
          <w:p>
            <w:r>
              <w:rPr>
                <w:sz w:val="20"/>
                <w:szCs w:val="20"/>
              </w:rPr>
              <w:t xml:space="preserve">6</w:t>
            </w:r>
          </w:p>
        </w:tc>
        <w:tc>
          <w:tcPr>
            <w:tcW w:w="3000" w:type="dxa"/>
          </w:tcPr>
          <w:p>
            <w:r>
              <w:rPr>
                <w:sz w:val="20"/>
                <w:szCs w:val="20"/>
              </w:rPr>
              <w:t xml:space="preserve">There is no significant change in Rorschach and TAT affect variables from pre-test to post-test.</w:t>
            </w:r>
          </w:p>
        </w:tc>
        <w:tc>
          <w:tcPr>
            <w:tcW w:w="3000" w:type="dxa"/>
          </w:tcPr>
          <w:p>
            <w:r>
              <w:rPr>
                <w:sz w:val="20"/>
                <w:szCs w:val="20"/>
              </w:rPr>
              <w:t xml:space="preserve">Projective assessment indicators of emotional processing will show significant improvement from pre-test to post-test following EFST.</w:t>
            </w:r>
          </w:p>
        </w:tc>
      </w:tr>
    </w:tbl>
    <w:p/>
    <w:p>
      <w:pPr>
        <w:pStyle w:val="Heading2"/>
        <w:jc w:val="start"/>
      </w:pPr>
      <w:r>
        <w:rPr>
          <w:sz w:val="28"/>
          <w:szCs w:val="28"/>
          <w:b/>
        </w:rPr>
        <w:t xml:space="preserve">6. Variables</w:t>
      </w:r>
    </w:p>
    <w:p>
      <w:pPr>
        <w:pStyle w:val="Heading3"/>
        <w:jc w:val="start"/>
      </w:pPr>
      <w:r>
        <w:rPr>
          <w:b/>
        </w:rPr>
        <w:t xml:space="preserve">6.1 Independent Variables: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w="3000" w:type="dxa"/>
            <w:shd w:val="clear" w:color="auto" w:fill="1A237E"/>
          </w:tcPr>
          <w:p>
            <w:r>
              <w:rPr>
                <w:b/>
                <w:color w:val="FFFFFF"/>
                <w:sz w:val="20"/>
                <w:szCs w:val="20"/>
              </w:rPr>
              <w:t xml:space="preserve">Variable</w:t>
            </w:r>
          </w:p>
        </w:tc>
        <w:tc>
          <w:tcPr>
            <w:tcW w:w="3000" w:type="dxa"/>
            <w:shd w:val="clear" w:color="auto" w:fill="1A237E"/>
          </w:tcPr>
          <w:p>
            <w:r>
              <w:rPr>
                <w:b/>
                <w:color w:val="FFFFFF"/>
                <w:sz w:val="20"/>
                <w:szCs w:val="20"/>
              </w:rPr>
              <w:t xml:space="preserve">Type</w:t>
            </w:r>
          </w:p>
        </w:tc>
        <w:tc>
          <w:tcPr>
            <w:tcW w:w="3000" w:type="dxa"/>
            <w:shd w:val="clear" w:color="auto" w:fill="1A237E"/>
          </w:tcPr>
          <w:p>
            <w:r>
              <w:rPr>
                <w:b/>
                <w:color w:val="FFFFFF"/>
                <w:sz w:val="20"/>
                <w:szCs w:val="20"/>
              </w:rPr>
              <w:t xml:space="preserve">Operational Definition</w:t>
            </w:r>
          </w:p>
        </w:tc>
      </w:tr>
      <w:tr>
        <w:tc>
          <w:tcPr>
            <w:tcW w:w="3000" w:type="dxa"/>
          </w:tcPr>
          <w:p>
            <w:r>
              <w:rPr>
                <w:sz w:val="20"/>
                <w:szCs w:val="20"/>
              </w:rPr>
              <w:t xml:space="preserve">HIV Status</w:t>
            </w:r>
          </w:p>
        </w:tc>
        <w:tc>
          <w:tcPr>
            <w:tcW w:w="3000" w:type="dxa"/>
          </w:tcPr>
          <w:p>
            <w:r>
              <w:rPr>
                <w:sz w:val="20"/>
                <w:szCs w:val="20"/>
              </w:rPr>
              <w:t xml:space="preserve">Between-subjects, Categorical (2 levels)</w:t>
            </w:r>
          </w:p>
        </w:tc>
        <w:tc>
          <w:tcPr>
            <w:tcW w:w="3000" w:type="dxa"/>
          </w:tcPr>
          <w:p>
            <w:r>
              <w:rPr>
                <w:sz w:val="20"/>
                <w:szCs w:val="20"/>
              </w:rPr>
              <w:t xml:space="preserve">Confirmed HIV-positive (documented seropositive status via medical records/ELISA) vs. HIV-negative (documented seronegative status)</w:t>
            </w:r>
          </w:p>
        </w:tc>
      </w:tr>
      <w:tr>
        <w:tc>
          <w:tcPr>
            <w:tcW w:w="3000" w:type="dxa"/>
          </w:tcPr>
          <w:p>
            <w:r>
              <w:rPr>
                <w:sz w:val="20"/>
                <w:szCs w:val="20"/>
              </w:rPr>
              <w:t xml:space="preserve">Intervention (Time)</w:t>
            </w:r>
          </w:p>
        </w:tc>
        <w:tc>
          <w:tcPr>
            <w:tcW w:w="3000" w:type="dxa"/>
          </w:tcPr>
          <w:p>
            <w:r>
              <w:rPr>
                <w:sz w:val="20"/>
                <w:szCs w:val="20"/>
              </w:rPr>
              <w:t xml:space="preserve">Within-subjects, Categorical (2 levels)</w:t>
            </w:r>
          </w:p>
        </w:tc>
        <w:tc>
          <w:tcPr>
            <w:tcW w:w="3000" w:type="dxa"/>
          </w:tcPr>
          <w:p>
            <w:r>
              <w:rPr>
                <w:sz w:val="20"/>
                <w:szCs w:val="20"/>
              </w:rPr>
              <w:t xml:space="preserve">Pre-intervention (baseline assessment at Week 1 of admission) vs. Post-intervention (assessment after completion of 8-session EFST at Week 4)</w:t>
            </w:r>
          </w:p>
        </w:tc>
      </w:tr>
    </w:tbl>
    <w:p/>
    <w:p>
      <w:pPr>
        <w:pStyle w:val="Heading3"/>
        <w:jc w:val="start"/>
      </w:pPr>
      <w:r>
        <w:rPr>
          <w:b/>
        </w:rPr>
        <w:t xml:space="preserve">6.2 Dependent Variables: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w="3000" w:type="dxa"/>
            <w:shd w:val="clear" w:color="auto" w:fill="1A237E"/>
          </w:tcPr>
          <w:p>
            <w:r>
              <w:rPr>
                <w:b/>
                <w:color w:val="FFFFFF"/>
                <w:sz w:val="20"/>
                <w:szCs w:val="20"/>
              </w:rPr>
              <w:t xml:space="preserve">Variable</w:t>
            </w:r>
          </w:p>
        </w:tc>
        <w:tc>
          <w:tcPr>
            <w:tcW w:w="3000" w:type="dxa"/>
            <w:shd w:val="clear" w:color="auto" w:fill="1A237E"/>
          </w:tcPr>
          <w:p>
            <w:r>
              <w:rPr>
                <w:b/>
                <w:color w:val="FFFFFF"/>
                <w:sz w:val="20"/>
                <w:szCs w:val="20"/>
              </w:rPr>
              <w:t xml:space="preserve">Measurement</w:t>
            </w:r>
          </w:p>
        </w:tc>
        <w:tc>
          <w:tcPr>
            <w:tcW w:w="3000" w:type="dxa"/>
            <w:shd w:val="clear" w:color="auto" w:fill="1A237E"/>
          </w:tcPr>
          <w:p>
            <w:r>
              <w:rPr>
                <w:b/>
                <w:color w:val="FFFFFF"/>
                <w:sz w:val="20"/>
                <w:szCs w:val="20"/>
              </w:rPr>
              <w:t xml:space="preserve">Operational Definition</w:t>
            </w:r>
          </w:p>
        </w:tc>
      </w:tr>
      <w:tr>
        <w:tc>
          <w:tcPr>
            <w:tcW w:w="3000" w:type="dxa"/>
          </w:tcPr>
          <w:p>
            <w:r>
              <w:rPr>
                <w:sz w:val="20"/>
                <w:szCs w:val="20"/>
              </w:rPr>
              <w:t xml:space="preserve">Alexithymia (Primary DV)</w:t>
            </w:r>
          </w:p>
        </w:tc>
        <w:tc>
          <w:tcPr>
            <w:tcW w:w="3000" w:type="dxa"/>
          </w:tcPr>
          <w:p>
            <w:r>
              <w:rPr>
                <w:sz w:val="20"/>
                <w:szCs w:val="20"/>
              </w:rPr>
              <w:t xml:space="preserve">TAS-20 Total Score + 3 subscale scores</w:t>
            </w:r>
          </w:p>
        </w:tc>
        <w:tc>
          <w:tcPr>
            <w:tcW w:w="3000" w:type="dxa"/>
          </w:tcPr>
          <w:p>
            <w:r>
              <w:rPr>
                <w:sz w:val="20"/>
                <w:szCs w:val="20"/>
              </w:rPr>
              <w:t xml:space="preserve">Total score on TAS-20 (range 20-100); Cut-offs: ≤51 = non-alexithymic, 52-60 = possible, ≥61 = alexithymic. Subscales: DIF (items 1,3,6,7,9,13,14), DDF (items 2,4,11,12,17), EOT (items 5,8,10,15,16,18,19,20)</w:t>
            </w:r>
          </w:p>
        </w:tc>
      </w:tr>
      <w:tr>
        <w:tc>
          <w:tcPr>
            <w:tcW w:w="3000" w:type="dxa"/>
          </w:tcPr>
          <w:p>
            <w:r>
              <w:rPr>
                <w:sz w:val="20"/>
                <w:szCs w:val="20"/>
              </w:rPr>
              <w:t xml:space="preserve">Rorschach Affect Variables</w:t>
            </w:r>
          </w:p>
        </w:tc>
        <w:tc>
          <w:tcPr>
            <w:tcW w:w="3000" w:type="dxa"/>
          </w:tcPr>
          <w:p>
            <w:r>
              <w:rPr>
                <w:sz w:val="20"/>
                <w:szCs w:val="20"/>
              </w:rPr>
              <w:t xml:space="preserve">Exner CS / R-PAS scoring</w:t>
            </w:r>
          </w:p>
        </w:tc>
        <w:tc>
          <w:tcPr>
            <w:tcW w:w="3000" w:type="dxa"/>
          </w:tcPr>
          <w:p>
            <w:r>
              <w:rPr>
                <w:sz w:val="20"/>
                <w:szCs w:val="20"/>
              </w:rPr>
              <w:t xml:space="preserve">Affective Ratio (Afr), Form-Color ratio (FC:CF+C), Sum of Shading responses (SumShd), Number of Blends, Weighted Sum of Color (WSumC), Constriction ratio (Lambda)</w:t>
            </w:r>
          </w:p>
        </w:tc>
      </w:tr>
      <w:tr>
        <w:tc>
          <w:tcPr>
            <w:tcW w:w="3000" w:type="dxa"/>
          </w:tcPr>
          <w:p>
            <w:r>
              <w:rPr>
                <w:sz w:val="20"/>
                <w:szCs w:val="20"/>
              </w:rPr>
              <w:t xml:space="preserve">TAT Emotional Narrative Quality</w:t>
            </w:r>
          </w:p>
        </w:tc>
        <w:tc>
          <w:tcPr>
            <w:tcW w:w="3000" w:type="dxa"/>
          </w:tcPr>
          <w:p>
            <w:r>
              <w:rPr>
                <w:sz w:val="20"/>
                <w:szCs w:val="20"/>
              </w:rPr>
              <w:t xml:space="preserve">SCORS-G Affect dimension scoring</w:t>
            </w:r>
          </w:p>
        </w:tc>
        <w:tc>
          <w:tcPr>
            <w:tcW w:w="3000" w:type="dxa"/>
          </w:tcPr>
          <w:p>
            <w:r>
              <w:rPr>
                <w:sz w:val="20"/>
                <w:szCs w:val="20"/>
              </w:rPr>
              <w:t xml:space="preserve">Rated quality of emotional content in TAT narratives on SCORS-G Affective Quality of Representations dimension (1-7 scale)</w:t>
            </w:r>
          </w:p>
        </w:tc>
      </w:tr>
      <w:tr>
        <w:tc>
          <w:tcPr>
            <w:tcW w:w="3000" w:type="dxa"/>
          </w:tcPr>
          <w:p>
            <w:r>
              <w:rPr>
                <w:sz w:val="20"/>
                <w:szCs w:val="20"/>
              </w:rPr>
              <w:t xml:space="preserve">Emotion Regulation (Secondary DV)</w:t>
            </w:r>
          </w:p>
        </w:tc>
        <w:tc>
          <w:tcPr>
            <w:tcW w:w="3000" w:type="dxa"/>
          </w:tcPr>
          <w:p>
            <w:r>
              <w:rPr>
                <w:sz w:val="20"/>
                <w:szCs w:val="20"/>
              </w:rPr>
              <w:t xml:space="preserve">DERS Total Score + 6 subscale scores</w:t>
            </w:r>
          </w:p>
        </w:tc>
        <w:tc>
          <w:tcPr>
            <w:tcW w:w="3000" w:type="dxa"/>
          </w:tcPr>
          <w:p>
            <w:r>
              <w:rPr>
                <w:sz w:val="20"/>
                <w:szCs w:val="20"/>
              </w:rPr>
              <w:t xml:space="preserve">Total score on Difficulties in Emotion Regulation Scale (36 items, range 36-180); higher scores = greater dysregulation</w:t>
            </w:r>
          </w:p>
        </w:tc>
      </w:tr>
    </w:tbl>
    <w:p/>
    <w:p>
      <w:pPr>
        <w:pStyle w:val="Heading3"/>
        <w:jc w:val="start"/>
      </w:pPr>
      <w:r>
        <w:rPr>
          <w:b/>
        </w:rPr>
        <w:t xml:space="preserve">6.3 Control / Confounding Variables: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w="3000" w:type="dxa"/>
            <w:shd w:val="clear" w:color="auto" w:fill="1A237E"/>
          </w:tcPr>
          <w:p>
            <w:r>
              <w:rPr>
                <w:b/>
                <w:color w:val="FFFFFF"/>
                <w:sz w:val="20"/>
                <w:szCs w:val="20"/>
              </w:rPr>
              <w:t xml:space="preserve">Variable</w:t>
            </w:r>
          </w:p>
        </w:tc>
        <w:tc>
          <w:tcPr>
            <w:tcW w:w="3000" w:type="dxa"/>
            <w:shd w:val="clear" w:color="auto" w:fill="1A237E"/>
          </w:tcPr>
          <w:p>
            <w:r>
              <w:rPr>
                <w:b/>
                <w:color w:val="FFFFFF"/>
                <w:sz w:val="20"/>
                <w:szCs w:val="20"/>
              </w:rPr>
              <w:t xml:space="preserve">Rationale</w:t>
            </w:r>
          </w:p>
        </w:tc>
        <w:tc>
          <w:tcPr>
            <w:tcW w:w="3000" w:type="dxa"/>
            <w:shd w:val="clear" w:color="auto" w:fill="1A237E"/>
          </w:tcPr>
          <w:p>
            <w:r>
              <w:rPr>
                <w:b/>
                <w:color w:val="FFFFFF"/>
                <w:sz w:val="20"/>
                <w:szCs w:val="20"/>
              </w:rPr>
              <w:t xml:space="preserve">Method of Control</w:t>
            </w:r>
          </w:p>
        </w:tc>
      </w:tr>
      <w:tr>
        <w:tc>
          <w:tcPr>
            <w:tcW w:w="3000" w:type="dxa"/>
          </w:tcPr>
          <w:p>
            <w:r>
              <w:rPr>
                <w:sz w:val="20"/>
                <w:szCs w:val="20"/>
              </w:rPr>
              <w:t xml:space="preserve">Age</w:t>
            </w:r>
          </w:p>
        </w:tc>
        <w:tc>
          <w:tcPr>
            <w:tcW w:w="3000" w:type="dxa"/>
          </w:tcPr>
          <w:p>
            <w:r>
              <w:rPr>
                <w:sz w:val="20"/>
                <w:szCs w:val="20"/>
              </w:rPr>
              <w:t xml:space="preserve">Cognitive maturation affects emotional processing</w:t>
            </w:r>
          </w:p>
        </w:tc>
        <w:tc>
          <w:tcPr>
            <w:tcW w:w="3000" w:type="dxa"/>
          </w:tcPr>
          <w:p>
            <w:r>
              <w:rPr>
                <w:sz w:val="20"/>
                <w:szCs w:val="20"/>
              </w:rPr>
              <w:t xml:space="preserve">Matching / statistical covariate</w:t>
            </w:r>
          </w:p>
        </w:tc>
      </w:tr>
      <w:tr>
        <w:tc>
          <w:tcPr>
            <w:tcW w:w="3000" w:type="dxa"/>
          </w:tcPr>
          <w:p>
            <w:r>
              <w:rPr>
                <w:sz w:val="20"/>
                <w:szCs w:val="20"/>
              </w:rPr>
              <w:t xml:space="preserve">Gender</w:t>
            </w:r>
          </w:p>
        </w:tc>
        <w:tc>
          <w:tcPr>
            <w:tcW w:w="3000" w:type="dxa"/>
          </w:tcPr>
          <w:p>
            <w:r>
              <w:rPr>
                <w:sz w:val="20"/>
                <w:szCs w:val="20"/>
              </w:rPr>
              <w:t xml:space="preserve">Gender differences in alexithymia are documented</w:t>
            </w:r>
          </w:p>
        </w:tc>
        <w:tc>
          <w:tcPr>
            <w:tcW w:w="3000" w:type="dxa"/>
          </w:tcPr>
          <w:p>
            <w:r>
              <w:rPr>
                <w:sz w:val="20"/>
                <w:szCs w:val="20"/>
              </w:rPr>
              <w:t xml:space="preserve">Restrict to males (predominant in Indian de-addiction settings) or match</w:t>
            </w:r>
          </w:p>
        </w:tc>
      </w:tr>
      <w:tr>
        <w:tc>
          <w:tcPr>
            <w:tcW w:w="3000" w:type="dxa"/>
          </w:tcPr>
          <w:p>
            <w:r>
              <w:rPr>
                <w:sz w:val="20"/>
                <w:szCs w:val="20"/>
              </w:rPr>
              <w:t xml:space="preserve">Education</w:t>
            </w:r>
          </w:p>
        </w:tc>
        <w:tc>
          <w:tcPr>
            <w:tcW w:w="3000" w:type="dxa"/>
          </w:tcPr>
          <w:p>
            <w:r>
              <w:rPr>
                <w:sz w:val="20"/>
                <w:szCs w:val="20"/>
              </w:rPr>
              <w:t xml:space="preserve">Literacy affects self-report completion and emotional vocabulary</w:t>
            </w:r>
          </w:p>
        </w:tc>
        <w:tc>
          <w:tcPr>
            <w:tcW w:w="3000" w:type="dxa"/>
          </w:tcPr>
          <w:p>
            <w:r>
              <w:rPr>
                <w:sz w:val="20"/>
                <w:szCs w:val="20"/>
              </w:rPr>
              <w:t xml:space="preserve">Matching / statistical covariate</w:t>
            </w:r>
          </w:p>
        </w:tc>
      </w:tr>
      <w:tr>
        <w:tc>
          <w:tcPr>
            <w:tcW w:w="3000" w:type="dxa"/>
          </w:tcPr>
          <w:p>
            <w:r>
              <w:rPr>
                <w:sz w:val="20"/>
                <w:szCs w:val="20"/>
              </w:rPr>
              <w:t xml:space="preserve">Duration of opioid dependence</w:t>
            </w:r>
          </w:p>
        </w:tc>
        <w:tc>
          <w:tcPr>
            <w:tcW w:w="3000" w:type="dxa"/>
          </w:tcPr>
          <w:p>
            <w:r>
              <w:rPr>
                <w:sz w:val="20"/>
                <w:szCs w:val="20"/>
              </w:rPr>
              <w:t xml:space="preserve">Chronicity may affect alexithymia severity</w:t>
            </w:r>
          </w:p>
        </w:tc>
        <w:tc>
          <w:tcPr>
            <w:tcW w:w="3000" w:type="dxa"/>
          </w:tcPr>
          <w:p>
            <w:r>
              <w:rPr>
                <w:sz w:val="20"/>
                <w:szCs w:val="20"/>
              </w:rPr>
              <w:t xml:space="preserve">Matching / statistical covariate</w:t>
            </w:r>
          </w:p>
        </w:tc>
      </w:tr>
      <w:tr>
        <w:tc>
          <w:tcPr>
            <w:tcW w:w="3000" w:type="dxa"/>
          </w:tcPr>
          <w:p>
            <w:r>
              <w:rPr>
                <w:sz w:val="20"/>
                <w:szCs w:val="20"/>
              </w:rPr>
              <w:t xml:space="preserve">Route of administration</w:t>
            </w:r>
          </w:p>
        </w:tc>
        <w:tc>
          <w:tcPr>
            <w:tcW w:w="3000" w:type="dxa"/>
          </w:tcPr>
          <w:p>
            <w:r>
              <w:rPr>
                <w:sz w:val="20"/>
                <w:szCs w:val="20"/>
              </w:rPr>
              <w:t xml:space="preserve">Injection vs. non-injection may relate to HIV status</w:t>
            </w:r>
          </w:p>
        </w:tc>
        <w:tc>
          <w:tcPr>
            <w:tcW w:w="3000" w:type="dxa"/>
          </w:tcPr>
          <w:p>
            <w:r>
              <w:rPr>
                <w:sz w:val="20"/>
                <w:szCs w:val="20"/>
              </w:rPr>
              <w:t xml:space="preserve">Document and control statistically</w:t>
            </w:r>
          </w:p>
        </w:tc>
      </w:tr>
      <w:tr>
        <w:tc>
          <w:tcPr>
            <w:tcW w:w="3000" w:type="dxa"/>
          </w:tcPr>
          <w:p>
            <w:r>
              <w:rPr>
                <w:sz w:val="20"/>
                <w:szCs w:val="20"/>
              </w:rPr>
              <w:t xml:space="preserve">Depression (BDI-II)</w:t>
            </w:r>
          </w:p>
        </w:tc>
        <w:tc>
          <w:tcPr>
            <w:tcW w:w="3000" w:type="dxa"/>
          </w:tcPr>
          <w:p>
            <w:r>
              <w:rPr>
                <w:sz w:val="20"/>
                <w:szCs w:val="20"/>
              </w:rPr>
              <w:t xml:space="preserve">Depression overlaps with alexithymia and must be controlled</w:t>
            </w:r>
          </w:p>
        </w:tc>
        <w:tc>
          <w:tcPr>
            <w:tcW w:w="3000" w:type="dxa"/>
          </w:tcPr>
          <w:p>
            <w:r>
              <w:rPr>
                <w:sz w:val="20"/>
                <w:szCs w:val="20"/>
              </w:rPr>
              <w:t xml:space="preserve">Measured and used as covariate if significantly different between groups</w:t>
            </w:r>
          </w:p>
        </w:tc>
      </w:tr>
      <w:tr>
        <w:tc>
          <w:tcPr>
            <w:tcW w:w="3000" w:type="dxa"/>
          </w:tcPr>
          <w:p>
            <w:r>
              <w:rPr>
                <w:sz w:val="20"/>
                <w:szCs w:val="20"/>
              </w:rPr>
              <w:t xml:space="preserve">Medication (OST, ART)</w:t>
            </w:r>
          </w:p>
        </w:tc>
        <w:tc>
          <w:tcPr>
            <w:tcW w:w="3000" w:type="dxa"/>
          </w:tcPr>
          <w:p>
            <w:r>
              <w:rPr>
                <w:sz w:val="20"/>
                <w:szCs w:val="20"/>
              </w:rPr>
              <w:t xml:space="preserve">Pharmacological effects on emotional processing</w:t>
            </w:r>
          </w:p>
        </w:tc>
        <w:tc>
          <w:tcPr>
            <w:tcW w:w="3000" w:type="dxa"/>
          </w:tcPr>
          <w:p>
            <w:r>
              <w:rPr>
                <w:sz w:val="20"/>
                <w:szCs w:val="20"/>
              </w:rPr>
              <w:t xml:space="preserve">Document; all participants on standard de-addiction pharmacotherapy</w:t>
            </w:r>
          </w:p>
        </w:tc>
      </w:tr>
      <w:tr>
        <w:tc>
          <w:tcPr>
            <w:tcW w:w="3000" w:type="dxa"/>
          </w:tcPr>
          <w:p>
            <w:r>
              <w:rPr>
                <w:sz w:val="20"/>
                <w:szCs w:val="20"/>
              </w:rPr>
              <w:t xml:space="preserve">CD4 count (HIV+ group)</w:t>
            </w:r>
          </w:p>
        </w:tc>
        <w:tc>
          <w:tcPr>
            <w:tcW w:w="3000" w:type="dxa"/>
          </w:tcPr>
          <w:p>
            <w:r>
              <w:rPr>
                <w:sz w:val="20"/>
                <w:szCs w:val="20"/>
              </w:rPr>
              <w:t xml:space="preserve">Immunological status may relate to neurocognitive function</w:t>
            </w:r>
          </w:p>
        </w:tc>
        <w:tc>
          <w:tcPr>
            <w:tcW w:w="3000" w:type="dxa"/>
          </w:tcPr>
          <w:p>
            <w:r>
              <w:rPr>
                <w:sz w:val="20"/>
                <w:szCs w:val="20"/>
              </w:rPr>
              <w:t xml:space="preserve">Document from medical records</w:t>
            </w:r>
          </w:p>
        </w:tc>
      </w:tr>
    </w:tbl>
    <w:p/>
    <w:p>
      <w:pPr>
        <w:pStyle w:val="Heading2"/>
        <w:jc w:val="start"/>
      </w:pPr>
      <w:r>
        <w:rPr>
          <w:sz w:val="28"/>
          <w:szCs w:val="28"/>
          <w:b/>
        </w:rPr>
        <w:t xml:space="preserve">7. Inclusion and Exclusion Criteria</w:t>
      </w:r>
    </w:p>
    <w:p>
      <w:pPr>
        <w:pStyle w:val="Heading3"/>
        <w:jc w:val="start"/>
      </w:pPr>
      <w:r>
        <w:rPr>
          <w:b/>
        </w:rPr>
        <w:t xml:space="preserve">7.1 Inclusion Criteria:</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w="3000" w:type="dxa"/>
            <w:shd w:val="clear" w:color="auto" w:fill="1A237E"/>
          </w:tcPr>
          <w:p>
            <w:r>
              <w:rPr>
                <w:b/>
                <w:color w:val="FFFFFF"/>
                <w:sz w:val="20"/>
                <w:szCs w:val="20"/>
              </w:rPr>
              <w:t xml:space="preserve">#</w:t>
            </w:r>
          </w:p>
        </w:tc>
        <w:tc>
          <w:tcPr>
            <w:tcW w:w="3000" w:type="dxa"/>
            <w:shd w:val="clear" w:color="auto" w:fill="1A237E"/>
          </w:tcPr>
          <w:p>
            <w:r>
              <w:rPr>
                <w:b/>
                <w:color w:val="FFFFFF"/>
                <w:sz w:val="20"/>
                <w:szCs w:val="20"/>
              </w:rPr>
              <w:t xml:space="preserve">Criterion</w:t>
            </w:r>
          </w:p>
        </w:tc>
        <w:tc>
          <w:tcPr>
            <w:tcW w:w="3000" w:type="dxa"/>
            <w:shd w:val="clear" w:color="auto" w:fill="1A237E"/>
          </w:tcPr>
          <w:p>
            <w:r>
              <w:rPr>
                <w:b/>
                <w:color w:val="FFFFFF"/>
                <w:sz w:val="20"/>
                <w:szCs w:val="20"/>
              </w:rPr>
              <w:t xml:space="preserve">Justification</w:t>
            </w:r>
          </w:p>
        </w:tc>
      </w:tr>
      <w:tr>
        <w:tc>
          <w:tcPr>
            <w:tcW w:w="3000" w:type="dxa"/>
          </w:tcPr>
          <w:p>
            <w:r>
              <w:rPr>
                <w:sz w:val="20"/>
                <w:szCs w:val="20"/>
              </w:rPr>
              <w:t xml:space="preserve">1</w:t>
            </w:r>
          </w:p>
        </w:tc>
        <w:tc>
          <w:tcPr>
            <w:tcW w:w="3000" w:type="dxa"/>
          </w:tcPr>
          <w:p>
            <w:r>
              <w:rPr>
                <w:sz w:val="20"/>
                <w:szCs w:val="20"/>
              </w:rPr>
              <w:t xml:space="preserve">Diagnosis of Opioid Dependence Syndrome as per ICD-11 (6C43) / DSM-5 Opioid Use Disorder (Moderate to Severe)</w:t>
            </w:r>
          </w:p>
        </w:tc>
        <w:tc>
          <w:tcPr>
            <w:tcW w:w="3000" w:type="dxa"/>
          </w:tcPr>
          <w:p>
            <w:r>
              <w:rPr>
                <w:sz w:val="20"/>
                <w:szCs w:val="20"/>
              </w:rPr>
              <w:t xml:space="preserve">Diagnostic specificity; ensures homogeneous clinical sample</w:t>
            </w:r>
          </w:p>
        </w:tc>
      </w:tr>
      <w:tr>
        <w:tc>
          <w:tcPr>
            <w:tcW w:w="3000" w:type="dxa"/>
          </w:tcPr>
          <w:p>
            <w:r>
              <w:rPr>
                <w:sz w:val="20"/>
                <w:szCs w:val="20"/>
              </w:rPr>
              <w:t xml:space="preserve">2</w:t>
            </w:r>
          </w:p>
        </w:tc>
        <w:tc>
          <w:tcPr>
            <w:tcW w:w="3000" w:type="dxa"/>
          </w:tcPr>
          <w:p>
            <w:r>
              <w:rPr>
                <w:sz w:val="20"/>
                <w:szCs w:val="20"/>
              </w:rPr>
              <w:t xml:space="preserve">Male gender</w:t>
            </w:r>
          </w:p>
        </w:tc>
        <w:tc>
          <w:tcPr>
            <w:tcW w:w="3000" w:type="dxa"/>
          </w:tcPr>
          <w:p>
            <w:r>
              <w:rPr>
                <w:sz w:val="20"/>
                <w:szCs w:val="20"/>
              </w:rPr>
              <w:t xml:space="preserve">De-addiction inpatient populations in India are predominantly male; controls for gender confound in alexithymia</w:t>
            </w:r>
          </w:p>
        </w:tc>
      </w:tr>
      <w:tr>
        <w:tc>
          <w:tcPr>
            <w:tcW w:w="3000" w:type="dxa"/>
          </w:tcPr>
          <w:p>
            <w:r>
              <w:rPr>
                <w:sz w:val="20"/>
                <w:szCs w:val="20"/>
              </w:rPr>
              <w:t xml:space="preserve">3</w:t>
            </w:r>
          </w:p>
        </w:tc>
        <w:tc>
          <w:tcPr>
            <w:tcW w:w="3000" w:type="dxa"/>
          </w:tcPr>
          <w:p>
            <w:r>
              <w:rPr>
                <w:sz w:val="20"/>
                <w:szCs w:val="20"/>
              </w:rPr>
              <w:t xml:space="preserve">Age range: 18-50 years</w:t>
            </w:r>
          </w:p>
        </w:tc>
        <w:tc>
          <w:tcPr>
            <w:tcW w:w="3000" w:type="dxa"/>
          </w:tcPr>
          <w:p>
            <w:r>
              <w:rPr>
                <w:sz w:val="20"/>
                <w:szCs w:val="20"/>
              </w:rPr>
              <w:t xml:space="preserve">Captures primary age of opioid dependence onset and active use; avoids age-related cognitive decline confounds</w:t>
            </w:r>
          </w:p>
        </w:tc>
      </w:tr>
      <w:tr>
        <w:tc>
          <w:tcPr>
            <w:tcW w:w="3000" w:type="dxa"/>
          </w:tcPr>
          <w:p>
            <w:r>
              <w:rPr>
                <w:sz w:val="20"/>
                <w:szCs w:val="20"/>
              </w:rPr>
              <w:t xml:space="preserve">4</w:t>
            </w:r>
          </w:p>
        </w:tc>
        <w:tc>
          <w:tcPr>
            <w:tcW w:w="3000" w:type="dxa"/>
          </w:tcPr>
          <w:p>
            <w:r>
              <w:rPr>
                <w:sz w:val="20"/>
                <w:szCs w:val="20"/>
              </w:rPr>
              <w:t xml:space="preserve">Inpatient in de-addiction facility for minimum 1 month</w:t>
            </w:r>
          </w:p>
        </w:tc>
        <w:tc>
          <w:tcPr>
            <w:tcW w:w="3000" w:type="dxa"/>
          </w:tcPr>
          <w:p>
            <w:r>
              <w:rPr>
                <w:sz w:val="20"/>
                <w:szCs w:val="20"/>
              </w:rPr>
              <w:t xml:space="preserve">Ensures sufficient time for intervention delivery (8 sessions over 4 weeks)</w:t>
            </w:r>
          </w:p>
        </w:tc>
      </w:tr>
      <w:tr>
        <w:tc>
          <w:tcPr>
            <w:tcW w:w="3000" w:type="dxa"/>
          </w:tcPr>
          <w:p>
            <w:r>
              <w:rPr>
                <w:sz w:val="20"/>
                <w:szCs w:val="20"/>
              </w:rPr>
              <w:t xml:space="preserve">5</w:t>
            </w:r>
          </w:p>
        </w:tc>
        <w:tc>
          <w:tcPr>
            <w:tcW w:w="3000" w:type="dxa"/>
          </w:tcPr>
          <w:p>
            <w:r>
              <w:rPr>
                <w:sz w:val="20"/>
                <w:szCs w:val="20"/>
              </w:rPr>
              <w:t xml:space="preserve">Minimum 1 week of detoxification completed (post-acute withdrawal)</w:t>
            </w:r>
          </w:p>
        </w:tc>
        <w:tc>
          <w:tcPr>
            <w:tcW w:w="3000" w:type="dxa"/>
          </w:tcPr>
          <w:p>
            <w:r>
              <w:rPr>
                <w:sz w:val="20"/>
                <w:szCs w:val="20"/>
              </w:rPr>
              <w:t xml:space="preserve">Ensures participants are cognitively stable enough for assessment and intervention</w:t>
            </w:r>
          </w:p>
        </w:tc>
      </w:tr>
      <w:tr>
        <w:tc>
          <w:tcPr>
            <w:tcW w:w="3000" w:type="dxa"/>
          </w:tcPr>
          <w:p>
            <w:r>
              <w:rPr>
                <w:sz w:val="20"/>
                <w:szCs w:val="20"/>
              </w:rPr>
              <w:t xml:space="preserve">6</w:t>
            </w:r>
          </w:p>
        </w:tc>
        <w:tc>
          <w:tcPr>
            <w:tcW w:w="3000" w:type="dxa"/>
          </w:tcPr>
          <w:p>
            <w:r>
              <w:rPr>
                <w:sz w:val="20"/>
                <w:szCs w:val="20"/>
              </w:rPr>
              <w:t xml:space="preserve">For HIV+ group: Documented HIV-positive status (ELISA confirmed)</w:t>
            </w:r>
          </w:p>
        </w:tc>
        <w:tc>
          <w:tcPr>
            <w:tcW w:w="3000" w:type="dxa"/>
          </w:tcPr>
          <w:p>
            <w:r>
              <w:rPr>
                <w:sz w:val="20"/>
                <w:szCs w:val="20"/>
              </w:rPr>
              <w:t xml:space="preserve">Confirmed serostatus necessary for group classification</w:t>
            </w:r>
          </w:p>
        </w:tc>
      </w:tr>
      <w:tr>
        <w:tc>
          <w:tcPr>
            <w:tcW w:w="3000" w:type="dxa"/>
          </w:tcPr>
          <w:p>
            <w:r>
              <w:rPr>
                <w:sz w:val="20"/>
                <w:szCs w:val="20"/>
              </w:rPr>
              <w:t xml:space="preserve">7</w:t>
            </w:r>
          </w:p>
        </w:tc>
        <w:tc>
          <w:tcPr>
            <w:tcW w:w="3000" w:type="dxa"/>
          </w:tcPr>
          <w:p>
            <w:r>
              <w:rPr>
                <w:sz w:val="20"/>
                <w:szCs w:val="20"/>
              </w:rPr>
              <w:t xml:space="preserve">For HIV- group: Documented HIV-negative status (tested within last 3 months)</w:t>
            </w:r>
          </w:p>
        </w:tc>
        <w:tc>
          <w:tcPr>
            <w:tcW w:w="3000" w:type="dxa"/>
          </w:tcPr>
          <w:p>
            <w:r>
              <w:rPr>
                <w:sz w:val="20"/>
                <w:szCs w:val="20"/>
              </w:rPr>
              <w:t xml:space="preserve">Ensures accurate group classification</w:t>
            </w:r>
          </w:p>
        </w:tc>
      </w:tr>
      <w:tr>
        <w:tc>
          <w:tcPr>
            <w:tcW w:w="3000" w:type="dxa"/>
          </w:tcPr>
          <w:p>
            <w:r>
              <w:rPr>
                <w:sz w:val="20"/>
                <w:szCs w:val="20"/>
              </w:rPr>
              <w:t xml:space="preserve">8</w:t>
            </w:r>
          </w:p>
        </w:tc>
        <w:tc>
          <w:tcPr>
            <w:tcW w:w="3000" w:type="dxa"/>
          </w:tcPr>
          <w:p>
            <w:r>
              <w:rPr>
                <w:sz w:val="20"/>
                <w:szCs w:val="20"/>
              </w:rPr>
              <w:t xml:space="preserve">Minimum education: Ability to read and understand the language of assessment</w:t>
            </w:r>
          </w:p>
        </w:tc>
        <w:tc>
          <w:tcPr>
            <w:tcW w:w="3000" w:type="dxa"/>
          </w:tcPr>
          <w:p>
            <w:r>
              <w:rPr>
                <w:sz w:val="20"/>
                <w:szCs w:val="20"/>
              </w:rPr>
              <w:t xml:space="preserve">TAS-20 requires basic literacy for self-report</w:t>
            </w:r>
          </w:p>
        </w:tc>
      </w:tr>
      <w:tr>
        <w:tc>
          <w:tcPr>
            <w:tcW w:w="3000" w:type="dxa"/>
          </w:tcPr>
          <w:p>
            <w:r>
              <w:rPr>
                <w:sz w:val="20"/>
                <w:szCs w:val="20"/>
              </w:rPr>
              <w:t xml:space="preserve">9</w:t>
            </w:r>
          </w:p>
        </w:tc>
        <w:tc>
          <w:tcPr>
            <w:tcW w:w="3000" w:type="dxa"/>
          </w:tcPr>
          <w:p>
            <w:r>
              <w:rPr>
                <w:sz w:val="20"/>
                <w:szCs w:val="20"/>
              </w:rPr>
              <w:t xml:space="preserve">Informed written consent to participate</w:t>
            </w:r>
          </w:p>
        </w:tc>
        <w:tc>
          <w:tcPr>
            <w:tcW w:w="3000" w:type="dxa"/>
          </w:tcPr>
          <w:p>
            <w:r>
              <w:rPr>
                <w:sz w:val="20"/>
                <w:szCs w:val="20"/>
              </w:rPr>
              <w:t xml:space="preserve">Ethical requirement</w:t>
            </w:r>
          </w:p>
        </w:tc>
      </w:tr>
    </w:tbl>
    <w:p/>
    <w:p>
      <w:pPr>
        <w:pStyle w:val="Heading3"/>
        <w:jc w:val="start"/>
      </w:pPr>
      <w:r>
        <w:rPr>
          <w:b/>
        </w:rPr>
        <w:t xml:space="preserve">7.2 Exclusion Criteria:</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w="3000" w:type="dxa"/>
            <w:shd w:val="clear" w:color="auto" w:fill="1A237E"/>
          </w:tcPr>
          <w:p>
            <w:r>
              <w:rPr>
                <w:b/>
                <w:color w:val="FFFFFF"/>
                <w:sz w:val="20"/>
                <w:szCs w:val="20"/>
              </w:rPr>
              <w:t xml:space="preserve">#</w:t>
            </w:r>
          </w:p>
        </w:tc>
        <w:tc>
          <w:tcPr>
            <w:tcW w:w="3000" w:type="dxa"/>
            <w:shd w:val="clear" w:color="auto" w:fill="1A237E"/>
          </w:tcPr>
          <w:p>
            <w:r>
              <w:rPr>
                <w:b/>
                <w:color w:val="FFFFFF"/>
                <w:sz w:val="20"/>
                <w:szCs w:val="20"/>
              </w:rPr>
              <w:t xml:space="preserve">Criterion</w:t>
            </w:r>
          </w:p>
        </w:tc>
        <w:tc>
          <w:tcPr>
            <w:tcW w:w="3000" w:type="dxa"/>
            <w:shd w:val="clear" w:color="auto" w:fill="1A237E"/>
          </w:tcPr>
          <w:p>
            <w:r>
              <w:rPr>
                <w:b/>
                <w:color w:val="FFFFFF"/>
                <w:sz w:val="20"/>
                <w:szCs w:val="20"/>
              </w:rPr>
              <w:t xml:space="preserve">Justification</w:t>
            </w:r>
          </w:p>
        </w:tc>
      </w:tr>
      <w:tr>
        <w:tc>
          <w:tcPr>
            <w:tcW w:w="3000" w:type="dxa"/>
          </w:tcPr>
          <w:p>
            <w:r>
              <w:rPr>
                <w:sz w:val="20"/>
                <w:szCs w:val="20"/>
              </w:rPr>
              <w:t xml:space="preserve">1</w:t>
            </w:r>
          </w:p>
        </w:tc>
        <w:tc>
          <w:tcPr>
            <w:tcW w:w="3000" w:type="dxa"/>
          </w:tcPr>
          <w:p>
            <w:r>
              <w:rPr>
                <w:sz w:val="20"/>
                <w:szCs w:val="20"/>
              </w:rPr>
              <w:t xml:space="preserve">Comorbid psychotic disorders (Schizophrenia, Bipolar I with psychotic features)</w:t>
            </w:r>
          </w:p>
        </w:tc>
        <w:tc>
          <w:tcPr>
            <w:tcW w:w="3000" w:type="dxa"/>
          </w:tcPr>
          <w:p>
            <w:r>
              <w:rPr>
                <w:sz w:val="20"/>
                <w:szCs w:val="20"/>
              </w:rPr>
              <w:t xml:space="preserve">Psychotic symptoms confound projective assessment interpretation</w:t>
            </w:r>
          </w:p>
        </w:tc>
      </w:tr>
      <w:tr>
        <w:tc>
          <w:tcPr>
            <w:tcW w:w="3000" w:type="dxa"/>
          </w:tcPr>
          <w:p>
            <w:r>
              <w:rPr>
                <w:sz w:val="20"/>
                <w:szCs w:val="20"/>
              </w:rPr>
              <w:t xml:space="preserve">2</w:t>
            </w:r>
          </w:p>
        </w:tc>
        <w:tc>
          <w:tcPr>
            <w:tcW w:w="3000" w:type="dxa"/>
          </w:tcPr>
          <w:p>
            <w:r>
              <w:rPr>
                <w:sz w:val="20"/>
                <w:szCs w:val="20"/>
              </w:rPr>
              <w:t xml:space="preserve">Severe cognitive impairment or intellectual disability (IQ &lt; 70)</w:t>
            </w:r>
          </w:p>
        </w:tc>
        <w:tc>
          <w:tcPr>
            <w:tcW w:w="3000" w:type="dxa"/>
          </w:tcPr>
          <w:p>
            <w:r>
              <w:rPr>
                <w:sz w:val="20"/>
                <w:szCs w:val="20"/>
              </w:rPr>
              <w:t xml:space="preserve">Cannot meaningfully engage with assessment or intervention</w:t>
            </w:r>
          </w:p>
        </w:tc>
      </w:tr>
      <w:tr>
        <w:tc>
          <w:tcPr>
            <w:tcW w:w="3000" w:type="dxa"/>
          </w:tcPr>
          <w:p>
            <w:r>
              <w:rPr>
                <w:sz w:val="20"/>
                <w:szCs w:val="20"/>
              </w:rPr>
              <w:t xml:space="preserve">3</w:t>
            </w:r>
          </w:p>
        </w:tc>
        <w:tc>
          <w:tcPr>
            <w:tcW w:w="3000" w:type="dxa"/>
          </w:tcPr>
          <w:p>
            <w:r>
              <w:rPr>
                <w:sz w:val="20"/>
                <w:szCs w:val="20"/>
              </w:rPr>
              <w:t xml:space="preserve">Active neurological disorder (e.g., epilepsy, traumatic brain injury, stroke)</w:t>
            </w:r>
          </w:p>
        </w:tc>
        <w:tc>
          <w:tcPr>
            <w:tcW w:w="3000" w:type="dxa"/>
          </w:tcPr>
          <w:p>
            <w:r>
              <w:rPr>
                <w:sz w:val="20"/>
                <w:szCs w:val="20"/>
              </w:rPr>
              <w:t xml:space="preserve">Neurological confounds to emotional processing</w:t>
            </w:r>
          </w:p>
        </w:tc>
      </w:tr>
      <w:tr>
        <w:tc>
          <w:tcPr>
            <w:tcW w:w="3000" w:type="dxa"/>
          </w:tcPr>
          <w:p>
            <w:r>
              <w:rPr>
                <w:sz w:val="20"/>
                <w:szCs w:val="20"/>
              </w:rPr>
              <w:t xml:space="preserve">4</w:t>
            </w:r>
          </w:p>
        </w:tc>
        <w:tc>
          <w:tcPr>
            <w:tcW w:w="3000" w:type="dxa"/>
          </w:tcPr>
          <w:p>
            <w:r>
              <w:rPr>
                <w:sz w:val="20"/>
                <w:szCs w:val="20"/>
              </w:rPr>
              <w:t xml:space="preserve">HIV-associated dementia or severe neurocognitive disorder (HAD Stage 3-4)</w:t>
            </w:r>
          </w:p>
        </w:tc>
        <w:tc>
          <w:tcPr>
            <w:tcW w:w="3000" w:type="dxa"/>
          </w:tcPr>
          <w:p>
            <w:r>
              <w:rPr>
                <w:sz w:val="20"/>
                <w:szCs w:val="20"/>
              </w:rPr>
              <w:t xml:space="preserve">Cannot reliably participate in assessments</w:t>
            </w:r>
          </w:p>
        </w:tc>
      </w:tr>
      <w:tr>
        <w:tc>
          <w:tcPr>
            <w:tcW w:w="3000" w:type="dxa"/>
          </w:tcPr>
          <w:p>
            <w:r>
              <w:rPr>
                <w:sz w:val="20"/>
                <w:szCs w:val="20"/>
              </w:rPr>
              <w:t xml:space="preserve">5</w:t>
            </w:r>
          </w:p>
        </w:tc>
        <w:tc>
          <w:tcPr>
            <w:tcW w:w="3000" w:type="dxa"/>
          </w:tcPr>
          <w:p>
            <w:r>
              <w:rPr>
                <w:sz w:val="20"/>
                <w:szCs w:val="20"/>
              </w:rPr>
              <w:t xml:space="preserve">Primary dependence on substances other than opioids (e.g., alcohol dependence, stimulant dependence as primary diagnosis)</w:t>
            </w:r>
          </w:p>
        </w:tc>
        <w:tc>
          <w:tcPr>
            <w:tcW w:w="3000" w:type="dxa"/>
          </w:tcPr>
          <w:p>
            <w:r>
              <w:rPr>
                <w:sz w:val="20"/>
                <w:szCs w:val="20"/>
              </w:rPr>
              <w:t xml:space="preserve">Maintains diagnostic specificity to opioid dependence</w:t>
            </w:r>
          </w:p>
        </w:tc>
      </w:tr>
      <w:tr>
        <w:tc>
          <w:tcPr>
            <w:tcW w:w="3000" w:type="dxa"/>
          </w:tcPr>
          <w:p>
            <w:r>
              <w:rPr>
                <w:sz w:val="20"/>
                <w:szCs w:val="20"/>
              </w:rPr>
              <w:t xml:space="preserve">6</w:t>
            </w:r>
          </w:p>
        </w:tc>
        <w:tc>
          <w:tcPr>
            <w:tcW w:w="3000" w:type="dxa"/>
          </w:tcPr>
          <w:p>
            <w:r>
              <w:rPr>
                <w:sz w:val="20"/>
                <w:szCs w:val="20"/>
              </w:rPr>
              <w:t xml:space="preserve">Acute medical instability requiring intensive care</w:t>
            </w:r>
          </w:p>
        </w:tc>
        <w:tc>
          <w:tcPr>
            <w:tcW w:w="3000" w:type="dxa"/>
          </w:tcPr>
          <w:p>
            <w:r>
              <w:rPr>
                <w:sz w:val="20"/>
                <w:szCs w:val="20"/>
              </w:rPr>
              <w:t xml:space="preserve">Safety and assessment reliability</w:t>
            </w:r>
          </w:p>
        </w:tc>
      </w:tr>
      <w:tr>
        <w:tc>
          <w:tcPr>
            <w:tcW w:w="3000" w:type="dxa"/>
          </w:tcPr>
          <w:p>
            <w:r>
              <w:rPr>
                <w:sz w:val="20"/>
                <w:szCs w:val="20"/>
              </w:rPr>
              <w:t xml:space="preserve">7</w:t>
            </w:r>
          </w:p>
        </w:tc>
        <w:tc>
          <w:tcPr>
            <w:tcW w:w="3000" w:type="dxa"/>
          </w:tcPr>
          <w:p>
            <w:r>
              <w:rPr>
                <w:sz w:val="20"/>
                <w:szCs w:val="20"/>
              </w:rPr>
              <w:t xml:space="preserve">Previous formal training in emotion regulation or mindfulness-based interventions (within last 6 months)</w:t>
            </w:r>
          </w:p>
        </w:tc>
        <w:tc>
          <w:tcPr>
            <w:tcW w:w="3000" w:type="dxa"/>
          </w:tcPr>
          <w:p>
            <w:r>
              <w:rPr>
                <w:sz w:val="20"/>
                <w:szCs w:val="20"/>
              </w:rPr>
              <w:t xml:space="preserve">Controls for prior intervention exposure</w:t>
            </w:r>
          </w:p>
        </w:tc>
      </w:tr>
      <w:tr>
        <w:tc>
          <w:tcPr>
            <w:tcW w:w="3000" w:type="dxa"/>
          </w:tcPr>
          <w:p>
            <w:r>
              <w:rPr>
                <w:sz w:val="20"/>
                <w:szCs w:val="20"/>
              </w:rPr>
              <w:t xml:space="preserve">8</w:t>
            </w:r>
          </w:p>
        </w:tc>
        <w:tc>
          <w:tcPr>
            <w:tcW w:w="3000" w:type="dxa"/>
          </w:tcPr>
          <w:p>
            <w:r>
              <w:rPr>
                <w:sz w:val="20"/>
                <w:szCs w:val="20"/>
              </w:rPr>
              <w:t xml:space="preserve">Refusal to consent or inability to commit to 4-week inpatient stay</w:t>
            </w:r>
          </w:p>
        </w:tc>
        <w:tc>
          <w:tcPr>
            <w:tcW w:w="3000" w:type="dxa"/>
          </w:tcPr>
          <w:p>
            <w:r>
              <w:rPr>
                <w:sz w:val="20"/>
                <w:szCs w:val="20"/>
              </w:rPr>
              <w:t xml:space="preserve">Ensures complete data collection</w:t>
            </w:r>
          </w:p>
        </w:tc>
      </w:tr>
    </w:tbl>
    <w:p/>
    <w:p>
      <w:pPr>
        <w:pStyle w:val="Heading2"/>
        <w:jc w:val="start"/>
      </w:pPr>
      <w:r>
        <w:rPr>
          <w:sz w:val="28"/>
          <w:szCs w:val="28"/>
          <w:b/>
        </w:rPr>
        <w:t xml:space="preserve">8. Tools / Instruments</w:t>
      </w:r>
    </w:p>
    <w:p>
      <w:pPr>
        <w:pStyle w:val="Heading3"/>
        <w:jc w:val="start"/>
      </w:pPr>
      <w:r>
        <w:rPr>
          <w:b/>
        </w:rPr>
        <w:t xml:space="preserve">8.1 Primary Outcome Measure:</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shd w:val="clear" w:color="auto" w:fill="1A237E"/>
          </w:tcPr>
          <w:p>
            <w:r>
              <w:rPr>
                <w:b/>
                <w:color w:val="FFFFFF"/>
                <w:sz w:val="20"/>
                <w:szCs w:val="20"/>
              </w:rPr>
              <w:t xml:space="preserve">Tool</w:t>
            </w:r>
          </w:p>
        </w:tc>
        <w:tc>
          <w:tcPr>
            <w:tcW w:w="2250" w:type="dxa"/>
            <w:shd w:val="clear" w:color="auto" w:fill="1A237E"/>
          </w:tcPr>
          <w:p>
            <w:r>
              <w:rPr>
                <w:b/>
                <w:color w:val="FFFFFF"/>
                <w:sz w:val="20"/>
                <w:szCs w:val="20"/>
              </w:rPr>
              <w:t xml:space="preserve">Authors</w:t>
            </w:r>
          </w:p>
        </w:tc>
        <w:tc>
          <w:tcPr>
            <w:tcW w:w="2250" w:type="dxa"/>
            <w:shd w:val="clear" w:color="auto" w:fill="1A237E"/>
          </w:tcPr>
          <w:p>
            <w:r>
              <w:rPr>
                <w:b/>
                <w:color w:val="FFFFFF"/>
                <w:sz w:val="20"/>
                <w:szCs w:val="20"/>
              </w:rPr>
              <w:t xml:space="preserve">Description</w:t>
            </w:r>
          </w:p>
        </w:tc>
        <w:tc>
          <w:tcPr>
            <w:tcW w:w="2250" w:type="dxa"/>
            <w:shd w:val="clear" w:color="auto" w:fill="1A237E"/>
          </w:tcPr>
          <w:p>
            <w:r>
              <w:rPr>
                <w:b/>
                <w:color w:val="FFFFFF"/>
                <w:sz w:val="20"/>
                <w:szCs w:val="20"/>
              </w:rPr>
              <w:t xml:space="preserve">Psychometric Properties</w:t>
            </w:r>
          </w:p>
        </w:tc>
      </w:tr>
      <w:tr>
        <w:tc>
          <w:tcPr>
            <w:tcW w:w="2250" w:type="dxa"/>
          </w:tcPr>
          <w:p>
            <w:r>
              <w:rPr>
                <w:sz w:val="20"/>
                <w:szCs w:val="20"/>
              </w:rPr>
              <w:t xml:space="preserve">Toronto Alexithymia Scale-20 (TAS-20)</w:t>
            </w:r>
          </w:p>
        </w:tc>
        <w:tc>
          <w:tcPr>
            <w:tcW w:w="2250" w:type="dxa"/>
          </w:tcPr>
          <w:p>
            <w:r>
              <w:rPr>
                <w:sz w:val="20"/>
                <w:szCs w:val="20"/>
              </w:rPr>
              <w:t xml:space="preserve">Bagby, Parker &amp; Taylor (1994)</w:t>
            </w:r>
          </w:p>
        </w:tc>
        <w:tc>
          <w:tcPr>
            <w:tcW w:w="2250" w:type="dxa"/>
          </w:tcPr>
          <w:p>
            <w:r>
              <w:rPr>
                <w:sz w:val="20"/>
                <w:szCs w:val="20"/>
              </w:rPr>
              <w:t xml:space="preserve">20-item self-report measure rated on 5-point Likert scale. Three factors: Difficulty Identifying Feelings (DIF, 7 items), Difficulty Describing Feelings (DDF, 5 items), Externally Oriented Thinking (EOT, 8 items). Total range: 20-100. Cut-offs: ≤51 non-alexithymic; 52-60 possible; ≥61 alexithymic.</w:t>
            </w:r>
          </w:p>
        </w:tc>
        <w:tc>
          <w:tcPr>
            <w:tcW w:w="2250" w:type="dxa"/>
          </w:tcPr>
          <w:p>
            <w:r>
              <w:rPr>
                <w:sz w:val="20"/>
                <w:szCs w:val="20"/>
              </w:rPr>
              <w:t xml:space="preserve">Internal consistency: α = .81-.86; Test-retest reliability: r = .77 (3 weeks); Factorial validity confirmed across 20+ languages; Convergent and discriminant validity established. Indian Hindi adaptation available.</w:t>
            </w:r>
          </w:p>
        </w:tc>
      </w:tr>
    </w:tbl>
    <w:p/>
    <w:p>
      <w:pPr>
        <w:pStyle w:val="Heading3"/>
        <w:jc w:val="start"/>
      </w:pPr>
      <w:r>
        <w:rPr>
          <w:b/>
        </w:rPr>
        <w:t xml:space="preserve">8.2 Projective Assessment Measures: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shd w:val="clear" w:color="auto" w:fill="1A237E"/>
          </w:tcPr>
          <w:p>
            <w:r>
              <w:rPr>
                <w:b/>
                <w:color w:val="FFFFFF"/>
                <w:sz w:val="20"/>
                <w:szCs w:val="20"/>
              </w:rPr>
              <w:t xml:space="preserve">Tool</w:t>
            </w:r>
          </w:p>
        </w:tc>
        <w:tc>
          <w:tcPr>
            <w:tcW w:w="2250" w:type="dxa"/>
            <w:shd w:val="clear" w:color="auto" w:fill="1A237E"/>
          </w:tcPr>
          <w:p>
            <w:r>
              <w:rPr>
                <w:b/>
                <w:color w:val="FFFFFF"/>
                <w:sz w:val="20"/>
                <w:szCs w:val="20"/>
              </w:rPr>
              <w:t xml:space="preserve">Alexithymia-Related Variables</w:t>
            </w:r>
          </w:p>
        </w:tc>
        <w:tc>
          <w:tcPr>
            <w:tcW w:w="2250" w:type="dxa"/>
            <w:shd w:val="clear" w:color="auto" w:fill="1A237E"/>
          </w:tcPr>
          <w:p>
            <w:r>
              <w:rPr>
                <w:b/>
                <w:color w:val="FFFFFF"/>
                <w:sz w:val="20"/>
                <w:szCs w:val="20"/>
              </w:rPr>
              <w:t xml:space="preserve">Scoring System</w:t>
            </w:r>
          </w:p>
        </w:tc>
        <w:tc>
          <w:tcPr>
            <w:tcW w:w="2250" w:type="dxa"/>
            <w:shd w:val="clear" w:color="auto" w:fill="1A237E"/>
          </w:tcPr>
          <w:p>
            <w:r>
              <w:rPr>
                <w:b/>
                <w:color w:val="FFFFFF"/>
                <w:sz w:val="20"/>
                <w:szCs w:val="20"/>
              </w:rPr>
              <w:t xml:space="preserve">Validity Evidence</w:t>
            </w:r>
          </w:p>
        </w:tc>
      </w:tr>
      <w:tr>
        <w:tc>
          <w:tcPr>
            <w:tcW w:w="2250" w:type="dxa"/>
          </w:tcPr>
          <w:p>
            <w:r>
              <w:rPr>
                <w:sz w:val="20"/>
                <w:szCs w:val="20"/>
              </w:rPr>
              <w:t xml:space="preserve">Rorschach Inkblot Test</w:t>
            </w:r>
          </w:p>
        </w:tc>
        <w:tc>
          <w:tcPr>
            <w:tcW w:w="2250" w:type="dxa"/>
          </w:tcPr>
          <w:p>
            <w:r>
              <w:rPr>
                <w:sz w:val="20"/>
                <w:szCs w:val="20"/>
              </w:rPr>
              <w:t xml:space="preserve">Affective Ratio (Afr): Low = emotional avoidanceFC:CF+C ratio: Constrictive pattern = alexithymicWeighted Sum of Color (WSumC): Low = restricted affectivitySum of Shading (SumShd): Unprocessed painful affectNumber of Blends: Low = limited emotional complexityLambda (L): High = avoidant/simplistic processing</w:t>
            </w:r>
          </w:p>
        </w:tc>
        <w:tc>
          <w:tcPr>
            <w:tcW w:w="2250" w:type="dxa"/>
          </w:tcPr>
          <w:p>
            <w:r>
              <w:rPr>
                <w:sz w:val="20"/>
                <w:szCs w:val="20"/>
              </w:rPr>
              <w:t xml:space="preserve">Exner Comprehensive System (CS) or Rorschach Performance Assessment System (R-PAS)</w:t>
            </w:r>
          </w:p>
        </w:tc>
        <w:tc>
          <w:tcPr>
            <w:tcW w:w="2250" w:type="dxa"/>
          </w:tcPr>
          <w:p>
            <w:r>
              <w:rPr>
                <w:sz w:val="20"/>
                <w:szCs w:val="20"/>
              </w:rPr>
              <w:t xml:space="preserve">Inter-rater reliability: κ = .80-.95 for major variables; Established norms for adults; Affect variables show convergent validity with self-report emotion measures. Sensitive to treatment change in longitudinal studies.</w:t>
            </w:r>
          </w:p>
        </w:tc>
      </w:tr>
      <w:tr>
        <w:tc>
          <w:tcPr>
            <w:tcW w:w="2250" w:type="dxa"/>
          </w:tcPr>
          <w:p>
            <w:r>
              <w:rPr>
                <w:sz w:val="20"/>
                <w:szCs w:val="20"/>
              </w:rPr>
              <w:t xml:space="preserve">Thematic Apperception Test (TAT)</w:t>
            </w:r>
          </w:p>
        </w:tc>
        <w:tc>
          <w:tcPr>
            <w:tcW w:w="2250" w:type="dxa"/>
          </w:tcPr>
          <w:p>
            <w:r>
              <w:rPr>
                <w:sz w:val="20"/>
                <w:szCs w:val="20"/>
              </w:rPr>
              <w:t xml:space="preserve">Emotional content quality: Richness of feeling wordsAttribution of emotions to characters: Capacity to mentalizeAffective Quality of Representations (SCORS-G): Emotional valenceNarrative complexity: Internal vs. external focus</w:t>
            </w:r>
          </w:p>
        </w:tc>
        <w:tc>
          <w:tcPr>
            <w:tcW w:w="2250" w:type="dxa"/>
          </w:tcPr>
          <w:p>
            <w:r>
              <w:rPr>
                <w:sz w:val="20"/>
                <w:szCs w:val="20"/>
              </w:rPr>
              <w:t xml:space="preserve">Social Cognition and Object Relations Scale - Global Rating Method (SCORS-G; Westen et al., 2002) — specifically the Affective Quality of Representations dimension</w:t>
            </w:r>
          </w:p>
        </w:tc>
        <w:tc>
          <w:tcPr>
            <w:tcW w:w="2250" w:type="dxa"/>
          </w:tcPr>
          <w:p>
            <w:r>
              <w:rPr>
                <w:sz w:val="20"/>
                <w:szCs w:val="20"/>
              </w:rPr>
              <w:t xml:space="preserve">SCORS-G inter-rater reliability: ICC = .75-.92; Convergent validity with Rorschach MOA scale established; Sensitive to personality functioning changes in psychotherapy research.</w:t>
            </w:r>
          </w:p>
        </w:tc>
      </w:tr>
    </w:tbl>
    <w:p/>
    <w:p>
      <w:pPr>
        <w:pStyle w:val="Normal"/>
        <w:jc w:val="both"/>
      </w:pPr>
      <w:r>
        <w:rPr>
          <w:sz w:val="22"/>
          <w:szCs w:val="22"/>
        </w:rPr>
        <w:t xml:space="preserve">TAT Cards Selected: Cards 1, 2, 3BM, 4, 6BM, 13MF, 14, 16 (selected for emotional pull and interpersonal content relevant to addiction and health themes)</w:t>
      </w:r>
    </w:p>
    <w:p>
      <w:pPr>
        <w:pStyle w:val="Heading3"/>
        <w:jc w:val="start"/>
      </w:pPr>
      <w:r>
        <w:rPr>
          <w:b/>
        </w:rPr>
        <w:t xml:space="preserve">8.3 Secondary / Supplementary Measures: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shd w:val="clear" w:color="auto" w:fill="1A237E"/>
          </w:tcPr>
          <w:p>
            <w:r>
              <w:rPr>
                <w:b/>
                <w:color w:val="FFFFFF"/>
                <w:sz w:val="20"/>
                <w:szCs w:val="20"/>
              </w:rPr>
              <w:t xml:space="preserve">Tool</w:t>
            </w:r>
          </w:p>
        </w:tc>
        <w:tc>
          <w:tcPr>
            <w:tcW w:w="2250" w:type="dxa"/>
            <w:shd w:val="clear" w:color="auto" w:fill="1A237E"/>
          </w:tcPr>
          <w:p>
            <w:r>
              <w:rPr>
                <w:b/>
                <w:color w:val="FFFFFF"/>
                <w:sz w:val="20"/>
                <w:szCs w:val="20"/>
              </w:rPr>
              <w:t xml:space="preserve">Authors</w:t>
            </w:r>
          </w:p>
        </w:tc>
        <w:tc>
          <w:tcPr>
            <w:tcW w:w="2250" w:type="dxa"/>
            <w:shd w:val="clear" w:color="auto" w:fill="1A237E"/>
          </w:tcPr>
          <w:p>
            <w:r>
              <w:rPr>
                <w:b/>
                <w:color w:val="FFFFFF"/>
                <w:sz w:val="20"/>
                <w:szCs w:val="20"/>
              </w:rPr>
              <w:t xml:space="preserve">Purpose</w:t>
            </w:r>
          </w:p>
        </w:tc>
        <w:tc>
          <w:tcPr>
            <w:tcW w:w="2250" w:type="dxa"/>
            <w:shd w:val="clear" w:color="auto" w:fill="1A237E"/>
          </w:tcPr>
          <w:p>
            <w:r>
              <w:rPr>
                <w:b/>
                <w:color w:val="FFFFFF"/>
                <w:sz w:val="20"/>
                <w:szCs w:val="20"/>
              </w:rPr>
              <w:t xml:space="preserve">Psychometric Properties</w:t>
            </w:r>
          </w:p>
        </w:tc>
      </w:tr>
      <w:tr>
        <w:tc>
          <w:tcPr>
            <w:tcW w:w="2250" w:type="dxa"/>
          </w:tcPr>
          <w:p>
            <w:r>
              <w:rPr>
                <w:sz w:val="20"/>
                <w:szCs w:val="20"/>
              </w:rPr>
              <w:t xml:space="preserve">Difficulties in Emotion Regulation Scale (DERS)</w:t>
            </w:r>
          </w:p>
        </w:tc>
        <w:tc>
          <w:tcPr>
            <w:tcW w:w="2250" w:type="dxa"/>
          </w:tcPr>
          <w:p>
            <w:r>
              <w:rPr>
                <w:sz w:val="20"/>
                <w:szCs w:val="20"/>
              </w:rPr>
              <w:t xml:space="preserve">Gratz &amp; Roemer (2004)</w:t>
            </w:r>
          </w:p>
        </w:tc>
        <w:tc>
          <w:tcPr>
            <w:tcW w:w="2250" w:type="dxa"/>
          </w:tcPr>
          <w:p>
            <w:r>
              <w:rPr>
                <w:sz w:val="20"/>
                <w:szCs w:val="20"/>
              </w:rPr>
              <w:t xml:space="preserve">36-item measure of emotion dysregulation. 6 subscales: Non-acceptance, Goals, Impulse, Awareness, Strategies, Clarity. Convergent validity check with TAS-20.</w:t>
            </w:r>
          </w:p>
        </w:tc>
        <w:tc>
          <w:tcPr>
            <w:tcW w:w="2250" w:type="dxa"/>
          </w:tcPr>
          <w:p>
            <w:r>
              <w:rPr>
                <w:sz w:val="20"/>
                <w:szCs w:val="20"/>
              </w:rPr>
              <w:t xml:space="preserve">α = .93 (total); Test-retest r = .88; Good construct validity. Hindi adaptation available.</w:t>
            </w:r>
          </w:p>
        </w:tc>
      </w:tr>
      <w:tr>
        <w:tc>
          <w:tcPr>
            <w:tcW w:w="2250" w:type="dxa"/>
          </w:tcPr>
          <w:p>
            <w:r>
              <w:rPr>
                <w:sz w:val="20"/>
                <w:szCs w:val="20"/>
              </w:rPr>
              <w:t xml:space="preserve">Beck Depression Inventory-II (BDI-II)</w:t>
            </w:r>
          </w:p>
        </w:tc>
        <w:tc>
          <w:tcPr>
            <w:tcW w:w="2250" w:type="dxa"/>
          </w:tcPr>
          <w:p>
            <w:r>
              <w:rPr>
                <w:sz w:val="20"/>
                <w:szCs w:val="20"/>
              </w:rPr>
              <w:t xml:space="preserve">Beck, Steer &amp; Brown (1996)</w:t>
            </w:r>
          </w:p>
        </w:tc>
        <w:tc>
          <w:tcPr>
            <w:tcW w:w="2250" w:type="dxa"/>
          </w:tcPr>
          <w:p>
            <w:r>
              <w:rPr>
                <w:sz w:val="20"/>
                <w:szCs w:val="20"/>
              </w:rPr>
              <w:t xml:space="preserve">Controls for depressive symptomatology which overlaps with alexithymia. 21 items, range 0-63.</w:t>
            </w:r>
          </w:p>
        </w:tc>
        <w:tc>
          <w:tcPr>
            <w:tcW w:w="2250" w:type="dxa"/>
          </w:tcPr>
          <w:p>
            <w:r>
              <w:rPr>
                <w:sz w:val="20"/>
                <w:szCs w:val="20"/>
              </w:rPr>
              <w:t xml:space="preserve">α = .91; Test-retest r = .93; Extensively validated in Indian clinical populations.</w:t>
            </w:r>
          </w:p>
        </w:tc>
      </w:tr>
      <w:tr>
        <w:tc>
          <w:tcPr>
            <w:tcW w:w="2250" w:type="dxa"/>
          </w:tcPr>
          <w:p>
            <w:r>
              <w:rPr>
                <w:sz w:val="20"/>
                <w:szCs w:val="20"/>
              </w:rPr>
              <w:t xml:space="preserve">Severity of Dependence Scale (SDS)</w:t>
            </w:r>
          </w:p>
        </w:tc>
        <w:tc>
          <w:tcPr>
            <w:tcW w:w="2250" w:type="dxa"/>
          </w:tcPr>
          <w:p>
            <w:r>
              <w:rPr>
                <w:sz w:val="20"/>
                <w:szCs w:val="20"/>
              </w:rPr>
              <w:t xml:space="preserve">Gossop et al. (1995)</w:t>
            </w:r>
          </w:p>
        </w:tc>
        <w:tc>
          <w:tcPr>
            <w:tcW w:w="2250" w:type="dxa"/>
          </w:tcPr>
          <w:p>
            <w:r>
              <w:rPr>
                <w:sz w:val="20"/>
                <w:szCs w:val="20"/>
              </w:rPr>
              <w:t xml:space="preserve">5-item measure of psychological dependence on opioids. Controls for addiction severity between groups.</w:t>
            </w:r>
          </w:p>
        </w:tc>
        <w:tc>
          <w:tcPr>
            <w:tcW w:w="2250" w:type="dxa"/>
          </w:tcPr>
          <w:p>
            <w:r>
              <w:rPr>
                <w:sz w:val="20"/>
                <w:szCs w:val="20"/>
              </w:rPr>
              <w:t xml:space="preserve">α = .80; Validated for opioid populations; Cut-off ≥5 indicates dependence.</w:t>
            </w:r>
          </w:p>
        </w:tc>
      </w:tr>
      <w:tr>
        <w:tc>
          <w:tcPr>
            <w:tcW w:w="2250" w:type="dxa"/>
          </w:tcPr>
          <w:p>
            <w:r>
              <w:rPr>
                <w:sz w:val="20"/>
                <w:szCs w:val="20"/>
              </w:rPr>
              <w:t xml:space="preserve">Sociodemographic &amp; Clinical Data Sheet</w:t>
            </w:r>
          </w:p>
        </w:tc>
        <w:tc>
          <w:tcPr>
            <w:tcW w:w="2250" w:type="dxa"/>
          </w:tcPr>
          <w:p>
            <w:r>
              <w:rPr>
                <w:sz w:val="20"/>
                <w:szCs w:val="20"/>
              </w:rPr>
              <w:t xml:space="preserve">Researcher-designed</w:t>
            </w:r>
          </w:p>
        </w:tc>
        <w:tc>
          <w:tcPr>
            <w:tcW w:w="2250" w:type="dxa"/>
          </w:tcPr>
          <w:p>
            <w:r>
              <w:rPr>
                <w:sz w:val="20"/>
                <w:szCs w:val="20"/>
              </w:rPr>
              <w:t xml:space="preserve">Age, education, occupation, marital status, duration of use, route of administration, prior treatments, HIV duration, CD4 count, ART status, OST medication details.</w:t>
            </w:r>
          </w:p>
        </w:tc>
        <w:tc>
          <w:tcPr>
            <w:tcW w:w="2250" w:type="dxa"/>
          </w:tcPr>
          <w:p>
            <w:r>
              <w:rPr>
                <w:sz w:val="20"/>
                <w:szCs w:val="20"/>
              </w:rPr>
              <w:t xml:space="preserve">Face validity; Standardised proforma.</w:t>
            </w:r>
          </w:p>
        </w:tc>
      </w:tr>
    </w:tbl>
    <w:p/>
    <w:p>
      <w:pPr>
        <w:pStyle w:val="Heading2"/>
        <w:jc w:val="start"/>
      </w:pPr>
      <w:r>
        <w:rPr>
          <w:sz w:val="28"/>
          <w:szCs w:val="28"/>
          <w:b/>
        </w:rPr>
        <w:t xml:space="preserve">9. Methodology</w:t>
      </w:r>
    </w:p>
    <w:p>
      <w:pPr>
        <w:pStyle w:val="Heading3"/>
        <w:jc w:val="start"/>
      </w:pPr>
      <w:r>
        <w:rPr>
          <w:b/>
        </w:rPr>
        <w:t xml:space="preserve">9.1 Research Design:</w:t>
      </w:r>
    </w:p>
    <w:p>
      <w:pPr>
        <w:pStyle w:val="Normal"/>
        <w:jc w:val="both"/>
      </w:pPr>
      <w:r>
        <w:rPr>
          <w:sz w:val="22"/>
          <w:szCs w:val="22"/>
        </w:rPr>
        <w:t xml:space="preserve">Design: Pilot Pretest-Posttest study with a between-subjects comparison (HIV+ vs. HIV-)</w:t>
      </w:r>
    </w:p>
    <w:p>
      <w:pPr>
        <w:pStyle w:val="Normal"/>
        <w:jc w:val="both"/>
      </w:pPr>
      <w:r>
        <w:rPr>
          <w:sz w:val="22"/>
          <w:szCs w:val="22"/>
        </w:rPr>
        <w:t xml:space="preserve">Typology: Quasi-experimental, within-subjects (time) × between-subjects (HIV status) mixed design</w:t>
      </w:r>
    </w:p>
    <w:p>
      <w:pPr>
        <w:pStyle w:val="Normal"/>
        <w:jc w:val="both"/>
      </w:pPr>
      <w:r>
        <w:rPr>
          <w:sz w:val="22"/>
          <w:szCs w:val="22"/>
        </w:rPr>
        <w:t xml:space="preserve">Nature: Quantitative, applied, interventional pilot study</w:t>
      </w:r>
    </w:p>
    <w:p>
      <w:pPr>
        <w:pStyle w:val="Heading3"/>
        <w:jc w:val="start"/>
      </w:pPr>
      <w:r>
        <w:rPr>
          <w:b/>
        </w:rPr>
        <w:t xml:space="preserve">9.2 Setting:</w:t>
      </w:r>
    </w:p>
    <w:p>
      <w:pPr>
        <w:pStyle w:val="Normal"/>
        <w:jc w:val="both"/>
      </w:pPr>
      <w:r>
        <w:rPr>
          <w:sz w:val="22"/>
          <w:szCs w:val="22"/>
        </w:rPr>
        <w:t xml:space="preserve">Inpatient de-addiction ward/cell of a government or private psychiatric hospital/de-addiction centre providing standard 1-month rehabilitation programmes. Participants recruited from admitted patients who have completed acute detoxification (minimum 7 days post-admission).</w:t>
      </w:r>
    </w:p>
    <w:p>
      <w:pPr>
        <w:pStyle w:val="Heading3"/>
        <w:jc w:val="start"/>
      </w:pPr>
      <w:r>
        <w:rPr>
          <w:b/>
        </w:rPr>
        <w:t xml:space="preserve">9.3 Sampling:</w:t>
      </w:r>
    </w:p>
    <w:p>
      <w:pPr>
        <w:pStyle w:val="ListParagraph"/>
        <w:jc w:val="both"/>
      </w:pPr>
      <w:r>
        <w:rPr>
          <w:sz w:val="22"/>
          <w:szCs w:val="22"/>
        </w:rPr>
        <w:t xml:space="preserve">• Technique: Purposive sampling with consecutive enrollment of eligible patients</w:t>
      </w:r>
    </w:p>
    <w:p>
      <w:pPr>
        <w:pStyle w:val="ListParagraph"/>
        <w:jc w:val="both"/>
      </w:pPr>
      <w:r>
        <w:rPr>
          <w:sz w:val="22"/>
          <w:szCs w:val="22"/>
        </w:rPr>
        <w:t xml:space="preserve">• Total Sample Size: N = 60 (n = 30 HIV-positive opioid-dependent; n = 30 HIV-negative opioid-dependent)</w:t>
      </w:r>
    </w:p>
    <w:p>
      <w:pPr>
        <w:pStyle w:val="ListParagraph"/>
        <w:jc w:val="both"/>
      </w:pPr>
      <w:r>
        <w:rPr>
          <w:sz w:val="22"/>
          <w:szCs w:val="22"/>
        </w:rPr>
        <w:t xml:space="preserve">• Sample Size Justification: As a pilot study, a minimum of 12-15 per group is recommended (Julious, 2005; Lancaster et al., 2004). N = 30 per group exceeds this threshold, allows for 20% attrition (anticipated final n ≈ 24-25 per group), and provides adequate power (≥.80) to detect large effects (d ≥ 0.80) with α = .05 using repeated measures ANOVA (G*Power calculation).</w:t>
      </w:r>
    </w:p>
    <w:p>
      <w:pPr>
        <w:pStyle w:val="Heading3"/>
        <w:jc w:val="start"/>
      </w:pPr>
      <w:r>
        <w:rPr>
          <w:b/>
        </w:rPr>
        <w:t xml:space="preserve">9.4 Procedure (Step-by-Step):</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w="3000" w:type="dxa"/>
            <w:shd w:val="clear" w:color="auto" w:fill="1A237E"/>
          </w:tcPr>
          <w:p>
            <w:r>
              <w:rPr>
                <w:b/>
                <w:color w:val="FFFFFF"/>
                <w:sz w:val="20"/>
                <w:szCs w:val="20"/>
              </w:rPr>
              <w:t xml:space="preserve">Phase</w:t>
            </w:r>
          </w:p>
        </w:tc>
        <w:tc>
          <w:tcPr>
            <w:tcW w:w="3000" w:type="dxa"/>
            <w:shd w:val="clear" w:color="auto" w:fill="1A237E"/>
          </w:tcPr>
          <w:p>
            <w:r>
              <w:rPr>
                <w:b/>
                <w:color w:val="FFFFFF"/>
                <w:sz w:val="20"/>
                <w:szCs w:val="20"/>
              </w:rPr>
              <w:t xml:space="preserve">Timeline</w:t>
            </w:r>
          </w:p>
        </w:tc>
        <w:tc>
          <w:tcPr>
            <w:tcW w:w="3000" w:type="dxa"/>
            <w:shd w:val="clear" w:color="auto" w:fill="1A237E"/>
          </w:tcPr>
          <w:p>
            <w:r>
              <w:rPr>
                <w:b/>
                <w:color w:val="FFFFFF"/>
                <w:sz w:val="20"/>
                <w:szCs w:val="20"/>
              </w:rPr>
              <w:t xml:space="preserve">Activities</w:t>
            </w:r>
          </w:p>
        </w:tc>
      </w:tr>
      <w:tr>
        <w:tc>
          <w:tcPr>
            <w:tcW w:w="3000" w:type="dxa"/>
          </w:tcPr>
          <w:p>
            <w:r>
              <w:rPr>
                <w:sz w:val="20"/>
                <w:szCs w:val="20"/>
              </w:rPr>
              <w:t xml:space="preserve">Phase 1: Screening &amp; Enrollment</w:t>
            </w:r>
          </w:p>
        </w:tc>
        <w:tc>
          <w:tcPr>
            <w:tcW w:w="3000" w:type="dxa"/>
          </w:tcPr>
          <w:p>
            <w:r>
              <w:rPr>
                <w:sz w:val="20"/>
                <w:szCs w:val="20"/>
              </w:rPr>
              <w:t xml:space="preserve">Week 1 of admission (Days 7-10, post-detox)</w:t>
            </w:r>
          </w:p>
        </w:tc>
        <w:tc>
          <w:tcPr>
            <w:tcW w:w="3000" w:type="dxa"/>
          </w:tcPr>
          <w:p>
            <w:r>
              <w:rPr>
                <w:sz w:val="20"/>
                <w:szCs w:val="20"/>
              </w:rPr>
              <w:t xml:space="preserve">• Screen admitted patients against inclusion/exclusion criteria
            • Obtain informed consent
            • Confirm HIV status from medical records
            • Assign to HIV+ or HIV- group
            • Collect sociodemographic and clinical data</w:t>
            </w:r>
          </w:p>
        </w:tc>
      </w:tr>
      <w:tr>
        <w:tc>
          <w:tcPr>
            <w:tcW w:w="3000" w:type="dxa"/>
          </w:tcPr>
          <w:p>
            <w:r>
              <w:rPr>
                <w:sz w:val="20"/>
                <w:szCs w:val="20"/>
              </w:rPr>
              <w:t xml:space="preserve">Phase 2: Pre-Test Assessment</w:t>
            </w:r>
          </w:p>
        </w:tc>
        <w:tc>
          <w:tcPr>
            <w:tcW w:w="3000" w:type="dxa"/>
          </w:tcPr>
          <w:p>
            <w:r>
              <w:rPr>
                <w:sz w:val="20"/>
                <w:szCs w:val="20"/>
              </w:rPr>
              <w:t xml:space="preserve">Week 1 (Days 8-12)</w:t>
            </w:r>
          </w:p>
        </w:tc>
        <w:tc>
          <w:tcPr>
            <w:tcW w:w="3000" w:type="dxa"/>
          </w:tcPr>
          <w:p>
            <w:r>
              <w:rPr>
                <w:sz w:val="20"/>
                <w:szCs w:val="20"/>
              </w:rPr>
              <w:t xml:space="preserve">• Administer TAS-20
            • Administer DERS
            • Administer BDI-II
            • Administer SDS
            • Administer Rorschach Inkblot Test (individual, 45-60 min)
            • Administer TAT (selected cards, individual, 30-45 min)</w:t>
            </w:r>
          </w:p>
        </w:tc>
      </w:tr>
      <w:tr>
        <w:tc>
          <w:tcPr>
            <w:tcW w:w="3000" w:type="dxa"/>
          </w:tcPr>
          <w:p>
            <w:r>
              <w:rPr>
                <w:sz w:val="20"/>
                <w:szCs w:val="20"/>
              </w:rPr>
              <w:t xml:space="preserve">Phase 3: Intervention Delivery</w:t>
            </w:r>
          </w:p>
        </w:tc>
        <w:tc>
          <w:tcPr>
            <w:tcW w:w="3000" w:type="dxa"/>
          </w:tcPr>
          <w:p>
            <w:r>
              <w:rPr>
                <w:sz w:val="20"/>
                <w:szCs w:val="20"/>
              </w:rPr>
              <w:t xml:space="preserve">Weeks 2-3 (8 sessions, 2x per week, 4 weeks)</w:t>
            </w:r>
          </w:p>
        </w:tc>
        <w:tc>
          <w:tcPr>
            <w:tcW w:w="3000" w:type="dxa"/>
          </w:tcPr>
          <w:p>
            <w:r>
              <w:rPr>
                <w:sz w:val="20"/>
                <w:szCs w:val="20"/>
              </w:rPr>
              <w:t xml:space="preserve">• Deliver Emotion-Focused Skills Training (EFST)
            • Both HIV+ and HIV- groups receive same intervention
            • Individual format (60 minutes per session)
            • Maintain session attendance records
            • Administer brief session feedback forms</w:t>
            </w:r>
          </w:p>
        </w:tc>
      </w:tr>
      <w:tr>
        <w:tc>
          <w:tcPr>
            <w:tcW w:w="3000" w:type="dxa"/>
          </w:tcPr>
          <w:p>
            <w:r>
              <w:rPr>
                <w:sz w:val="20"/>
                <w:szCs w:val="20"/>
              </w:rPr>
              <w:t xml:space="preserve">Phase 4: Post-Test Assessment</w:t>
            </w:r>
          </w:p>
        </w:tc>
        <w:tc>
          <w:tcPr>
            <w:tcW w:w="3000" w:type="dxa"/>
          </w:tcPr>
          <w:p>
            <w:r>
              <w:rPr>
                <w:sz w:val="20"/>
                <w:szCs w:val="20"/>
              </w:rPr>
              <w:t xml:space="preserve">Week 4 (Days 25-28)</w:t>
            </w:r>
          </w:p>
        </w:tc>
        <w:tc>
          <w:tcPr>
            <w:tcW w:w="3000" w:type="dxa"/>
          </w:tcPr>
          <w:p>
            <w:r>
              <w:rPr>
                <w:sz w:val="20"/>
                <w:szCs w:val="20"/>
              </w:rPr>
              <w:t xml:space="preserve">• Re-administer TAS-20
            • Re-administer DERS
            • Re-administer BDI-II
            • Re-administer Rorschach Inkblot Test
            • Re-administer TAT
            • Collect participant feedback on intervention experience</w:t>
            </w:r>
          </w:p>
        </w:tc>
      </w:tr>
      <w:tr>
        <w:tc>
          <w:tcPr>
            <w:tcW w:w="3000" w:type="dxa"/>
          </w:tcPr>
          <w:p>
            <w:r>
              <w:rPr>
                <w:sz w:val="20"/>
                <w:szCs w:val="20"/>
              </w:rPr>
              <w:t xml:space="preserve">Phase 5: Data Analysis &amp; Interpretation</w:t>
            </w:r>
          </w:p>
        </w:tc>
        <w:tc>
          <w:tcPr>
            <w:tcW w:w="3000" w:type="dxa"/>
          </w:tcPr>
          <w:p>
            <w:r>
              <w:rPr>
                <w:sz w:val="20"/>
                <w:szCs w:val="20"/>
              </w:rPr>
              <w:t xml:space="preserve">Post-data collection</w:t>
            </w:r>
          </w:p>
        </w:tc>
        <w:tc>
          <w:tcPr>
            <w:tcW w:w="3000" w:type="dxa"/>
          </w:tcPr>
          <w:p>
            <w:r>
              <w:rPr>
                <w:sz w:val="20"/>
                <w:szCs w:val="20"/>
              </w:rPr>
              <w:t xml:space="preserve">• Score all instruments
            • Establish inter-rater reliability for projective scoring
            • Conduct statistical analyses
            • Interpret findings</w:t>
            </w:r>
          </w:p>
        </w:tc>
      </w:tr>
    </w:tbl>
    <w:p/>
    <w:p>
      <w:pPr>
        <w:pStyle w:val="Heading3"/>
        <w:jc w:val="start"/>
      </w:pPr>
      <w:r>
        <w:rPr>
          <w:b/>
        </w:rPr>
        <w:t xml:space="preserve">9.5 Intervention Protocol — Emotion-Focused Skills Training (EFST):</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w="3000" w:type="dxa"/>
            <w:shd w:val="clear" w:color="auto" w:fill="1A237E"/>
          </w:tcPr>
          <w:p>
            <w:r>
              <w:rPr>
                <w:b/>
                <w:color w:val="FFFFFF"/>
                <w:sz w:val="20"/>
                <w:szCs w:val="20"/>
              </w:rPr>
              <w:t xml:space="preserve">Session</w:t>
            </w:r>
          </w:p>
        </w:tc>
        <w:tc>
          <w:tcPr>
            <w:tcW w:w="3000" w:type="dxa"/>
            <w:shd w:val="clear" w:color="auto" w:fill="1A237E"/>
          </w:tcPr>
          <w:p>
            <w:r>
              <w:rPr>
                <w:b/>
                <w:color w:val="FFFFFF"/>
                <w:sz w:val="20"/>
                <w:szCs w:val="20"/>
              </w:rPr>
              <w:t xml:space="preserve">Theme</w:t>
            </w:r>
          </w:p>
        </w:tc>
        <w:tc>
          <w:tcPr>
            <w:tcW w:w="3000" w:type="dxa"/>
            <w:shd w:val="clear" w:color="auto" w:fill="1A237E"/>
          </w:tcPr>
          <w:p>
            <w:r>
              <w:rPr>
                <w:b/>
                <w:color w:val="FFFFFF"/>
                <w:sz w:val="20"/>
                <w:szCs w:val="20"/>
              </w:rPr>
              <w:t xml:space="preserve">Content &amp; Techniques</w:t>
            </w:r>
          </w:p>
        </w:tc>
      </w:tr>
      <w:tr>
        <w:tc>
          <w:tcPr>
            <w:tcW w:w="3000" w:type="dxa"/>
          </w:tcPr>
          <w:p>
            <w:r>
              <w:rPr>
                <w:sz w:val="20"/>
                <w:szCs w:val="20"/>
              </w:rPr>
              <w:t xml:space="preserve">1</w:t>
            </w:r>
          </w:p>
        </w:tc>
        <w:tc>
          <w:tcPr>
            <w:tcW w:w="3000" w:type="dxa"/>
          </w:tcPr>
          <w:p>
            <w:r>
              <w:rPr>
                <w:sz w:val="20"/>
                <w:szCs w:val="20"/>
              </w:rPr>
              <w:t xml:space="preserve">Psychoeducation: What are Emotions?</w:t>
            </w:r>
          </w:p>
        </w:tc>
        <w:tc>
          <w:tcPr>
            <w:tcW w:w="3000" w:type="dxa"/>
          </w:tcPr>
          <w:p>
            <w:r>
              <w:rPr>
                <w:sz w:val="20"/>
                <w:szCs w:val="20"/>
              </w:rPr>
              <w:t xml:space="preserve">Introduction to basic emotions; Emotion wheel; Normalising emotional experience; Relationship between emotions, body sensations, and substance use</w:t>
            </w:r>
          </w:p>
        </w:tc>
      </w:tr>
      <w:tr>
        <w:tc>
          <w:tcPr>
            <w:tcW w:w="3000" w:type="dxa"/>
          </w:tcPr>
          <w:p>
            <w:r>
              <w:rPr>
                <w:sz w:val="20"/>
                <w:szCs w:val="20"/>
              </w:rPr>
              <w:t xml:space="preserve">2</w:t>
            </w:r>
          </w:p>
        </w:tc>
        <w:tc>
          <w:tcPr>
            <w:tcW w:w="3000" w:type="dxa"/>
          </w:tcPr>
          <w:p>
            <w:r>
              <w:rPr>
                <w:sz w:val="20"/>
                <w:szCs w:val="20"/>
              </w:rPr>
              <w:t xml:space="preserve">Body-Emotion Connection</w:t>
            </w:r>
          </w:p>
        </w:tc>
        <w:tc>
          <w:tcPr>
            <w:tcW w:w="3000" w:type="dxa"/>
          </w:tcPr>
          <w:p>
            <w:r>
              <w:rPr>
                <w:sz w:val="20"/>
                <w:szCs w:val="20"/>
              </w:rPr>
              <w:t xml:space="preserve">Body scan exercise; Identifying physical signatures of emotions; Differentiating anxiety from anger from sadness in the body; Interoceptive awareness training</w:t>
            </w:r>
          </w:p>
        </w:tc>
      </w:tr>
      <w:tr>
        <w:tc>
          <w:tcPr>
            <w:tcW w:w="3000" w:type="dxa"/>
          </w:tcPr>
          <w:p>
            <w:r>
              <w:rPr>
                <w:sz w:val="20"/>
                <w:szCs w:val="20"/>
              </w:rPr>
              <w:t xml:space="preserve">3</w:t>
            </w:r>
          </w:p>
        </w:tc>
        <w:tc>
          <w:tcPr>
            <w:tcW w:w="3000" w:type="dxa"/>
          </w:tcPr>
          <w:p>
            <w:r>
              <w:rPr>
                <w:sz w:val="20"/>
                <w:szCs w:val="20"/>
              </w:rPr>
              <w:t xml:space="preserve">Emotion Vocabulary Building</w:t>
            </w:r>
          </w:p>
        </w:tc>
        <w:tc>
          <w:tcPr>
            <w:tcW w:w="3000" w:type="dxa"/>
          </w:tcPr>
          <w:p>
            <w:r>
              <w:rPr>
                <w:sz w:val="20"/>
                <w:szCs w:val="20"/>
              </w:rPr>
              <w:t xml:space="preserve">Expanding feeling word repertoire; Graduated emotion intensity scales; Practising "I feel..." statements; Journaling exercise</w:t>
            </w:r>
          </w:p>
        </w:tc>
      </w:tr>
      <w:tr>
        <w:tc>
          <w:tcPr>
            <w:tcW w:w="3000" w:type="dxa"/>
          </w:tcPr>
          <w:p>
            <w:r>
              <w:rPr>
                <w:sz w:val="20"/>
                <w:szCs w:val="20"/>
              </w:rPr>
              <w:t xml:space="preserve">4</w:t>
            </w:r>
          </w:p>
        </w:tc>
        <w:tc>
          <w:tcPr>
            <w:tcW w:w="3000" w:type="dxa"/>
          </w:tcPr>
          <w:p>
            <w:r>
              <w:rPr>
                <w:sz w:val="20"/>
                <w:szCs w:val="20"/>
              </w:rPr>
              <w:t xml:space="preserve">Identifying Feelings in Daily Life</w:t>
            </w:r>
          </w:p>
        </w:tc>
        <w:tc>
          <w:tcPr>
            <w:tcW w:w="3000" w:type="dxa"/>
          </w:tcPr>
          <w:p>
            <w:r>
              <w:rPr>
                <w:sz w:val="20"/>
                <w:szCs w:val="20"/>
              </w:rPr>
              <w:t xml:space="preserve">Emotion tracking diary; Linking events-thoughts-feelings; Recognising emotional triggers; In-session emotion identification practice using scenarios</w:t>
            </w:r>
          </w:p>
        </w:tc>
      </w:tr>
      <w:tr>
        <w:tc>
          <w:tcPr>
            <w:tcW w:w="3000" w:type="dxa"/>
          </w:tcPr>
          <w:p>
            <w:r>
              <w:rPr>
                <w:sz w:val="20"/>
                <w:szCs w:val="20"/>
              </w:rPr>
              <w:t xml:space="preserve">5</w:t>
            </w:r>
          </w:p>
        </w:tc>
        <w:tc>
          <w:tcPr>
            <w:tcW w:w="3000" w:type="dxa"/>
          </w:tcPr>
          <w:p>
            <w:r>
              <w:rPr>
                <w:sz w:val="20"/>
                <w:szCs w:val="20"/>
              </w:rPr>
              <w:t xml:space="preserve">Describing Feelings to Others</w:t>
            </w:r>
          </w:p>
        </w:tc>
        <w:tc>
          <w:tcPr>
            <w:tcW w:w="3000" w:type="dxa"/>
          </w:tcPr>
          <w:p>
            <w:r>
              <w:rPr>
                <w:sz w:val="20"/>
                <w:szCs w:val="20"/>
              </w:rPr>
              <w:t xml:space="preserve">Communication skills; Assertive emotional expression; Role-play exercises; Differentiating thoughts from feelings in speech</w:t>
            </w:r>
          </w:p>
        </w:tc>
      </w:tr>
      <w:tr>
        <w:tc>
          <w:tcPr>
            <w:tcW w:w="3000" w:type="dxa"/>
          </w:tcPr>
          <w:p>
            <w:r>
              <w:rPr>
                <w:sz w:val="20"/>
                <w:szCs w:val="20"/>
              </w:rPr>
              <w:t xml:space="preserve">6</w:t>
            </w:r>
          </w:p>
        </w:tc>
        <w:tc>
          <w:tcPr>
            <w:tcW w:w="3000" w:type="dxa"/>
          </w:tcPr>
          <w:p>
            <w:r>
              <w:rPr>
                <w:sz w:val="20"/>
                <w:szCs w:val="20"/>
              </w:rPr>
              <w:t xml:space="preserve">Understanding Others' Emotions</w:t>
            </w:r>
          </w:p>
        </w:tc>
        <w:tc>
          <w:tcPr>
            <w:tcW w:w="3000" w:type="dxa"/>
          </w:tcPr>
          <w:p>
            <w:r>
              <w:rPr>
                <w:sz w:val="20"/>
                <w:szCs w:val="20"/>
              </w:rPr>
              <w:t xml:space="preserve">Empathy skills; Facial emotion recognition practice; Perspective-taking exercises; Connecting personal emotional experience to interpersonal relationships</w:t>
            </w:r>
          </w:p>
        </w:tc>
      </w:tr>
      <w:tr>
        <w:tc>
          <w:tcPr>
            <w:tcW w:w="3000" w:type="dxa"/>
          </w:tcPr>
          <w:p>
            <w:r>
              <w:rPr>
                <w:sz w:val="20"/>
                <w:szCs w:val="20"/>
              </w:rPr>
              <w:t xml:space="preserve">7</w:t>
            </w:r>
          </w:p>
        </w:tc>
        <w:tc>
          <w:tcPr>
            <w:tcW w:w="3000" w:type="dxa"/>
          </w:tcPr>
          <w:p>
            <w:r>
              <w:rPr>
                <w:sz w:val="20"/>
                <w:szCs w:val="20"/>
              </w:rPr>
              <w:t xml:space="preserve">Emotions and the Addiction Cycle</w:t>
            </w:r>
          </w:p>
        </w:tc>
        <w:tc>
          <w:tcPr>
            <w:tcW w:w="3000" w:type="dxa"/>
          </w:tcPr>
          <w:p>
            <w:r>
              <w:rPr>
                <w:sz w:val="20"/>
                <w:szCs w:val="20"/>
              </w:rPr>
              <w:t xml:space="preserve">Linking unprocessed emotions to craving and use; Identifying emotional antecedents to relapse; Developing alternative emotional coping strategies; Creating personal emotion-action plan</w:t>
            </w:r>
          </w:p>
        </w:tc>
      </w:tr>
      <w:tr>
        <w:tc>
          <w:tcPr>
            <w:tcW w:w="3000" w:type="dxa"/>
          </w:tcPr>
          <w:p>
            <w:r>
              <w:rPr>
                <w:sz w:val="20"/>
                <w:szCs w:val="20"/>
              </w:rPr>
              <w:t xml:space="preserve">8</w:t>
            </w:r>
          </w:p>
        </w:tc>
        <w:tc>
          <w:tcPr>
            <w:tcW w:w="3000" w:type="dxa"/>
          </w:tcPr>
          <w:p>
            <w:r>
              <w:rPr>
                <w:sz w:val="20"/>
                <w:szCs w:val="20"/>
              </w:rPr>
              <w:t xml:space="preserve">Integration &amp; Maintenance</w:t>
            </w:r>
          </w:p>
        </w:tc>
        <w:tc>
          <w:tcPr>
            <w:tcW w:w="3000" w:type="dxa"/>
          </w:tcPr>
          <w:p>
            <w:r>
              <w:rPr>
                <w:sz w:val="20"/>
                <w:szCs w:val="20"/>
              </w:rPr>
              <w:t xml:space="preserve">Review and consolidation of skills; Personal emotion management plan; Relapse prevention from emotional perspective; Identification of ongoing emotional support resources; Post-discharge emotional skill maintenance strategies</w:t>
            </w:r>
          </w:p>
        </w:tc>
      </w:tr>
    </w:tbl>
    <w:p/>
    <w:p>
      <w:pPr>
        <w:pStyle w:val="Heading3"/>
        <w:jc w:val="start"/>
      </w:pPr>
      <w:r>
        <w:rPr>
          <w:b/>
        </w:rPr>
        <w:t xml:space="preserve">9.6 Ethical Considerations:</w:t>
      </w:r>
    </w:p>
    <w:p>
      <w:pPr>
        <w:pStyle w:val="ListParagraph"/>
        <w:jc w:val="both"/>
      </w:pPr>
      <w:r>
        <w:rPr>
          <w:sz w:val="22"/>
          <w:szCs w:val="22"/>
        </w:rPr>
        <w:t xml:space="preserve">• Institutional Ethics Committee (IEC) approval obtained prior to data collection</w:t>
      </w:r>
    </w:p>
    <w:p>
      <w:pPr>
        <w:pStyle w:val="ListParagraph"/>
        <w:jc w:val="both"/>
      </w:pPr>
      <w:r>
        <w:rPr>
          <w:sz w:val="22"/>
          <w:szCs w:val="22"/>
        </w:rPr>
        <w:t xml:space="preserve">• Written informed consent in participant's preferred language</w:t>
      </w:r>
    </w:p>
    <w:p>
      <w:pPr>
        <w:pStyle w:val="ListParagraph"/>
        <w:jc w:val="both"/>
      </w:pPr>
      <w:r>
        <w:rPr>
          <w:sz w:val="22"/>
          <w:szCs w:val="22"/>
        </w:rPr>
        <w:t xml:space="preserve">• Confidentiality of HIV status strictly maintained</w:t>
      </w:r>
    </w:p>
    <w:p>
      <w:pPr>
        <w:pStyle w:val="ListParagraph"/>
        <w:jc w:val="both"/>
      </w:pPr>
      <w:r>
        <w:rPr>
          <w:sz w:val="22"/>
          <w:szCs w:val="22"/>
        </w:rPr>
        <w:t xml:space="preserve">• Right to withdraw at any time without impact on treatment</w:t>
      </w:r>
    </w:p>
    <w:p>
      <w:pPr>
        <w:pStyle w:val="ListParagraph"/>
        <w:jc w:val="both"/>
      </w:pPr>
      <w:r>
        <w:rPr>
          <w:sz w:val="22"/>
          <w:szCs w:val="22"/>
        </w:rPr>
        <w:t xml:space="preserve">• No deception involved</w:t>
      </w:r>
    </w:p>
    <w:p>
      <w:pPr>
        <w:pStyle w:val="ListParagraph"/>
        <w:jc w:val="both"/>
      </w:pPr>
      <w:r>
        <w:rPr>
          <w:sz w:val="22"/>
          <w:szCs w:val="22"/>
        </w:rPr>
        <w:t xml:space="preserve">• Participants in distress referred to treating psychiatrist/psychologist</w:t>
      </w:r>
    </w:p>
    <w:p>
      <w:pPr>
        <w:pStyle w:val="ListParagraph"/>
        <w:jc w:val="both"/>
      </w:pPr>
      <w:r>
        <w:rPr>
          <w:sz w:val="22"/>
          <w:szCs w:val="22"/>
        </w:rPr>
        <w:t xml:space="preserve">• Data stored securely with coded identifiers (de-identified)</w:t>
      </w:r>
    </w:p>
    <w:p>
      <w:pPr>
        <w:pStyle w:val="ListParagraph"/>
        <w:jc w:val="both"/>
      </w:pPr>
      <w:r>
        <w:rPr>
          <w:sz w:val="22"/>
          <w:szCs w:val="22"/>
        </w:rPr>
        <w:t xml:space="preserve">• All participants receive standard de-addiction treatment regardless of study participation</w:t>
      </w:r>
    </w:p>
    <w:p>
      <w:pPr>
        <w:pStyle w:val="ListParagraph"/>
        <w:jc w:val="both"/>
      </w:pPr>
      <w:r>
        <w:rPr>
          <w:sz w:val="22"/>
          <w:szCs w:val="22"/>
        </w:rPr>
        <w:t xml:space="preserve">• Study registered with Clinical Trials Registry of India (CTRI) if required by institution</w:t>
      </w:r>
    </w:p>
    <w:p>
      <w:pPr>
        <w:pStyle w:val="Heading2"/>
        <w:jc w:val="start"/>
      </w:pPr>
      <w:r>
        <w:rPr>
          <w:sz w:val="28"/>
          <w:szCs w:val="28"/>
          <w:b/>
        </w:rPr>
        <w:t xml:space="preserve">10. Review of Literature (Thematic Structure)</w:t>
      </w:r>
    </w:p>
    <w:p>
      <w:pPr>
        <w:pStyle w:val="Heading3"/>
        <w:jc w:val="start"/>
      </w:pPr>
      <w:r>
        <w:rPr>
          <w:b/>
        </w:rPr>
        <w:t xml:space="preserve">10.1 Alexithymia: Concept, Measurement, and Clinical Significance</w:t>
      </w:r>
    </w:p>
    <w:p>
      <w:pPr>
        <w:pStyle w:val="Normal"/>
        <w:jc w:val="both"/>
      </w:pPr>
      <w:r>
        <w:rPr>
          <w:sz w:val="22"/>
          <w:szCs w:val="22"/>
        </w:rPr>
        <w:t xml:space="preserve">The construct of alexithymia was introduced by Sifneos (1973) to describe patients who showed marked difficulty in verbalising their emotional experiences. Over five decades of research has established alexithymia as a dimensional personality construct affecting approximately 10% of the general population and up to 25-50% of psychiatric populations. The TAS-20 (Bagby, Parker &amp; Taylor, 1994) remains the gold standard measure, with 25 years of accumulated validity evidence across cultures and clinical populations (Bagby et al., 2020). Recent systematic reviews confirm its three-factor structure (DIF, DDF, EOT) is stable and replicable.</w:t>
      </w:r>
    </w:p>
    <w:p>
      <w:pPr>
        <w:pStyle w:val="Heading3"/>
        <w:jc w:val="start"/>
      </w:pPr>
      <w:r>
        <w:rPr>
          <w:b/>
        </w:rPr>
        <w:t xml:space="preserve">10.2 Alexithymia and Substance Use Disorders</w:t>
      </w:r>
    </w:p>
    <w:p>
      <w:pPr>
        <w:pStyle w:val="Normal"/>
        <w:jc w:val="both"/>
      </w:pPr>
      <w:r>
        <w:rPr>
          <w:sz w:val="22"/>
          <w:szCs w:val="22"/>
        </w:rPr>
        <w:t xml:space="preserve">Meta-analytic evidence (Thorberg et al., 2009; Cruise &amp; Becerra, 2018) demonstrates significantly elevated alexithymia prevalence in substance-dependent populations compared to non-clinical controls. Specifically in opioid dependence, studies report alexithymia rates of 40-67% versus 8-10% in healthy populations. Alexithymia in addiction functions as both a predisposing vulnerability factor and a maintaining mechanism — individuals with limited emotional awareness use substances to regulate undifferentiated negative affect states (Khantzian's self-medication hypothesis, 1997). Heroin addicts show particularly impaired emotion recognition linked to alexithymic traits (Kornreich et al., 2003; Ferrari et al., 2016). A controlled study found significantly higher TAS-20 scores in opioid-dependent males compared to matched controls, with alexithymia correlating with lower self-esteem and higher depression (Hosseinzadeh Zoroufchi et al., 2018).</w:t>
      </w:r>
    </w:p>
    <w:p>
      <w:pPr>
        <w:pStyle w:val="Heading3"/>
        <w:jc w:val="start"/>
      </w:pPr>
      <w:r>
        <w:rPr>
          <w:b/>
        </w:rPr>
        <w:t xml:space="preserve">10.3 Alexithymia and HIV Infection</w:t>
      </w:r>
    </w:p>
    <w:p>
      <w:pPr>
        <w:pStyle w:val="Normal"/>
        <w:jc w:val="both"/>
      </w:pPr>
      <w:r>
        <w:rPr>
          <w:sz w:val="22"/>
          <w:szCs w:val="22"/>
        </w:rPr>
        <w:t xml:space="preserve">Emerging research identifies alexithymia as a clinically significant construct in HIV-positive populations. Tull et al. (2013) demonstrated that alexithymia is linked to neurocognitive, psychological, neuroendocrine, and immune dysfunction in persons living with HIV. HIV neuropathology, particularly frontal-subcortical circuit disruption, may independently impair emotional processing capacities. Berger et al. (2015) found that alexithymia in HIV relates to poorer medication adherence, greater disease severity, and psychosocial dysfunction through structural equation modeling. Furthermore, alexithymia has been identified as a predictor of cardiovascular risk in HIV-infected patients (Fauth-Buhler et al., 2013), underscoring its systemic health impact beyond psychological functioning alone.</w:t>
      </w:r>
    </w:p>
    <w:p>
      <w:pPr>
        <w:pStyle w:val="Heading3"/>
        <w:jc w:val="start"/>
      </w:pPr>
      <w:r>
        <w:rPr>
          <w:b/>
        </w:rPr>
        <w:t xml:space="preserve">10.4 Alexithymia and Projective Assessment</w:t>
      </w:r>
    </w:p>
    <w:p>
      <w:pPr>
        <w:pStyle w:val="Normal"/>
        <w:jc w:val="both"/>
      </w:pPr>
      <w:r>
        <w:rPr>
          <w:sz w:val="22"/>
          <w:szCs w:val="22"/>
        </w:rPr>
        <w:t xml:space="preserve">While the TAS-20 captures conscious self-report of alexithymic features, projective methods access implicit emotional processing. Rorschach variables associated with alexithymia include: restricted Affective Ratio (Afr), constrictive Form-Color dominance (FC &gt;&gt; CF+C), high Lambda (avoidant simplification), low number of Blends (reduced emotional complexity), and limited use of chromatic colour responses (Porcelli &amp; Mihura, 2010). The TAT complements this by revealing the quality of emotional narrative construction — alexithymic individuals produce stories with impoverished emotional vocabulary, external/action-focused plots, and limited attribution of internal states to characters. The convergence of self-report and projective assessment provides a more comprehensive and valid picture of alexithymia than either method alone.</w:t>
      </w:r>
    </w:p>
    <w:p>
      <w:pPr>
        <w:pStyle w:val="Heading3"/>
        <w:jc w:val="start"/>
      </w:pPr>
      <w:r>
        <w:rPr>
          <w:b/>
        </w:rPr>
        <w:t xml:space="preserve">10.5 Interventions for Alexithymia</w:t>
      </w:r>
    </w:p>
    <w:p>
      <w:pPr>
        <w:pStyle w:val="Normal"/>
        <w:jc w:val="both"/>
      </w:pPr>
      <w:r>
        <w:rPr>
          <w:sz w:val="22"/>
          <w:szCs w:val="22"/>
        </w:rPr>
        <w:t xml:space="preserve">A 2024 systematic review of psychological treatments for alexithymia (MDPI, 2024) found that interventions directly targeting alexithymic symptoms (emotion identification, emotional awareness training, body-emotion connection exercises) produce significant reductions in TAS-20 scores. CBT approaches (including acceptance and commitment therapy, behavioural activation, schema therapy, compassion-focused therapy) showed efficacy. Integrated group therapy programmes demonstrated that alexithymia can change and that such change is maintained post-treatment (Cameron et al., 2012). Crucially, a longitudinal study of CBT in substance-related disorders found treatment was equally effective for high- and low-alexithymic patients (de Haan et al., 2011), suggesting alexithymia is not a barrier to treatment but rather a modifiable target.</w:t>
      </w:r>
    </w:p>
    <w:p>
      <w:pPr>
        <w:pStyle w:val="Heading3"/>
        <w:jc w:val="start"/>
      </w:pPr>
      <w:r>
        <w:rPr>
          <w:b/>
        </w:rPr>
        <w:t xml:space="preserve">10.6 The Opioid-HIV Nexus: Indian Context</w:t>
      </w:r>
    </w:p>
    <w:p>
      <w:pPr>
        <w:pStyle w:val="Normal"/>
        <w:jc w:val="both"/>
      </w:pPr>
      <w:r>
        <w:rPr>
          <w:sz w:val="22"/>
          <w:szCs w:val="22"/>
        </w:rPr>
        <w:t xml:space="preserve">India has an estimated 8.5 lakh people who inject drugs (PWID), with HIV prevalence of 6.26% among PWID nationally (NACO, 2022). Northeast India (Manipur, Nagaland, Mizoram) and urban centres show higher rates. Opioid substitution therapy (OST) programmes provide a clinical setting where both opioid-dependent and HIV-positive individuals can be accessed. Despite India's significant burden, no Indian study has examined alexithymia as a psychological variable in the opioid-HIV intersection, nor tested whether emotion-focused interventions can address this deficit in de-addiction rehabilitation settings.</w:t>
      </w:r>
    </w:p>
    <w:p>
      <w:pPr>
        <w:pStyle w:val="Heading3"/>
        <w:jc w:val="start"/>
      </w:pPr>
      <w:r>
        <w:rPr>
          <w:b/>
        </w:rPr>
        <w:t xml:space="preserve">10.7 Contradictions and Unresolved Questions</w:t>
      </w:r>
    </w:p>
    <w:p>
      <w:pPr>
        <w:pStyle w:val="ListParagraph"/>
        <w:jc w:val="both"/>
      </w:pPr>
      <w:r>
        <w:rPr>
          <w:sz w:val="22"/>
          <w:szCs w:val="22"/>
        </w:rPr>
        <w:t xml:space="preserve">• Debate persists on whether alexithymia in addiction is a stable trait or a state-dependent phenomenon that remits with abstinence (Honkalampi et al., 2000 vs. de Haan et al., 2012)</w:t>
      </w:r>
    </w:p>
    <w:p>
      <w:pPr>
        <w:pStyle w:val="ListParagraph"/>
        <w:jc w:val="both"/>
      </w:pPr>
      <w:r>
        <w:rPr>
          <w:sz w:val="22"/>
          <w:szCs w:val="22"/>
        </w:rPr>
        <w:t xml:space="preserve">• Whether HIV adds independently to alexithymia burden beyond the effects of substance use itself remains untested</w:t>
      </w:r>
    </w:p>
    <w:p>
      <w:pPr>
        <w:pStyle w:val="ListParagraph"/>
        <w:jc w:val="both"/>
      </w:pPr>
      <w:r>
        <w:rPr>
          <w:sz w:val="22"/>
          <w:szCs w:val="22"/>
        </w:rPr>
        <w:t xml:space="preserve">• The sensitivity of projective measures to detect alexithymia change after brief interventions has not been established in addiction populations</w:t>
      </w:r>
    </w:p>
    <w:p>
      <w:pPr>
        <w:pStyle w:val="ListParagraph"/>
        <w:jc w:val="both"/>
      </w:pPr>
      <w:r>
        <w:rPr>
          <w:sz w:val="22"/>
          <w:szCs w:val="22"/>
        </w:rPr>
        <w:t xml:space="preserve">• Whether 4 weeks of emotion-focused training is sufficient to produce measurable change in a construct sometimes considered "stable" is an open empirical question — hence the pilot nature of this study</w:t>
      </w:r>
    </w:p>
    <w:p>
      <w:pPr>
        <w:pStyle w:val="Heading2"/>
        <w:jc w:val="start"/>
      </w:pPr>
      <w:r>
        <w:rPr>
          <w:sz w:val="28"/>
          <w:szCs w:val="28"/>
          <w:b/>
        </w:rPr>
        <w:t xml:space="preserve">11. Theoretical Framework</w:t>
      </w:r>
    </w:p>
    <w:p>
      <w:pPr>
        <w:pStyle w:val="Heading3"/>
        <w:jc w:val="start"/>
      </w:pPr>
      <w:r>
        <w:rPr>
          <w:b/>
        </w:rPr>
        <w:t xml:space="preserve">11.1 Khantzian's Self-Medication Hypothesis (1985, 1997)</w:t>
      </w:r>
    </w:p>
    <w:p>
      <w:pPr>
        <w:pStyle w:val="Normal"/>
        <w:jc w:val="both"/>
      </w:pPr>
      <w:r>
        <w:rPr>
          <w:sz w:val="22"/>
          <w:szCs w:val="22"/>
        </w:rPr>
        <w:t xml:space="preserve">Khantzian proposed that individuals with substance use disorders have fundamental deficits in self-regulation — specifically in affect regulation, self-esteem, relationships, and self-care. Opioids are preferentially chosen by individuals who struggle with overwhelming, undifferentiated negative affect (rage, pain, loneliness). Alexithymia represents the cognitive-affective dimension of this deficit: without the capacity to identify and describe feelings, individuals cannot use adaptive coping and instead resort to chemical regulation. This theory directly predicts that improving emotional processing capacity (reducing alexithymia) should reduce reliance on substances for affect regulation.</w:t>
      </w:r>
    </w:p>
    <w:p>
      <w:pPr>
        <w:pStyle w:val="Heading3"/>
        <w:jc w:val="start"/>
      </w:pPr>
      <w:r>
        <w:rPr>
          <w:b/>
        </w:rPr>
        <w:t xml:space="preserve">11.2 Cognitive-Affective Processing Model of Alexithymia (Lane &amp; Schwartz, 1987)</w:t>
      </w:r>
    </w:p>
    <w:p>
      <w:pPr>
        <w:pStyle w:val="Normal"/>
        <w:jc w:val="both"/>
      </w:pPr>
      <w:r>
        <w:rPr>
          <w:sz w:val="22"/>
          <w:szCs w:val="22"/>
        </w:rPr>
        <w:t xml:space="preserve">Lane and Schwartz proposed five levels of emotional awareness, from bodily sensations to differentiated, complex emotional experience. Alexithymia represents fixation at lower levels — where emotions are experienced as undifferentiated physical states rather than labelled, meaningful psychological experiences. This model provides the theoretical basis for the EFST intervention: by systematically training individuals to move from somatic awareness → emotion identification → emotion description → emotional complexity, the intervention targets the hierarchical development of emotional awareness.</w:t>
      </w:r>
    </w:p>
    <w:p>
      <w:pPr>
        <w:pStyle w:val="Heading3"/>
        <w:jc w:val="start"/>
      </w:pPr>
      <w:r>
        <w:rPr>
          <w:b/>
        </w:rPr>
        <w:t xml:space="preserve">11.3 Neurobiological Model: HIV-Opioid Synergistic Neurotoxicity</w:t>
      </w:r>
    </w:p>
    <w:p>
      <w:pPr>
        <w:pStyle w:val="Normal"/>
        <w:jc w:val="both"/>
      </w:pPr>
      <w:r>
        <w:rPr>
          <w:sz w:val="22"/>
          <w:szCs w:val="22"/>
        </w:rPr>
        <w:t xml:space="preserve">Both chronic opioid use and HIV infection independently affect prefrontal cortical function, anterior cingulate activity, and insula connectivity — brain regions critical for interoception, emotion recognition, and emotional decision-making. The co-occurrence of both may create synergistic impairment in emotional processing circuits, theoretically producing more severe alexithymia in the comorbid population. This model predicts that HIV+ opioid-dependent individuals will show higher baseline alexithymia AND potentially slower/different response to intervention due to neurobiological constraints.</w:t>
      </w:r>
    </w:p>
    <w:p>
      <w:pPr>
        <w:pStyle w:val="Heading3"/>
        <w:jc w:val="start"/>
      </w:pPr>
      <w:r>
        <w:rPr>
          <w:b/>
        </w:rPr>
        <w:t xml:space="preserve">11.4 Supportive-Expressive Psychodynamic Framework</w:t>
      </w:r>
    </w:p>
    <w:p>
      <w:pPr>
        <w:pStyle w:val="Normal"/>
        <w:jc w:val="both"/>
      </w:pPr>
      <w:r>
        <w:rPr>
          <w:sz w:val="22"/>
          <w:szCs w:val="22"/>
        </w:rPr>
        <w:t xml:space="preserve">Within psychodynamic tradition, alexithymia is understood as a deficit in symbolic representation of affect — the ego's capacity to process and verbalise emotional experience. Supportive psychotherapy aims to strengthen this capacity through mirroring, clarification, and graded emotional exposure. The EFST intervention draws on this framework by providing structured support for developing emotional processing capacities that were never adequately developed or were damaged through chronic substance use and its psychosocial sequelae.</w:t>
      </w:r>
    </w:p>
    <w:p>
      <w:pPr>
        <w:pStyle w:val="Heading2"/>
        <w:jc w:val="start"/>
      </w:pPr>
      <w:r>
        <w:rPr>
          <w:sz w:val="28"/>
          <w:szCs w:val="28"/>
          <w:b/>
        </w:rPr>
        <w:t xml:space="preserve">12. Significance of the Study</w:t>
      </w:r>
    </w:p>
    <w:p>
      <w:pPr>
        <w:pStyle w:val="Heading3"/>
        <w:jc w:val="start"/>
      </w:pPr>
      <w:r>
        <w:rPr>
          <w:b/>
        </w:rPr>
        <w:t xml:space="preserve">12.1 Clinical Implications:</w:t>
      </w:r>
    </w:p>
    <w:p>
      <w:pPr>
        <w:pStyle w:val="ListParagraph"/>
        <w:jc w:val="both"/>
      </w:pPr>
      <w:r>
        <w:rPr>
          <w:sz w:val="22"/>
          <w:szCs w:val="22"/>
        </w:rPr>
        <w:t xml:space="preserve">• Rehabilitation enhancement: If EFST reduces alexithymia, it can be incorporated into standard 1-month de-addiction programmes as a structured psychological intervention component</w:t>
      </w:r>
    </w:p>
    <w:p>
      <w:pPr>
        <w:pStyle w:val="ListParagraph"/>
        <w:jc w:val="both"/>
      </w:pPr>
      <w:r>
        <w:rPr>
          <w:sz w:val="22"/>
          <w:szCs w:val="22"/>
        </w:rPr>
        <w:t xml:space="preserve">• Treatment personalisation: If HIV+ individuals show different alexithymia profiles or treatment responses, interventions can be tailored accordingly</w:t>
      </w:r>
    </w:p>
    <w:p>
      <w:pPr>
        <w:pStyle w:val="ListParagraph"/>
        <w:jc w:val="both"/>
      </w:pPr>
      <w:r>
        <w:rPr>
          <w:sz w:val="22"/>
          <w:szCs w:val="22"/>
        </w:rPr>
        <w:t xml:space="preserve">• Relapse prevention: Reducing alexithymia may improve emotional coping, potentially reducing relapse risk post-discharge</w:t>
      </w:r>
    </w:p>
    <w:p>
      <w:pPr>
        <w:pStyle w:val="ListParagraph"/>
        <w:jc w:val="both"/>
      </w:pPr>
      <w:r>
        <w:rPr>
          <w:sz w:val="22"/>
          <w:szCs w:val="22"/>
        </w:rPr>
        <w:t xml:space="preserve">• Medication adherence: For HIV+ patients, reduced alexithymia may improve ART adherence through better health-related emotional processing</w:t>
      </w:r>
    </w:p>
    <w:p>
      <w:pPr>
        <w:pStyle w:val="ListParagraph"/>
        <w:jc w:val="both"/>
      </w:pPr>
      <w:r>
        <w:rPr>
          <w:sz w:val="22"/>
          <w:szCs w:val="22"/>
        </w:rPr>
        <w:t xml:space="preserve">• Projective assessment utility: Demonstrates clinical utility of Rorschach and TAT in addiction treatment settings for treatment planning and outcome measurement</w:t>
      </w:r>
    </w:p>
    <w:p>
      <w:pPr>
        <w:pStyle w:val="Heading3"/>
        <w:jc w:val="start"/>
      </w:pPr>
      <w:r>
        <w:rPr>
          <w:b/>
        </w:rPr>
        <w:t xml:space="preserve">12.2 Academic Contribution:</w:t>
      </w:r>
    </w:p>
    <w:p>
      <w:pPr>
        <w:pStyle w:val="ListParagraph"/>
        <w:jc w:val="both"/>
      </w:pPr>
      <w:r>
        <w:rPr>
          <w:sz w:val="22"/>
          <w:szCs w:val="22"/>
        </w:rPr>
        <w:t xml:space="preserve">• First study to compare alexithymia between HIV+ and HIV- opioid-dependent individuals</w:t>
      </w:r>
    </w:p>
    <w:p>
      <w:pPr>
        <w:pStyle w:val="ListParagraph"/>
        <w:jc w:val="both"/>
      </w:pPr>
      <w:r>
        <w:rPr>
          <w:sz w:val="22"/>
          <w:szCs w:val="22"/>
        </w:rPr>
        <w:t xml:space="preserve">• First intervention study targeting alexithymia in opioid-HIV comorbidity</w:t>
      </w:r>
    </w:p>
    <w:p>
      <w:pPr>
        <w:pStyle w:val="ListParagraph"/>
        <w:jc w:val="both"/>
      </w:pPr>
      <w:r>
        <w:rPr>
          <w:sz w:val="22"/>
          <w:szCs w:val="22"/>
        </w:rPr>
        <w:t xml:space="preserve">• First integration of projective assessment (Rorschach, TAT) with TAS-20 in this population</w:t>
      </w:r>
    </w:p>
    <w:p>
      <w:pPr>
        <w:pStyle w:val="ListParagraph"/>
        <w:jc w:val="both"/>
      </w:pPr>
      <w:r>
        <w:rPr>
          <w:sz w:val="22"/>
          <w:szCs w:val="22"/>
        </w:rPr>
        <w:t xml:space="preserve">• Provides pilot data for larger randomised controlled trial</w:t>
      </w:r>
    </w:p>
    <w:p>
      <w:pPr>
        <w:pStyle w:val="ListParagraph"/>
        <w:jc w:val="both"/>
      </w:pPr>
      <w:r>
        <w:rPr>
          <w:sz w:val="22"/>
          <w:szCs w:val="22"/>
        </w:rPr>
        <w:t xml:space="preserve">• Contributes to understanding alexithymia as trait vs. state in addiction</w:t>
      </w:r>
    </w:p>
    <w:p>
      <w:pPr>
        <w:pStyle w:val="Heading3"/>
        <w:jc w:val="start"/>
      </w:pPr>
      <w:r>
        <w:rPr>
          <w:b/>
        </w:rPr>
        <w:t xml:space="preserve">12.3 Indian Context Relevance:</w:t>
      </w:r>
    </w:p>
    <w:p>
      <w:pPr>
        <w:pStyle w:val="ListParagraph"/>
        <w:jc w:val="both"/>
      </w:pPr>
      <w:r>
        <w:rPr>
          <w:sz w:val="22"/>
          <w:szCs w:val="22"/>
        </w:rPr>
        <w:t xml:space="preserve">• India has significant opioid-PWID-HIV burden with limited psychological research</w:t>
      </w:r>
    </w:p>
    <w:p>
      <w:pPr>
        <w:pStyle w:val="ListParagraph"/>
        <w:jc w:val="both"/>
      </w:pPr>
      <w:r>
        <w:rPr>
          <w:sz w:val="22"/>
          <w:szCs w:val="22"/>
        </w:rPr>
        <w:t xml:space="preserve">• De-addiction centres provide accessible research and intervention delivery settings</w:t>
      </w:r>
    </w:p>
    <w:p>
      <w:pPr>
        <w:pStyle w:val="ListParagraph"/>
        <w:jc w:val="both"/>
      </w:pPr>
      <w:r>
        <w:rPr>
          <w:sz w:val="22"/>
          <w:szCs w:val="22"/>
        </w:rPr>
        <w:t xml:space="preserve">• Most Indian de-addiction programmes lack structured emotion-focused psychological interventions</w:t>
      </w:r>
    </w:p>
    <w:p>
      <w:pPr>
        <w:pStyle w:val="ListParagraph"/>
        <w:jc w:val="both"/>
      </w:pPr>
      <w:r>
        <w:rPr>
          <w:sz w:val="22"/>
          <w:szCs w:val="22"/>
        </w:rPr>
        <w:t xml:space="preserve">• Cost-effective, implementable intervention with minimal resource requirements</w:t>
      </w:r>
    </w:p>
    <w:p>
      <w:pPr>
        <w:pStyle w:val="ListParagraph"/>
        <w:jc w:val="both"/>
      </w:pPr>
      <w:r>
        <w:rPr>
          <w:sz w:val="22"/>
          <w:szCs w:val="22"/>
        </w:rPr>
        <w:t xml:space="preserve">• Addresses neglected psychological dimension of India's opioid-HIV epidemic</w:t>
      </w:r>
    </w:p>
    <w:p>
      <w:pPr>
        <w:pStyle w:val="Heading2"/>
        <w:jc w:val="start"/>
      </w:pPr>
      <w:r>
        <w:rPr>
          <w:sz w:val="28"/>
          <w:szCs w:val="28"/>
          <w:b/>
        </w:rPr>
        <w:t xml:space="preserve">13. Expected Outcomes</w:t>
      </w:r>
    </w:p>
    <w:p>
      <w:pPr>
        <w:pStyle w:val="Heading3"/>
        <w:jc w:val="start"/>
      </w:pPr>
      <w:r>
        <w:rPr>
          <w:b/>
        </w:rPr>
        <w:t xml:space="preserve">13.1 Anticipated Results:</w:t>
      </w:r>
    </w:p>
    <w:p>
      <w:pPr>
        <w:pStyle w:val="ListParagraph"/>
        <w:jc w:val="both"/>
      </w:pPr>
      <w:r>
        <w:rPr>
          <w:sz w:val="22"/>
          <w:szCs w:val="22"/>
        </w:rPr>
        <w:t xml:space="preserve">1. Baseline Comparison: HIV-positive opioid-dependent individuals are expected to demonstrate significantly higher alexithymia (TAS-20 total and DIF, DDF subscales) compared to HIV-negative opioid-dependent individuals, due to additive neurobiological and psychosocial burdens.</w:t>
      </w:r>
    </w:p>
    <w:p>
      <w:pPr>
        <w:pStyle w:val="ListParagraph"/>
        <w:jc w:val="both"/>
      </w:pPr>
      <w:r>
        <w:rPr>
          <w:sz w:val="22"/>
          <w:szCs w:val="22"/>
        </w:rPr>
        <w:t xml:space="preserve">2. Intervention Effectiveness: Both groups are expected to show statistically significant reduction in TAS-20 scores from pre-test to post-test, confirming that alexithymia is modifiable through structured emotion-focused skills training within a 4-week inpatient period.</w:t>
      </w:r>
    </w:p>
    <w:p>
      <w:pPr>
        <w:pStyle w:val="ListParagraph"/>
        <w:jc w:val="both"/>
      </w:pPr>
      <w:r>
        <w:rPr>
          <w:sz w:val="22"/>
          <w:szCs w:val="22"/>
        </w:rPr>
        <w:t xml:space="preserve">3. Group × Time Interaction: The HIV-negative group may show greater magnitude of improvement compared to the HIV-positive group, potentially due to fewer neurobiological constraints on emotional processing recovery. Alternatively, the HIV-positive group — starting from higher baseline — may show equal or greater absolute change (ceiling effect hypothesis).</w:t>
      </w:r>
    </w:p>
    <w:p>
      <w:pPr>
        <w:pStyle w:val="ListParagraph"/>
        <w:jc w:val="both"/>
      </w:pPr>
      <w:r>
        <w:rPr>
          <w:sz w:val="22"/>
          <w:szCs w:val="22"/>
        </w:rPr>
        <w:t xml:space="preserve">4. Projective Assessment Convergence: Rorschach affect variables (Afr, WSumC, Blends) and TAT emotional narrative quality are expected to show positive change (increased emotional engagement, complexity, and vocabulary) that correlates with TAS-20 improvement.</w:t>
      </w:r>
    </w:p>
    <w:p>
      <w:pPr>
        <w:pStyle w:val="ListParagraph"/>
        <w:jc w:val="both"/>
      </w:pPr>
      <w:r>
        <w:rPr>
          <w:sz w:val="22"/>
          <w:szCs w:val="22"/>
        </w:rPr>
        <w:t xml:space="preserve">5. Feasibility: High retention (≥80%) and session attendance (≥75% completing 6+ sessions) expected given the controlled inpatient environment.</w:t>
      </w:r>
    </w:p>
    <w:p>
      <w:pPr>
        <w:pStyle w:val="Heading3"/>
        <w:jc w:val="start"/>
      </w:pPr>
      <w:r>
        <w:rPr>
          <w:b/>
        </w:rPr>
        <w:t xml:space="preserve">13.2 Clinical Interpretation:</w:t>
      </w:r>
    </w:p>
    <w:p>
      <w:pPr>
        <w:pStyle w:val="Normal"/>
        <w:jc w:val="both"/>
      </w:pPr>
      <w:r>
        <w:rPr>
          <w:sz w:val="22"/>
          <w:szCs w:val="22"/>
        </w:rPr>
        <w:t xml:space="preserve">Positive findings would suggest that alexithymia in opioid-dependent individuals (regardless of HIV status) is at least partially a state-dependent, modifiable characteristic that responds to targeted intervention within the timeframe of standard inpatient de-addiction treatment. This would support the incorporation of emotion-focused skills training into routine de-addiction programmes and provide the foundation for a subsequent larger randomised controlled trial with longer follow-up.</w:t>
      </w:r>
    </w:p>
    <w:p>
      <w:pPr>
        <w:pStyle w:val="Heading2"/>
        <w:jc w:val="start"/>
      </w:pPr>
      <w:r>
        <w:rPr>
          <w:sz w:val="28"/>
          <w:szCs w:val="28"/>
          <w:b/>
        </w:rPr>
        <w:t xml:space="preserve">14. Statistical Analysis Plan</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w="3000" w:type="dxa"/>
            <w:shd w:val="clear" w:color="auto" w:fill="1A237E"/>
          </w:tcPr>
          <w:p>
            <w:r>
              <w:rPr>
                <w:b/>
                <w:color w:val="FFFFFF"/>
                <w:sz w:val="20"/>
                <w:szCs w:val="20"/>
              </w:rPr>
              <w:t xml:space="preserve">Analysis</w:t>
            </w:r>
          </w:p>
        </w:tc>
        <w:tc>
          <w:tcPr>
            <w:tcW w:w="3000" w:type="dxa"/>
            <w:shd w:val="clear" w:color="auto" w:fill="1A237E"/>
          </w:tcPr>
          <w:p>
            <w:r>
              <w:rPr>
                <w:b/>
                <w:color w:val="FFFFFF"/>
                <w:sz w:val="20"/>
                <w:szCs w:val="20"/>
              </w:rPr>
              <w:t xml:space="preserve">Purpose</w:t>
            </w:r>
          </w:p>
        </w:tc>
        <w:tc>
          <w:tcPr>
            <w:tcW w:w="3000" w:type="dxa"/>
            <w:shd w:val="clear" w:color="auto" w:fill="1A237E"/>
          </w:tcPr>
          <w:p>
            <w:r>
              <w:rPr>
                <w:b/>
                <w:color w:val="FFFFFF"/>
                <w:sz w:val="20"/>
                <w:szCs w:val="20"/>
              </w:rPr>
              <w:t xml:space="preserve">Variables</w:t>
            </w:r>
          </w:p>
        </w:tc>
      </w:tr>
      <w:tr>
        <w:tc>
          <w:tcPr>
            <w:tcW w:w="3000" w:type="dxa"/>
          </w:tcPr>
          <w:p>
            <w:r>
              <w:rPr>
                <w:sz w:val="20"/>
                <w:szCs w:val="20"/>
              </w:rPr>
              <w:t xml:space="preserve">Descriptive statistics (Mean, SD, frequencies)</w:t>
            </w:r>
          </w:p>
        </w:tc>
        <w:tc>
          <w:tcPr>
            <w:tcW w:w="3000" w:type="dxa"/>
          </w:tcPr>
          <w:p>
            <w:r>
              <w:rPr>
                <w:sz w:val="20"/>
                <w:szCs w:val="20"/>
              </w:rPr>
              <w:t xml:space="preserve">Characterise sample demographics and clinical features</w:t>
            </w:r>
          </w:p>
        </w:tc>
        <w:tc>
          <w:tcPr>
            <w:tcW w:w="3000" w:type="dxa"/>
          </w:tcPr>
          <w:p>
            <w:r>
              <w:rPr>
                <w:sz w:val="20"/>
                <w:szCs w:val="20"/>
              </w:rPr>
              <w:t xml:space="preserve">All sociodemographic and clinical variables</w:t>
            </w:r>
          </w:p>
        </w:tc>
      </w:tr>
      <w:tr>
        <w:tc>
          <w:tcPr>
            <w:tcW w:w="3000" w:type="dxa"/>
          </w:tcPr>
          <w:p>
            <w:r>
              <w:rPr>
                <w:sz w:val="20"/>
                <w:szCs w:val="20"/>
              </w:rPr>
              <w:t xml:space="preserve">Independent samples t-test / Mann-Whitney U</w:t>
            </w:r>
          </w:p>
        </w:tc>
        <w:tc>
          <w:tcPr>
            <w:tcW w:w="3000" w:type="dxa"/>
          </w:tcPr>
          <w:p>
            <w:r>
              <w:rPr>
                <w:sz w:val="20"/>
                <w:szCs w:val="20"/>
              </w:rPr>
              <w:t xml:space="preserve">Compare baseline alexithymia between HIV+ and HIV- groups</w:t>
            </w:r>
          </w:p>
        </w:tc>
        <w:tc>
          <w:tcPr>
            <w:tcW w:w="3000" w:type="dxa"/>
          </w:tcPr>
          <w:p>
            <w:r>
              <w:rPr>
                <w:sz w:val="20"/>
                <w:szCs w:val="20"/>
              </w:rPr>
              <w:t xml:space="preserve">TAS-20 total and subscales (pre-test)</w:t>
            </w:r>
          </w:p>
        </w:tc>
      </w:tr>
      <w:tr>
        <w:tc>
          <w:tcPr>
            <w:tcW w:w="3000" w:type="dxa"/>
          </w:tcPr>
          <w:p>
            <w:r>
              <w:rPr>
                <w:sz w:val="20"/>
                <w:szCs w:val="20"/>
              </w:rPr>
              <w:t xml:space="preserve">Chi-square test</w:t>
            </w:r>
          </w:p>
        </w:tc>
        <w:tc>
          <w:tcPr>
            <w:tcW w:w="3000" w:type="dxa"/>
          </w:tcPr>
          <w:p>
            <w:r>
              <w:rPr>
                <w:sz w:val="20"/>
                <w:szCs w:val="20"/>
              </w:rPr>
              <w:t xml:space="preserve">Compare categorical baseline characteristics between groups</w:t>
            </w:r>
          </w:p>
        </w:tc>
        <w:tc>
          <w:tcPr>
            <w:tcW w:w="3000" w:type="dxa"/>
          </w:tcPr>
          <w:p>
            <w:r>
              <w:rPr>
                <w:sz w:val="20"/>
                <w:szCs w:val="20"/>
              </w:rPr>
              <w:t xml:space="preserve">Education level, marital status, route of use, employment</w:t>
            </w:r>
          </w:p>
        </w:tc>
      </w:tr>
      <w:tr>
        <w:tc>
          <w:tcPr>
            <w:tcW w:w="3000" w:type="dxa"/>
          </w:tcPr>
          <w:p>
            <w:r>
              <w:rPr>
                <w:sz w:val="20"/>
                <w:szCs w:val="20"/>
              </w:rPr>
              <w:t xml:space="preserve">2 × 2 Mixed ANOVA (Primary analysis)</w:t>
            </w:r>
          </w:p>
        </w:tc>
        <w:tc>
          <w:tcPr>
            <w:tcW w:w="3000" w:type="dxa"/>
          </w:tcPr>
          <w:p>
            <w:r>
              <w:rPr>
                <w:sz w:val="20"/>
                <w:szCs w:val="20"/>
              </w:rPr>
              <w:t xml:space="preserve">Examine main effects (Group, Time) and interaction (Group × Time) on alexithymia</w:t>
            </w:r>
          </w:p>
        </w:tc>
        <w:tc>
          <w:tcPr>
            <w:tcW w:w="3000" w:type="dxa"/>
          </w:tcPr>
          <w:p>
            <w:r>
              <w:rPr>
                <w:sz w:val="20"/>
                <w:szCs w:val="20"/>
              </w:rPr>
              <w:t xml:space="preserve">IV: HIV status (between) × Time (within); DV: TAS-20 total</w:t>
            </w:r>
          </w:p>
        </w:tc>
      </w:tr>
      <w:tr>
        <w:tc>
          <w:tcPr>
            <w:tcW w:w="3000" w:type="dxa"/>
          </w:tcPr>
          <w:p>
            <w:r>
              <w:rPr>
                <w:sz w:val="20"/>
                <w:szCs w:val="20"/>
              </w:rPr>
              <w:t xml:space="preserve">Repeated measures ANOVA with covariates (ANCOVA)</w:t>
            </w:r>
          </w:p>
        </w:tc>
        <w:tc>
          <w:tcPr>
            <w:tcW w:w="3000" w:type="dxa"/>
          </w:tcPr>
          <w:p>
            <w:r>
              <w:rPr>
                <w:sz w:val="20"/>
                <w:szCs w:val="20"/>
              </w:rPr>
              <w:t xml:space="preserve">Control for significant baseline differences (depression, education, dependence severity)</w:t>
            </w:r>
          </w:p>
        </w:tc>
        <w:tc>
          <w:tcPr>
            <w:tcW w:w="3000" w:type="dxa"/>
          </w:tcPr>
          <w:p>
            <w:r>
              <w:rPr>
                <w:sz w:val="20"/>
                <w:szCs w:val="20"/>
              </w:rPr>
              <w:t xml:space="preserve">TAS-20 with BDI-II, SDS as covariates</w:t>
            </w:r>
          </w:p>
        </w:tc>
      </w:tr>
      <w:tr>
        <w:tc>
          <w:tcPr>
            <w:tcW w:w="3000" w:type="dxa"/>
          </w:tcPr>
          <w:p>
            <w:r>
              <w:rPr>
                <w:sz w:val="20"/>
                <w:szCs w:val="20"/>
              </w:rPr>
              <w:t xml:space="preserve">Paired samples t-test</w:t>
            </w:r>
          </w:p>
        </w:tc>
        <w:tc>
          <w:tcPr>
            <w:tcW w:w="3000" w:type="dxa"/>
          </w:tcPr>
          <w:p>
            <w:r>
              <w:rPr>
                <w:sz w:val="20"/>
                <w:szCs w:val="20"/>
              </w:rPr>
              <w:t xml:space="preserve">Within-group pre-post change for each group separately</w:t>
            </w:r>
          </w:p>
        </w:tc>
        <w:tc>
          <w:tcPr>
            <w:tcW w:w="3000" w:type="dxa"/>
          </w:tcPr>
          <w:p>
            <w:r>
              <w:rPr>
                <w:sz w:val="20"/>
                <w:szCs w:val="20"/>
              </w:rPr>
              <w:t xml:space="preserve">TAS-20 pre vs. post (HIV+ group); TAS-20 pre vs. post (HIV- group)</w:t>
            </w:r>
          </w:p>
        </w:tc>
      </w:tr>
      <w:tr>
        <w:tc>
          <w:tcPr>
            <w:tcW w:w="3000" w:type="dxa"/>
          </w:tcPr>
          <w:p>
            <w:r>
              <w:rPr>
                <w:sz w:val="20"/>
                <w:szCs w:val="20"/>
              </w:rPr>
              <w:t xml:space="preserve">Effect size (Cohen's d)</w:t>
            </w:r>
          </w:p>
        </w:tc>
        <w:tc>
          <w:tcPr>
            <w:tcW w:w="3000" w:type="dxa"/>
          </w:tcPr>
          <w:p>
            <w:r>
              <w:rPr>
                <w:sz w:val="20"/>
                <w:szCs w:val="20"/>
              </w:rPr>
              <w:t xml:space="preserve">Quantify magnitude of change for clinical significance</w:t>
            </w:r>
          </w:p>
        </w:tc>
        <w:tc>
          <w:tcPr>
            <w:tcW w:w="3000" w:type="dxa"/>
          </w:tcPr>
          <w:p>
            <w:r>
              <w:rPr>
                <w:sz w:val="20"/>
                <w:szCs w:val="20"/>
              </w:rPr>
              <w:t xml:space="preserve">Pre-post difference / pooled SD</w:t>
            </w:r>
          </w:p>
        </w:tc>
      </w:tr>
      <w:tr>
        <w:tc>
          <w:tcPr>
            <w:tcW w:w="3000" w:type="dxa"/>
          </w:tcPr>
          <w:p>
            <w:r>
              <w:rPr>
                <w:sz w:val="20"/>
                <w:szCs w:val="20"/>
              </w:rPr>
              <w:t xml:space="preserve">Reliable Change Index (RCI)</w:t>
            </w:r>
          </w:p>
        </w:tc>
        <w:tc>
          <w:tcPr>
            <w:tcW w:w="3000" w:type="dxa"/>
          </w:tcPr>
          <w:p>
            <w:r>
              <w:rPr>
                <w:sz w:val="20"/>
                <w:szCs w:val="20"/>
              </w:rPr>
              <w:t xml:space="preserve">Determine individual-level clinically significant change</w:t>
            </w:r>
          </w:p>
        </w:tc>
        <w:tc>
          <w:tcPr>
            <w:tcW w:w="3000" w:type="dxa"/>
          </w:tcPr>
          <w:p>
            <w:r>
              <w:rPr>
                <w:sz w:val="20"/>
                <w:szCs w:val="20"/>
              </w:rPr>
              <w:t xml:space="preserve">TAS-20 individual pre-post differences against measurement error</w:t>
            </w:r>
          </w:p>
        </w:tc>
      </w:tr>
      <w:tr>
        <w:tc>
          <w:tcPr>
            <w:tcW w:w="3000" w:type="dxa"/>
          </w:tcPr>
          <w:p>
            <w:r>
              <w:rPr>
                <w:sz w:val="20"/>
                <w:szCs w:val="20"/>
              </w:rPr>
              <w:t xml:space="preserve">Pearson / Spearman correlation</w:t>
            </w:r>
          </w:p>
        </w:tc>
        <w:tc>
          <w:tcPr>
            <w:tcW w:w="3000" w:type="dxa"/>
          </w:tcPr>
          <w:p>
            <w:r>
              <w:rPr>
                <w:sz w:val="20"/>
                <w:szCs w:val="20"/>
              </w:rPr>
              <w:t xml:space="preserve">Examine convergence between TAS-20 and Rorschach/TAT variables; Explore relationships between alexithymia, DERS, and BDI-II</w:t>
            </w:r>
          </w:p>
        </w:tc>
        <w:tc>
          <w:tcPr>
            <w:tcW w:w="3000" w:type="dxa"/>
          </w:tcPr>
          <w:p>
            <w:r>
              <w:rPr>
                <w:sz w:val="20"/>
                <w:szCs w:val="20"/>
              </w:rPr>
              <w:t xml:space="preserve">TAS-20 with Afr, WSumC, Blends, SCORS-G affect scores</w:t>
            </w:r>
          </w:p>
        </w:tc>
      </w:tr>
      <w:tr>
        <w:tc>
          <w:tcPr>
            <w:tcW w:w="3000" w:type="dxa"/>
          </w:tcPr>
          <w:p>
            <w:r>
              <w:rPr>
                <w:sz w:val="20"/>
                <w:szCs w:val="20"/>
              </w:rPr>
              <w:t xml:space="preserve">Wilcoxon signed-rank test (if needed)</w:t>
            </w:r>
          </w:p>
        </w:tc>
        <w:tc>
          <w:tcPr>
            <w:tcW w:w="3000" w:type="dxa"/>
          </w:tcPr>
          <w:p>
            <w:r>
              <w:rPr>
                <w:sz w:val="20"/>
                <w:szCs w:val="20"/>
              </w:rPr>
              <w:t xml:space="preserve">Non-parametric alternative for Rorschach/TAT ordinal variables if normality violated</w:t>
            </w:r>
          </w:p>
        </w:tc>
        <w:tc>
          <w:tcPr>
            <w:tcW w:w="3000" w:type="dxa"/>
          </w:tcPr>
          <w:p>
            <w:r>
              <w:rPr>
                <w:sz w:val="20"/>
                <w:szCs w:val="20"/>
              </w:rPr>
              <w:t xml:space="preserve">Rorschach and TAT pre-post scores</w:t>
            </w:r>
          </w:p>
        </w:tc>
      </w:tr>
    </w:tbl>
    <w:p/>
    <w:p>
      <w:pPr>
        <w:pStyle w:val="Normal"/>
        <w:jc w:val="both"/>
      </w:pPr>
      <w:r>
        <w:rPr>
          <w:sz w:val="22"/>
          <w:szCs w:val="22"/>
        </w:rPr>
        <w:t xml:space="preserve">Software: SPSS v.26 or JASP (open-source); G*Power for post-hoc power analysis</w:t>
      </w:r>
    </w:p>
    <w:p>
      <w:pPr>
        <w:pStyle w:val="Normal"/>
        <w:jc w:val="both"/>
      </w:pPr>
      <w:r>
        <w:rPr>
          <w:sz w:val="22"/>
          <w:szCs w:val="22"/>
        </w:rPr>
        <w:t xml:space="preserve">Significance level: α = .05 (two-tailed); Bonferroni correction applied for multiple comparisons where applicable</w:t>
      </w:r>
    </w:p>
    <w:p>
      <w:pPr>
        <w:pStyle w:val="Heading2"/>
        <w:jc w:val="start"/>
      </w:pPr>
      <w:r>
        <w:rPr>
          <w:sz w:val="28"/>
          <w:szCs w:val="28"/>
          <w:b/>
        </w:rPr>
        <w:t xml:space="preserve">15. Limitations</w:t>
      </w:r>
    </w:p>
    <w:p>
      <w:pPr>
        <w:pStyle w:val="ListParagraph"/>
        <w:jc w:val="both"/>
      </w:pPr>
      <w:r>
        <w:rPr>
          <w:sz w:val="22"/>
          <w:szCs w:val="22"/>
        </w:rPr>
        <w:t xml:space="preserve">1. Absence of a no-intervention control group: Both groups receive EFST; there is no true "no-treatment" control. This design choice is ethical (cannot withhold intervention from inpatients) but limits causal attribution — improvement could partly reflect natural recovery during abstinence/inpatient stay.</w:t>
      </w:r>
    </w:p>
    <w:p>
      <w:pPr>
        <w:pStyle w:val="ListParagraph"/>
        <w:jc w:val="both"/>
      </w:pPr>
      <w:r>
        <w:rPr>
          <w:sz w:val="22"/>
          <w:szCs w:val="22"/>
        </w:rPr>
        <w:t xml:space="preserve">2. Small sample size: N = 60 is appropriate for a pilot study but limits generalisability and statistical power for detecting small-to-medium effects.</w:t>
      </w:r>
    </w:p>
    <w:p>
      <w:pPr>
        <w:pStyle w:val="ListParagraph"/>
        <w:jc w:val="both"/>
      </w:pPr>
      <w:r>
        <w:rPr>
          <w:sz w:val="22"/>
          <w:szCs w:val="22"/>
        </w:rPr>
        <w:t xml:space="preserve">3. Short intervention duration: 8 sessions over 4 weeks may be insufficient to produce lasting change in a construct some researchers consider partially trait-based.</w:t>
      </w:r>
    </w:p>
    <w:p>
      <w:pPr>
        <w:pStyle w:val="ListParagraph"/>
        <w:jc w:val="both"/>
      </w:pPr>
      <w:r>
        <w:rPr>
          <w:sz w:val="22"/>
          <w:szCs w:val="22"/>
        </w:rPr>
        <w:t xml:space="preserve">4. No follow-up assessment: Without post-discharge follow-up, sustainability of gains cannot be evaluated.</w:t>
      </w:r>
    </w:p>
    <w:p>
      <w:pPr>
        <w:pStyle w:val="ListParagraph"/>
        <w:jc w:val="both"/>
      </w:pPr>
      <w:r>
        <w:rPr>
          <w:sz w:val="22"/>
          <w:szCs w:val="22"/>
        </w:rPr>
        <w:t xml:space="preserve">5. Medication confounds: Participants may be on opioid substitution therapy (buprenorphine/methadone), psychotropic medications, or ART — all of which may affect emotional processing independently.</w:t>
      </w:r>
    </w:p>
    <w:p>
      <w:pPr>
        <w:pStyle w:val="ListParagraph"/>
        <w:jc w:val="both"/>
      </w:pPr>
      <w:r>
        <w:rPr>
          <w:sz w:val="22"/>
          <w:szCs w:val="22"/>
        </w:rPr>
        <w:t xml:space="preserve">6. Self-report bias: TAS-20 is self-report; individuals with alexithymia may underestimate their deficits (alexithymia paradox). Projective measures partially address this but add scorer subjectivity.</w:t>
      </w:r>
    </w:p>
    <w:p>
      <w:pPr>
        <w:pStyle w:val="ListParagraph"/>
        <w:jc w:val="both"/>
      </w:pPr>
      <w:r>
        <w:rPr>
          <w:sz w:val="22"/>
          <w:szCs w:val="22"/>
        </w:rPr>
        <w:t xml:space="preserve">7. Gender limitation: Restricting to males limits generalisability to female opioid-dependent/HIV+ populations.</w:t>
      </w:r>
    </w:p>
    <w:p>
      <w:pPr>
        <w:pStyle w:val="ListParagraph"/>
        <w:jc w:val="both"/>
      </w:pPr>
      <w:r>
        <w:rPr>
          <w:sz w:val="22"/>
          <w:szCs w:val="22"/>
        </w:rPr>
        <w:t xml:space="preserve">8. Purposive sampling: Non-random selection limits external validity.</w:t>
      </w:r>
    </w:p>
    <w:p>
      <w:pPr>
        <w:pStyle w:val="ListParagraph"/>
        <w:jc w:val="both"/>
      </w:pPr>
      <w:r>
        <w:rPr>
          <w:sz w:val="22"/>
          <w:szCs w:val="22"/>
        </w:rPr>
        <w:t xml:space="preserve">9. Practice effects: Rorschach and TAT readministration within 4 weeks may produce practice effects; addressed partially through use of parallel/alternate card sets where possible.</w:t>
      </w:r>
    </w:p>
    <w:p>
      <w:pPr>
        <w:pStyle w:val="ListParagraph"/>
        <w:jc w:val="both"/>
      </w:pPr>
      <w:r>
        <w:rPr>
          <w:sz w:val="22"/>
          <w:szCs w:val="22"/>
        </w:rPr>
        <w:t xml:space="preserve">10. Single-centre design: Recruitment from one de-addiction facility limits demographic and geographic representativeness.</w:t>
      </w:r>
    </w:p>
    <w:p>
      <w:pPr>
        <w:pStyle w:val="Heading2"/>
        <w:jc w:val="start"/>
      </w:pPr>
      <w:r>
        <w:rPr>
          <w:sz w:val="28"/>
          <w:szCs w:val="28"/>
          <w:b/>
        </w:rPr>
        <w:t xml:space="preserve">16. Suggestions for Future Research</w:t>
      </w:r>
    </w:p>
    <w:p>
      <w:pPr>
        <w:pStyle w:val="ListParagraph"/>
        <w:jc w:val="both"/>
      </w:pPr>
      <w:r>
        <w:rPr>
          <w:sz w:val="22"/>
          <w:szCs w:val="22"/>
        </w:rPr>
        <w:t xml:space="preserve">1. Randomised Controlled Trial (RCT): A full-scale RCT with EFST vs. active control (e.g., relaxation training or health education) with larger sample and multi-site recruitment, powered to detect medium effects.</w:t>
      </w:r>
    </w:p>
    <w:p>
      <w:pPr>
        <w:pStyle w:val="ListParagraph"/>
        <w:jc w:val="both"/>
      </w:pPr>
      <w:r>
        <w:rPr>
          <w:sz w:val="22"/>
          <w:szCs w:val="22"/>
        </w:rPr>
        <w:t xml:space="preserve">2. Longitudinal follow-up: 3-month and 6-month post-discharge follow-up to assess sustainability of alexithymia reduction and its relationship to relapse outcomes.</w:t>
      </w:r>
    </w:p>
    <w:p>
      <w:pPr>
        <w:pStyle w:val="ListParagraph"/>
        <w:jc w:val="both"/>
      </w:pPr>
      <w:r>
        <w:rPr>
          <w:sz w:val="22"/>
          <w:szCs w:val="22"/>
        </w:rPr>
        <w:t xml:space="preserve">3. Neuroimaging correlates: fMRI or EEG studies examining changes in neural substrates of emotional processing (insula, anterior cingulate, prefrontal cortex) after EFST, particularly comparing HIV+ and HIV- groups.</w:t>
      </w:r>
    </w:p>
    <w:p>
      <w:pPr>
        <w:pStyle w:val="ListParagraph"/>
        <w:jc w:val="both"/>
      </w:pPr>
      <w:r>
        <w:rPr>
          <w:sz w:val="22"/>
          <w:szCs w:val="22"/>
        </w:rPr>
        <w:t xml:space="preserve">4. Female participants: Replicate with female opioid-dependent/HIV+ populations given different alexithymia profiles by gender.</w:t>
      </w:r>
    </w:p>
    <w:p>
      <w:pPr>
        <w:pStyle w:val="ListParagraph"/>
        <w:jc w:val="both"/>
      </w:pPr>
      <w:r>
        <w:rPr>
          <w:sz w:val="22"/>
          <w:szCs w:val="22"/>
        </w:rPr>
        <w:t xml:space="preserve">5. Dose-response studies: Compare 8-session vs. 12-session vs. 16-session EFST to determine optimal intervention length.</w:t>
      </w:r>
    </w:p>
    <w:p>
      <w:pPr>
        <w:pStyle w:val="ListParagraph"/>
        <w:jc w:val="both"/>
      </w:pPr>
      <w:r>
        <w:rPr>
          <w:sz w:val="22"/>
          <w:szCs w:val="22"/>
        </w:rPr>
        <w:t xml:space="preserve">6. Mediator/moderator analyses: In larger samples, examine whether alexithymia reduction mediates improvements in treatment adherence, HIV care engagement, and relapse prevention.</w:t>
      </w:r>
    </w:p>
    <w:p>
      <w:pPr>
        <w:pStyle w:val="ListParagraph"/>
        <w:jc w:val="both"/>
      </w:pPr>
      <w:r>
        <w:rPr>
          <w:sz w:val="22"/>
          <w:szCs w:val="22"/>
        </w:rPr>
        <w:t xml:space="preserve">7. Digital/app-based delivery: Develop and test digital versions of emotion-focused skills training for post-discharge maintenance and rural/remote populations.</w:t>
      </w:r>
    </w:p>
    <w:p>
      <w:pPr>
        <w:pStyle w:val="ListParagraph"/>
        <w:jc w:val="both"/>
      </w:pPr>
      <w:r>
        <w:rPr>
          <w:sz w:val="22"/>
          <w:szCs w:val="22"/>
        </w:rPr>
        <w:t xml:space="preserve">8. Cross-cultural replication: Compare alexithymia profiles and intervention response across different Indian states/cultural contexts and international settings.</w:t>
      </w:r>
    </w:p>
    <w:p>
      <w:pPr>
        <w:pStyle w:val="Heading2"/>
        <w:jc w:val="start"/>
      </w:pPr>
      <w:r>
        <w:rPr>
          <w:sz w:val="28"/>
          <w:szCs w:val="28"/>
          <w:b/>
        </w:rPr>
        <w:t xml:space="preserve">17. Innovative Elements That Make This Research Unique</w:t>
      </w:r>
    </w:p>
    <w:p>
      <w:pPr>
        <w:pStyle w:val="Heading3"/>
        <w:jc w:val="start"/>
      </w:pPr>
      <w:r>
        <w:rPr>
          <w:b/>
        </w:rPr>
        <w:t xml:space="preserve">What distinguishes this study from all existing research:</w:t>
      </w:r>
    </w:p>
    <w:p>
      <w:pPr>
        <w:pStyle w:val="ListParagraph"/>
        <w:jc w:val="both"/>
      </w:pPr>
      <w:r>
        <w:rPr>
          <w:sz w:val="22"/>
          <w:szCs w:val="22"/>
        </w:rPr>
        <w:t xml:space="preserve">1. First-ever HIV stratification in alexithymia-addiction intervention research: No prior study has examined whether HIV status moderates the effectiveness of an alexithymia-targeted intervention in opioid-dependent individuals. This creates an entirely novel comparison framework.</w:t>
      </w:r>
    </w:p>
    <w:p>
      <w:pPr>
        <w:pStyle w:val="ListParagraph"/>
        <w:jc w:val="both"/>
      </w:pPr>
      <w:r>
        <w:rPr>
          <w:sz w:val="22"/>
          <w:szCs w:val="22"/>
        </w:rPr>
        <w:t xml:space="preserve">2. Multi-method assessment integration (Psychometric + Projective): Combining TAS-20 (self-report, explicit) with Rorschach (performance-based, implicit) and TAT (narrative, semi-implicit) provides unprecedented depth of alexithymia measurement. This addresses the "alexithymia paradox" — how can someone accurately self-report that they cannot identify their feelings?</w:t>
      </w:r>
    </w:p>
    <w:p>
      <w:pPr>
        <w:pStyle w:val="ListParagraph"/>
        <w:jc w:val="both"/>
      </w:pPr>
      <w:r>
        <w:rPr>
          <w:sz w:val="22"/>
          <w:szCs w:val="22"/>
        </w:rPr>
        <w:t xml:space="preserve">3. Inpatient de-addiction setting as natural laboratory: The controlled, substance-free inpatient environment eliminates active substance use as a confound and ensures consistent intervention delivery — an advantage over community-based research.</w:t>
      </w:r>
    </w:p>
    <w:p>
      <w:pPr>
        <w:pStyle w:val="ListParagraph"/>
        <w:jc w:val="both"/>
      </w:pPr>
      <w:r>
        <w:rPr>
          <w:sz w:val="22"/>
          <w:szCs w:val="22"/>
        </w:rPr>
        <w:t xml:space="preserve">4. Pilot + feasibility data generation: Explicit pilot study framing provides critical data (effect sizes, retention, acceptability) needed for future RCT grant applications and sample size calculations.</w:t>
      </w:r>
    </w:p>
    <w:p>
      <w:pPr>
        <w:pStyle w:val="ListParagraph"/>
        <w:jc w:val="both"/>
      </w:pPr>
      <w:r>
        <w:rPr>
          <w:sz w:val="22"/>
          <w:szCs w:val="22"/>
        </w:rPr>
        <w:t xml:space="preserve">5. Rorschach as treatment outcome measure in addiction: Using the Rorschach to measure pre-post intervention change in an addiction setting is extremely rare in contemporary research and represents a revival of projective methods for treatment outcome assessment.</w:t>
      </w:r>
    </w:p>
    <w:p>
      <w:pPr>
        <w:pStyle w:val="ListParagraph"/>
        <w:jc w:val="both"/>
      </w:pPr>
      <w:r>
        <w:rPr>
          <w:sz w:val="22"/>
          <w:szCs w:val="22"/>
        </w:rPr>
        <w:t xml:space="preserve">6. Indian de-addiction context: First Indian study to target alexithymia as an intervention variable in opioid-HIV comorbidity, addressing a gap in the country's rapidly growing but psychologically under-researched de-addiction infrastructure.</w:t>
      </w:r>
    </w:p>
    <w:p>
      <w:pPr>
        <w:pStyle w:val="ListParagraph"/>
        <w:jc w:val="both"/>
      </w:pPr>
      <w:r>
        <w:rPr>
          <w:sz w:val="22"/>
          <w:szCs w:val="22"/>
        </w:rPr>
        <w:t xml:space="preserve">7. Bridging psychodynamic theory with evidence-based practice: The study grounds a structured, manualisable intervention in psychodynamic theory (self-medication hypothesis, emotional awareness hierarchy) while using rigorous quantitative methodology — bridging the often-separated worlds of psychodynamic understanding and empirical research in addiction.</w:t>
      </w:r>
    </w:p>
    <w:p>
      <w:pPr>
        <w:pStyle w:val="Heading3"/>
        <w:jc w:val="start"/>
      </w:pPr>
      <w:r>
        <w:rPr>
          <w:b/>
        </w:rPr>
        <w:t xml:space="preserve">Additional Practical Suggestions to Enhance Uniqueness (within MPhil scope):</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w="3000" w:type="dxa"/>
            <w:shd w:val="clear" w:color="auto" w:fill="1A237E"/>
          </w:tcPr>
          <w:p>
            <w:r>
              <w:rPr>
                <w:b/>
                <w:color w:val="FFFFFF"/>
                <w:sz w:val="20"/>
                <w:szCs w:val="20"/>
              </w:rPr>
              <w:t xml:space="preserve">Suggestion</w:t>
            </w:r>
          </w:p>
        </w:tc>
        <w:tc>
          <w:tcPr>
            <w:tcW w:w="3000" w:type="dxa"/>
            <w:shd w:val="clear" w:color="auto" w:fill="1A237E"/>
          </w:tcPr>
          <w:p>
            <w:r>
              <w:rPr>
                <w:b/>
                <w:color w:val="FFFFFF"/>
                <w:sz w:val="20"/>
                <w:szCs w:val="20"/>
              </w:rPr>
              <w:t xml:space="preserve">Feasibility</w:t>
            </w:r>
          </w:p>
        </w:tc>
        <w:tc>
          <w:tcPr>
            <w:tcW w:w="3000" w:type="dxa"/>
            <w:shd w:val="clear" w:color="auto" w:fill="1A237E"/>
          </w:tcPr>
          <w:p>
            <w:r>
              <w:rPr>
                <w:b/>
                <w:color w:val="FFFFFF"/>
                <w:sz w:val="20"/>
                <w:szCs w:val="20"/>
              </w:rPr>
              <w:t xml:space="preserve">Added Value</w:t>
            </w:r>
          </w:p>
        </w:tc>
      </w:tr>
      <w:tr>
        <w:tc>
          <w:tcPr>
            <w:tcW w:w="3000" w:type="dxa"/>
          </w:tcPr>
          <w:p>
            <w:r>
              <w:rPr>
                <w:sz w:val="20"/>
                <w:szCs w:val="20"/>
              </w:rPr>
              <w:t xml:space="preserve">Add a healthy control comparison group (n=15) for baseline alexithymia norms</w:t>
            </w:r>
          </w:p>
        </w:tc>
        <w:tc>
          <w:tcPr>
            <w:tcW w:w="3000" w:type="dxa"/>
          </w:tcPr>
          <w:p>
            <w:r>
              <w:rPr>
                <w:sz w:val="20"/>
                <w:szCs w:val="20"/>
              </w:rPr>
              <w:t xml:space="preserve">High — recruit hospital staff or community volunteers</w:t>
            </w:r>
          </w:p>
        </w:tc>
        <w:tc>
          <w:tcPr>
            <w:tcW w:w="3000" w:type="dxa"/>
          </w:tcPr>
          <w:p>
            <w:r>
              <w:rPr>
                <w:sz w:val="20"/>
                <w:szCs w:val="20"/>
              </w:rPr>
              <w:t xml:space="preserve">Establishes how deviant both clinical groups are from normality</w:t>
            </w:r>
          </w:p>
        </w:tc>
      </w:tr>
      <w:tr>
        <w:tc>
          <w:tcPr>
            <w:tcW w:w="3000" w:type="dxa"/>
          </w:tcPr>
          <w:p>
            <w:r>
              <w:rPr>
                <w:sz w:val="20"/>
                <w:szCs w:val="20"/>
              </w:rPr>
              <w:t xml:space="preserve">Include brief qualitative component (post-intervention semi-structured interview)</w:t>
            </w:r>
          </w:p>
        </w:tc>
        <w:tc>
          <w:tcPr>
            <w:tcW w:w="3000" w:type="dxa"/>
          </w:tcPr>
          <w:p>
            <w:r>
              <w:rPr>
                <w:sz w:val="20"/>
                <w:szCs w:val="20"/>
              </w:rPr>
              <w:t xml:space="preserve">High — 3-4 participants per group</w:t>
            </w:r>
          </w:p>
        </w:tc>
        <w:tc>
          <w:tcPr>
            <w:tcW w:w="3000" w:type="dxa"/>
          </w:tcPr>
          <w:p>
            <w:r>
              <w:rPr>
                <w:sz w:val="20"/>
                <w:szCs w:val="20"/>
              </w:rPr>
              <w:t xml:space="preserve">Captures lived experience of emotional skill development; enriches interpretation</w:t>
            </w:r>
          </w:p>
        </w:tc>
      </w:tr>
      <w:tr>
        <w:tc>
          <w:tcPr>
            <w:tcW w:w="3000" w:type="dxa"/>
          </w:tcPr>
          <w:p>
            <w:r>
              <w:rPr>
                <w:sz w:val="20"/>
                <w:szCs w:val="20"/>
              </w:rPr>
              <w:t xml:space="preserve">Track a clinical outcome (craving levels via Brief Substance Craving Scale) as secondary variable</w:t>
            </w:r>
          </w:p>
        </w:tc>
        <w:tc>
          <w:tcPr>
            <w:tcW w:w="3000" w:type="dxa"/>
          </w:tcPr>
          <w:p>
            <w:r>
              <w:rPr>
                <w:sz w:val="20"/>
                <w:szCs w:val="20"/>
              </w:rPr>
              <w:t xml:space="preserve">High — 5-item scale, minimal burden</w:t>
            </w:r>
          </w:p>
        </w:tc>
        <w:tc>
          <w:tcPr>
            <w:tcW w:w="3000" w:type="dxa"/>
          </w:tcPr>
          <w:p>
            <w:r>
              <w:rPr>
                <w:sz w:val="20"/>
                <w:szCs w:val="20"/>
              </w:rPr>
              <w:t xml:space="preserve">Links alexithymia reduction to clinically meaningful addiction outcome</w:t>
            </w:r>
          </w:p>
        </w:tc>
      </w:tr>
      <w:tr>
        <w:tc>
          <w:tcPr>
            <w:tcW w:w="3000" w:type="dxa"/>
          </w:tcPr>
          <w:p>
            <w:r>
              <w:rPr>
                <w:sz w:val="20"/>
                <w:szCs w:val="20"/>
              </w:rPr>
              <w:t xml:space="preserve">Include emotion recognition task (e.g., Reading the Mind in the Eyes Test)</w:t>
            </w:r>
          </w:p>
        </w:tc>
        <w:tc>
          <w:tcPr>
            <w:tcW w:w="3000" w:type="dxa"/>
          </w:tcPr>
          <w:p>
            <w:r>
              <w:rPr>
                <w:sz w:val="20"/>
                <w:szCs w:val="20"/>
              </w:rPr>
              <w:t xml:space="preserve">Moderate — freely available, 10 minutes</w:t>
            </w:r>
          </w:p>
        </w:tc>
        <w:tc>
          <w:tcPr>
            <w:tcW w:w="3000" w:type="dxa"/>
          </w:tcPr>
          <w:p>
            <w:r>
              <w:rPr>
                <w:sz w:val="20"/>
                <w:szCs w:val="20"/>
              </w:rPr>
              <w:t xml:space="preserve">Performance-based measure of emotion recognition adds behavioural validity</w:t>
            </w:r>
          </w:p>
        </w:tc>
      </w:tr>
      <w:tr>
        <w:tc>
          <w:tcPr>
            <w:tcW w:w="3000" w:type="dxa"/>
          </w:tcPr>
          <w:p>
            <w:r>
              <w:rPr>
                <w:sz w:val="20"/>
                <w:szCs w:val="20"/>
              </w:rPr>
              <w:t xml:space="preserve">Document intervention fidelity using session recordings and adherence checklist</w:t>
            </w:r>
          </w:p>
        </w:tc>
        <w:tc>
          <w:tcPr>
            <w:tcW w:w="3000" w:type="dxa"/>
          </w:tcPr>
          <w:p>
            <w:r>
              <w:rPr>
                <w:sz w:val="20"/>
                <w:szCs w:val="20"/>
              </w:rPr>
              <w:t xml:space="preserve">High — standard research practice</w:t>
            </w:r>
          </w:p>
        </w:tc>
        <w:tc>
          <w:tcPr>
            <w:tcW w:w="3000" w:type="dxa"/>
          </w:tcPr>
          <w:p>
            <w:r>
              <w:rPr>
                <w:sz w:val="20"/>
                <w:szCs w:val="20"/>
              </w:rPr>
              <w:t xml:space="preserve">Strengthens internal validity; enables replication</w:t>
            </w:r>
          </w:p>
        </w:tc>
      </w:tr>
    </w:tbl>
    <w:p/>
    <w:p>
      <w:pPr>
        <w:pStyle w:val="Heading2"/>
        <w:jc w:val="start"/>
      </w:pPr>
      <w:r>
        <w:rPr>
          <w:sz w:val="28"/>
          <w:szCs w:val="28"/>
          <w:b/>
        </w:rPr>
        <w:t xml:space="preserve">18. Key References</w:t>
      </w:r>
    </w:p>
    <w:p>
      <w:pPr>
        <w:pStyle w:val="ListParagraph"/>
        <w:jc w:val="both"/>
      </w:pPr>
      <w:r>
        <w:rPr>
          <w:sz w:val="22"/>
          <w:szCs w:val="22"/>
        </w:rPr>
        <w:t xml:space="preserve">1. Bagby, R. M., Parker, J. D. A., &amp; Taylor, G. J. (1994). The twenty-item Toronto Alexithymia Scale—I. Item selection and cross-validation of the factor structure. Journal of Psychosomatic Research, 38(1), 23-32.</w:t>
      </w:r>
    </w:p>
    <w:p>
      <w:pPr>
        <w:pStyle w:val="ListParagraph"/>
        <w:jc w:val="both"/>
      </w:pPr>
      <w:r>
        <w:rPr>
          <w:sz w:val="22"/>
          <w:szCs w:val="22"/>
        </w:rPr>
        <w:t xml:space="preserve">2. Bagby, R. M., Parker, J. D. A., &amp; Taylor, G. J. (2020). Twenty-five years with the 20-item Toronto Alexithymia Scale. Journal of Psychosomatic Research, 131, 109940.</w:t>
      </w:r>
    </w:p>
    <w:p>
      <w:pPr>
        <w:pStyle w:val="ListParagraph"/>
        <w:jc w:val="both"/>
      </w:pPr>
      <w:r>
        <w:rPr>
          <w:sz w:val="22"/>
          <w:szCs w:val="22"/>
        </w:rPr>
        <w:t xml:space="preserve">3. Berger, S., et al. (2015). Alexithymia, assertiveness and psychosocial functioning in HIV. AIDS and Behavior, 19(8), 1465-1476.</w:t>
      </w:r>
    </w:p>
    <w:p>
      <w:pPr>
        <w:pStyle w:val="ListParagraph"/>
        <w:jc w:val="both"/>
      </w:pPr>
      <w:r>
        <w:rPr>
          <w:sz w:val="22"/>
          <w:szCs w:val="22"/>
        </w:rPr>
        <w:t xml:space="preserve">4. Cameron, K., et al. (2012). A naturalistic study of alexithymia among psychiatric outpatients treated in an integrated group therapy program. Psychology and Psychotherapy, 87(2), 187-198.</w:t>
      </w:r>
    </w:p>
    <w:p>
      <w:pPr>
        <w:pStyle w:val="ListParagraph"/>
        <w:jc w:val="both"/>
      </w:pPr>
      <w:r>
        <w:rPr>
          <w:sz w:val="22"/>
          <w:szCs w:val="22"/>
        </w:rPr>
        <w:t xml:space="preserve">5. Cruise, K. E., &amp; Becerra, R. (2018). Alexithymia and problematic alcohol use: A critical update. Addictive Behaviors, 77, 232-246.</w:t>
      </w:r>
    </w:p>
    <w:p>
      <w:pPr>
        <w:pStyle w:val="ListParagraph"/>
        <w:jc w:val="both"/>
      </w:pPr>
      <w:r>
        <w:rPr>
          <w:sz w:val="22"/>
          <w:szCs w:val="22"/>
        </w:rPr>
        <w:t xml:space="preserve">6. de Haan, H. A., et al. (2011). Cognitive behavioural treatment is as effective in high- as in low-scoring alexithymic patients with substance-related disorders. Psychotherapy and Psychosomatics, 80(3), 182-184.</w:t>
      </w:r>
    </w:p>
    <w:p>
      <w:pPr>
        <w:pStyle w:val="ListParagraph"/>
        <w:jc w:val="both"/>
      </w:pPr>
      <w:r>
        <w:rPr>
          <w:sz w:val="22"/>
          <w:szCs w:val="22"/>
        </w:rPr>
        <w:t xml:space="preserve">7. Ferrari, V., et al. (2016). Impaired emotion recognition is linked to alexithymia in heroin addicts. PeerJ, 4, e1864.</w:t>
      </w:r>
    </w:p>
    <w:p>
      <w:pPr>
        <w:pStyle w:val="ListParagraph"/>
        <w:jc w:val="both"/>
      </w:pPr>
      <w:r>
        <w:rPr>
          <w:sz w:val="22"/>
          <w:szCs w:val="22"/>
        </w:rPr>
        <w:t xml:space="preserve">8. Gratz, K. L., &amp; Roemer, L. (2004). Multidimensional assessment of emotion regulation and dysregulation: Development, factor structure, and initial validation of the DERS. Journal of Psychopathology and Behavioral Assessment, 26(1), 41-54.</w:t>
      </w:r>
    </w:p>
    <w:p>
      <w:pPr>
        <w:pStyle w:val="ListParagraph"/>
        <w:jc w:val="both"/>
      </w:pPr>
      <w:r>
        <w:rPr>
          <w:sz w:val="22"/>
          <w:szCs w:val="22"/>
        </w:rPr>
        <w:t xml:space="preserve">9. Hosseinzadeh Zoroufchi, B., et al. (2018). Alexithymia and self-esteem in a sample of opioid dependent males. International Journal of Mental Health and Addiction, 16, 1306-1316.</w:t>
      </w:r>
    </w:p>
    <w:p>
      <w:pPr>
        <w:pStyle w:val="ListParagraph"/>
        <w:jc w:val="both"/>
      </w:pPr>
      <w:r>
        <w:rPr>
          <w:sz w:val="22"/>
          <w:szCs w:val="22"/>
        </w:rPr>
        <w:t xml:space="preserve">10. Khantzian, E. J. (1997). The self-medication hypothesis of substance use disorders: A reconsideration and recent applications. Harvard Review of Psychiatry, 4(5), 231-244.</w:t>
      </w:r>
    </w:p>
    <w:p>
      <w:pPr>
        <w:pStyle w:val="ListParagraph"/>
        <w:jc w:val="both"/>
      </w:pPr>
      <w:r>
        <w:rPr>
          <w:sz w:val="22"/>
          <w:szCs w:val="22"/>
        </w:rPr>
        <w:t xml:space="preserve">11. Lane, R. D., &amp; Schwartz, G. E. (1987). Levels of emotional awareness: A cognitive-developmental theory and its application to psychopathology. American Journal of Psychiatry, 144(2), 133-143.</w:t>
      </w:r>
    </w:p>
    <w:p>
      <w:pPr>
        <w:pStyle w:val="ListParagraph"/>
        <w:jc w:val="both"/>
      </w:pPr>
      <w:r>
        <w:rPr>
          <w:sz w:val="22"/>
          <w:szCs w:val="22"/>
        </w:rPr>
        <w:t xml:space="preserve">12. Palma-Álvarez, R. F., et al. (2021). Alexithymia in patients with substance use disorders and its relationship with psychiatric comorbidities. Frontiers in Psychiatry, 12, 659063.</w:t>
      </w:r>
    </w:p>
    <w:p>
      <w:pPr>
        <w:pStyle w:val="ListParagraph"/>
        <w:jc w:val="both"/>
      </w:pPr>
      <w:r>
        <w:rPr>
          <w:sz w:val="22"/>
          <w:szCs w:val="22"/>
        </w:rPr>
        <w:t xml:space="preserve">13. Porcelli, P., &amp; Mihura, J. L. (2010). Assessment of alexithymia with the Rorschach Comprehensive System: The Rorschach Alexithymia Scale (RAS). Journal of Personality Assessment, 92(2), 128-136.</w:t>
      </w:r>
    </w:p>
    <w:p>
      <w:pPr>
        <w:pStyle w:val="ListParagraph"/>
        <w:jc w:val="both"/>
      </w:pPr>
      <w:r>
        <w:rPr>
          <w:sz w:val="22"/>
          <w:szCs w:val="22"/>
        </w:rPr>
        <w:t xml:space="preserve">14. Sifneos, P. E. (1973). The prevalence of 'alexithymic' characteristics in psychosomatic patients. Psychotherapy and Psychosomatics, 22(2-6), 255-262.</w:t>
      </w:r>
    </w:p>
    <w:p>
      <w:pPr>
        <w:pStyle w:val="ListParagraph"/>
        <w:jc w:val="both"/>
      </w:pPr>
      <w:r>
        <w:rPr>
          <w:sz w:val="22"/>
          <w:szCs w:val="22"/>
        </w:rPr>
        <w:t xml:space="preserve">15. Thorberg, F. A., et al. (2009). Alexithymia and alcohol use disorders: A critical review. Addictive Behaviors, 34(3), 237-245.</w:t>
      </w:r>
    </w:p>
    <w:p>
      <w:pPr>
        <w:pStyle w:val="ListParagraph"/>
        <w:jc w:val="both"/>
      </w:pPr>
      <w:r>
        <w:rPr>
          <w:sz w:val="22"/>
          <w:szCs w:val="22"/>
        </w:rPr>
        <w:t xml:space="preserve">16. Tull, M. T., et al. (2013). Alexithymia is linked to neurocognitive, psychological, neuroendocrine, and immune dysfunction in persons living with HIV. Brain, Behavior, and Immunity, 36, 165-175.</w:t>
      </w:r>
    </w:p>
    <w:p>
      <w:pPr>
        <w:pStyle w:val="ListParagraph"/>
        <w:jc w:val="both"/>
      </w:pPr>
      <w:r>
        <w:rPr>
          <w:sz w:val="22"/>
          <w:szCs w:val="22"/>
        </w:rPr>
        <w:t xml:space="preserve">17. Westen, D., et al. (2002). Social Cognition and Object Relations Scale: Manual for coding TAT data. Unpublished manuscript. Emory University.</w:t>
      </w:r>
    </w:p>
    <w:p>
      <w:pPr>
        <w:pStyle w:val="Heading2"/>
        <w:jc w:val="start"/>
      </w:pPr>
      <w:r>
        <w:rPr>
          <w:sz w:val="28"/>
          <w:szCs w:val="28"/>
          <w:b/>
        </w:rPr>
        <w:t xml:space="preserve">19. Research Prompt (For AI-Assisted Further Development)</w:t>
      </w:r>
    </w:p>
    <w:p>
      <w:pPr>
        <w:pStyle w:val="Normal"/>
        <w:jc w:val="both"/>
      </w:pPr>
      <w:r>
        <w:rPr>
          <w:sz w:val="22"/>
          <w:szCs w:val="22"/>
        </w:rPr>
        <w:t xml:space="preserve">Copy and use this prompt for further development of any section:</w:t>
      </w:r>
    </w:p>
    <w:p>
      <w:pPr>
        <w:pStyle w:val="Normal"/>
        <w:jc w:val="both"/>
      </w:pPr>
      <w:r>
        <w:rPr>
          <w:sz w:val="22"/>
          <w:szCs w:val="22"/>
        </w:rPr>
        <w:t xml:space="preserve">Act as a senior academic researcher and clinical psychologist with expertise in addiction psychology, psychodiagnostics (projective and psychometric assessment), de-addiction rehabilitation, and psychiatric research methodology.
I am an MPhil Clinical Psychology student. My research topic is:
"Effect of Emotion-Focused Skills Training on Alexithymia in Opioid-Dependent Individuals With and Without HIV: A Pilot Pretest-Posttest Study Using Psychometric and Projective Assessment"
Key Study Parameters:
- Population: Male opioid-dependent inpatients in a de-addiction facility (1-month admission)
- Groups: HIV-positive (n=30) vs. HIV-negative (n=30) opioid-dependent individuals
- Design: Pretest-Posttest pilot study with between-group comparison (HIV status)
- Intervention: 8-session Emotion-Focused Skills Training (EFST), delivered 2x/week over 4 weeks during inpatient stay
- Primary Variable: Alexithymia (measured by TAS-20)
- Secondary/Projective Assessment: Rorschach Inkblot Test (affect variables: Afr, FC:CF+C, WSumC, Blends, Lambda, SumShading) and TAT (SCORS-G Affective Quality dimension)
- Additional Measures: DERS (emotion regulation), BDI-II (depression control), SDS (dependence severity)
- Setting: Inpatient de-addiction ward, post-detoxification (Week 1 assessment → Weeks 2-3 intervention → Week 4 post-assessment)
- Statistical Analysis: 2×2 Mixed ANOVA (Group × Time), paired t-tests, correlations, effect sizes (Cohen's d)
- Theoretical Framework: Khantzian's self-medication hypothesis, Lane &amp; Schwartz levels of emotional awareness, HIV-opioid synergistic neurotoxicity model
Generate comprehensive, academically rigorous content for [SPECIFY SECTION] that is:
- Evidence-based and aligned with current research standards
- Specific to the above parameters (not generic)
- Suitable for MPhil dissertation level
- Formatted with clear academic structure
Output in formal academic tone with proper referencing style (APA 7th edition).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after="200" w:line="276" w:lineRule="auto"/>
    </w:pPr>
    <w:rPr>
      <w:rFonts w:ascii="Times New Roman" w:hAnsi="Times New Roman"/>
      <w:sz w:val="24"/>
      <w:szCs w:val="24"/>
    </w:rPr>
  </w:style>
  <w:style w:type="paragraph" w:styleId="Heading1">
    <w:name w:val="heading 1"/>
    <w:basedOn w:val="Normal"/>
    <w:pPr>
      <w:spacing w:before="480" w:after="240"/>
      <w:jc w:val="center"/>
    </w:pPr>
    <w:rPr>
      <w:rFonts w:ascii="Times New Roman" w:hAnsi="Times New Roman"/>
      <w:b/>
      <w:sz w:val="36"/>
      <w:szCs w:val="36"/>
      <w:color w:val="1A237E"/>
    </w:rPr>
  </w:style>
  <w:style w:type="paragraph" w:styleId="Heading2">
    <w:name w:val="heading 2"/>
    <w:basedOn w:val="Normal"/>
    <w:pPr>
      <w:spacing w:before="360" w:after="120"/>
    </w:pPr>
    <w:rPr>
      <w:rFonts w:ascii="Times New Roman" w:hAnsi="Times New Roman"/>
      <w:b/>
      <w:sz w:val="28"/>
      <w:szCs w:val="28"/>
      <w:color w:val="1A237E"/>
    </w:rPr>
  </w:style>
  <w:style w:type="paragraph" w:styleId="Heading3">
    <w:name w:val="heading 3"/>
    <w:basedOn w:val="Normal"/>
    <w:pPr>
      <w:spacing w:before="240" w:after="120"/>
    </w:pPr>
    <w:rPr>
      <w:rFonts w:ascii="Times New Roman" w:hAnsi="Times New Roman"/>
      <w:b/>
      <w:sz w:val="24"/>
      <w:szCs w:val="24"/>
      <w:color w:val="283593"/>
    </w:rPr>
  </w:style>
  <w:style w:type="paragraph" w:styleId="ListParagraph">
    <w:name w:val="List Paragraph"/>
    <w:basedOn w:val="Normal"/>
    <w:pPr>
      <w:ind w:left="720"/>
      <w:spacing w:after="120"/>
    </w:pPr>
    <w:rPr>
      <w:rFonts w:ascii="Times New Roman" w:hAnsi="Times New Roman"/>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