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0F3778"/>
          <w:sz w:val="36"/>
        </w:rPr>
        <w:t>Research Paper Options — Next Paper Planning</w:t>
      </w:r>
    </w:p>
    <w:p>
      <w:pPr>
        <w:spacing w:after="240"/>
        <w:jc w:val="center"/>
      </w:pPr>
      <w:r>
        <w:rPr>
          <w:rFonts w:ascii="Calibri" w:hAnsi="Calibri"/>
          <w:b w:val="0"/>
          <w:color w:val="787878"/>
          <w:sz w:val="20"/>
        </w:rPr>
        <w:t>Prepared: July 28, 2026  |  Author: Avanish Kasar</w:t>
      </w:r>
    </w:p>
    <w:p/>
    <w:p>
      <w:pPr>
        <w:spacing w:before="280" w:after="80"/>
        <w:jc w:val="left"/>
      </w:pPr>
      <w:r>
        <w:rPr>
          <w:rFonts w:ascii="Calibri" w:hAnsi="Calibri"/>
          <w:b/>
          <w:color w:val="1E5AA0"/>
          <w:sz w:val="28"/>
        </w:rPr>
        <w:t>SECTION A: Three Candidate Papers</w:t>
      </w:r>
    </w:p>
    <w:p>
      <w:pPr>
        <w:spacing w:before="40" w:after="40"/>
      </w:pPr>
      <w:r>
        <w:rPr>
          <w:rFonts w:ascii="Calibri" w:hAnsi="Calibri"/>
          <w:b w:val="0"/>
          <w:color w:val="B4B4B4"/>
          <w:sz w:val="18"/>
        </w:rPr>
        <w:t>────────────────────────────────────────────────────────────────────────────────</w:t>
      </w:r>
    </w:p>
    <w:p>
      <w:pPr>
        <w:spacing w:before="160" w:after="80"/>
        <w:jc w:val="left"/>
      </w:pPr>
      <w:r>
        <w:rPr>
          <w:rFonts w:ascii="Calibri" w:hAnsi="Calibri"/>
          <w:b/>
          <w:color w:val="B43C00"/>
          <w:sz w:val="24"/>
        </w:rPr>
        <w:t>Paper 1 — Kolmogorov-Arnold Networks (KAN)</w:t>
      </w:r>
    </w:p>
    <w:p>
      <w:pPr>
        <w:spacing w:before="40" w:after="40"/>
      </w:pPr>
      <w:r>
        <w:rPr>
          <w:rFonts w:ascii="Calibri" w:hAnsi="Calibri"/>
          <w:b/>
          <w:color w:val="006699"/>
          <w:sz w:val="22"/>
        </w:rPr>
        <w:t xml:space="preserve">Reference: </w:t>
      </w:r>
      <w:r>
        <w:rPr>
          <w:rFonts w:ascii="Calibri" w:hAnsi="Calibri"/>
          <w:b w:val="0"/>
          <w:sz w:val="22"/>
        </w:rPr>
        <w:t>Liu et al., MIT — "KAN: Kolmogorov-Arnold Networks" (ICLR 2025 | arXiv: 2404.19756)</w:t>
      </w:r>
    </w:p>
    <w:p>
      <w:pPr>
        <w:spacing w:before="40" w:after="40"/>
      </w:pPr>
      <w:r>
        <w:rPr>
          <w:rFonts w:ascii="Calibri" w:hAnsi="Calibri"/>
          <w:b/>
          <w:color w:val="006699"/>
          <w:sz w:val="22"/>
        </w:rPr>
        <w:t xml:space="preserve">Source Code: </w:t>
      </w:r>
      <w:r>
        <w:rPr>
          <w:rFonts w:ascii="Calibri" w:hAnsi="Calibri"/>
          <w:b w:val="0"/>
          <w:sz w:val="22"/>
        </w:rPr>
        <w:t>github.com/KindXiaoming/pykan  ✅ Full code available</w:t>
      </w:r>
    </w:p>
    <w:p>
      <w:pPr>
        <w:spacing w:before="40" w:after="40"/>
      </w:pPr>
      <w:r>
        <w:rPr>
          <w:rFonts w:ascii="Calibri" w:hAnsi="Calibri"/>
          <w:b/>
          <w:color w:val="006699"/>
          <w:sz w:val="22"/>
        </w:rPr>
        <w:t xml:space="preserve">Description: </w:t>
      </w:r>
      <w:r>
        <w:rPr>
          <w:rFonts w:ascii="Calibri" w:hAnsi="Calibri"/>
          <w:b w:val="0"/>
          <w:sz w:val="22"/>
        </w:rPr>
      </w:r>
    </w:p>
    <w:p>
      <w:pPr>
        <w:spacing w:before="40" w:after="80"/>
      </w:pPr>
      <w:r>
        <w:rPr>
          <w:rFonts w:ascii="Calibri" w:hAnsi="Calibri"/>
          <w:b w:val="0"/>
          <w:i w:val="0"/>
          <w:sz w:val="22"/>
        </w:rPr>
        <w:t>KAN introduces a fundamentally new neural network architecture that replaces the fixed activation functions of traditional MLPs with learnable univariate functions placed on the edges between nodes. This makes the network more mathematically interpretable and often more parameter-efficient for structured, non-linear data. Accepted at ICLR 2025 and one of the most talked-about architecture innovations in recent AI research.</w:t>
      </w:r>
    </w:p>
    <w:p>
      <w:pPr>
        <w:spacing w:before="40" w:after="40"/>
      </w:pPr>
      <w:r>
        <w:rPr>
          <w:rFonts w:ascii="Calibri" w:hAnsi="Calibri"/>
          <w:b/>
          <w:color w:val="006699"/>
          <w:sz w:val="22"/>
        </w:rPr>
        <w:t xml:space="preserve">What the paper does: </w:t>
      </w:r>
      <w:r>
        <w:rPr>
          <w:rFonts w:ascii="Calibri" w:hAnsi="Calibri"/>
          <w:b w:val="0"/>
          <w:sz w:val="22"/>
        </w:rPr>
      </w:r>
    </w:p>
    <w:p>
      <w:pPr>
        <w:spacing w:before="40" w:after="80"/>
      </w:pPr>
      <w:r>
        <w:rPr>
          <w:rFonts w:ascii="Calibri" w:hAnsi="Calibri"/>
          <w:b w:val="0"/>
          <w:i w:val="0"/>
          <w:sz w:val="22"/>
        </w:rPr>
        <w:t>The paper proves that any continuous multivariate function can be decomposed into a composition of simpler univariate functions (Kolmogorov-Arnold Theorem), then builds a trainable neural network around this idea. It shows KAN outperforms MLPs of the same size on scientific datasets while producing human-readable symbolic formulas from the learned functions.</w:t>
      </w:r>
    </w:p>
    <w:p>
      <w:pPr>
        <w:spacing w:before="40" w:after="40"/>
      </w:pPr>
      <w:r>
        <w:rPr>
          <w:rFonts w:ascii="Calibri" w:hAnsi="Calibri"/>
          <w:b/>
          <w:color w:val="006699"/>
          <w:sz w:val="22"/>
        </w:rPr>
        <w:t xml:space="preserve">What we will do differently: </w:t>
      </w:r>
      <w:r>
        <w:rPr>
          <w:rFonts w:ascii="Calibri" w:hAnsi="Calibri"/>
          <w:b w:val="0"/>
          <w:sz w:val="22"/>
        </w:rPr>
      </w:r>
    </w:p>
    <w:p>
      <w:pPr>
        <w:spacing w:before="40" w:after="80"/>
      </w:pPr>
      <w:r>
        <w:rPr>
          <w:rFonts w:ascii="Calibri" w:hAnsi="Calibri"/>
          <w:b w:val="0"/>
          <w:i/>
          <w:sz w:val="22"/>
        </w:rPr>
        <w:t>Apply KAN to a new domain — such as energy load or clinical vital-sign time series — and compare it against XGBoost (our Paper 1 baseline) and a standard LSTM. We will evaluate whether KAN's interpretability advantage over black-box deep learning translates into measurable accuracy gains on real-world sequential data, which the original paper does not test.</w:t>
      </w:r>
    </w:p>
    <w:p/>
    <w:p>
      <w:pPr>
        <w:spacing w:before="160" w:after="80"/>
        <w:jc w:val="left"/>
      </w:pPr>
      <w:r>
        <w:rPr>
          <w:rFonts w:ascii="Calibri" w:hAnsi="Calibri"/>
          <w:b/>
          <w:color w:val="007832"/>
          <w:sz w:val="24"/>
        </w:rPr>
        <w:t>Paper 2 — PatchTST / iTransformer (Transformer for Time Series)</w:t>
      </w:r>
    </w:p>
    <w:p>
      <w:pPr>
        <w:spacing w:before="40" w:after="40"/>
      </w:pPr>
      <w:r>
        <w:rPr>
          <w:rFonts w:ascii="Calibri" w:hAnsi="Calibri"/>
          <w:b/>
          <w:color w:val="006699"/>
          <w:sz w:val="22"/>
        </w:rPr>
        <w:t xml:space="preserve">References: </w:t>
      </w:r>
      <w:r>
        <w:rPr>
          <w:rFonts w:ascii="Calibri" w:hAnsi="Calibri"/>
          <w:b w:val="0"/>
          <w:sz w:val="22"/>
        </w:rPr>
        <w:t>Nie et al., "A Time Series is Worth 64 Words: PatchTST" (ICLR 2023 | arXiv: 2211.14730)</w:t>
        <w:br/>
        <w:t xml:space="preserve">           Liu et al., "iTransformer" (ICLR 2024 | arXiv: 2310.06625)</w:t>
      </w:r>
    </w:p>
    <w:p>
      <w:pPr>
        <w:spacing w:before="40" w:after="40"/>
      </w:pPr>
      <w:r>
        <w:rPr>
          <w:rFonts w:ascii="Calibri" w:hAnsi="Calibri"/>
          <w:b/>
          <w:color w:val="006699"/>
          <w:sz w:val="22"/>
        </w:rPr>
        <w:t xml:space="preserve">Source Code: </w:t>
      </w:r>
      <w:r>
        <w:rPr>
          <w:rFonts w:ascii="Calibri" w:hAnsi="Calibri"/>
          <w:b w:val="0"/>
          <w:sz w:val="22"/>
        </w:rPr>
        <w:t>github.com/yuqinie98/PatchTST  ✅  |  github.com/thuml/iTransformer  ✅</w:t>
      </w:r>
    </w:p>
    <w:p>
      <w:pPr>
        <w:spacing w:before="40" w:after="40"/>
      </w:pPr>
      <w:r>
        <w:rPr>
          <w:rFonts w:ascii="Calibri" w:hAnsi="Calibri"/>
          <w:b/>
          <w:color w:val="006699"/>
          <w:sz w:val="22"/>
        </w:rPr>
        <w:t xml:space="preserve">Description: </w:t>
      </w:r>
      <w:r>
        <w:rPr>
          <w:rFonts w:ascii="Calibri" w:hAnsi="Calibri"/>
          <w:b w:val="0"/>
          <w:sz w:val="22"/>
        </w:rPr>
      </w:r>
    </w:p>
    <w:p>
      <w:pPr>
        <w:spacing w:before="40" w:after="80"/>
      </w:pPr>
      <w:r>
        <w:rPr>
          <w:rFonts w:ascii="Calibri" w:hAnsi="Calibri"/>
          <w:b w:val="0"/>
          <w:i w:val="0"/>
          <w:sz w:val="22"/>
        </w:rPr>
        <w:t>PatchTST adapts the Transformer (the same architecture behind ChatGPT) for time series by treating fixed-length segments ('patches') of the series as 'tokens', similar to words in a sentence. iTransformer takes a different angle, inverting the attention mechanism so it operates across multiple variables (channels) rather than across time steps. Both models set new state-of-the-art benchmarks on standard long-horizon forecasting tasks.</w:t>
      </w:r>
    </w:p>
    <w:p>
      <w:pPr>
        <w:spacing w:before="40" w:after="40"/>
      </w:pPr>
      <w:r>
        <w:rPr>
          <w:rFonts w:ascii="Calibri" w:hAnsi="Calibri"/>
          <w:b/>
          <w:color w:val="006699"/>
          <w:sz w:val="22"/>
        </w:rPr>
        <w:t xml:space="preserve">What the paper does: </w:t>
      </w:r>
      <w:r>
        <w:rPr>
          <w:rFonts w:ascii="Calibri" w:hAnsi="Calibri"/>
          <w:b w:val="0"/>
          <w:sz w:val="22"/>
        </w:rPr>
      </w:r>
    </w:p>
    <w:p>
      <w:pPr>
        <w:spacing w:before="40" w:after="80"/>
      </w:pPr>
      <w:r>
        <w:rPr>
          <w:rFonts w:ascii="Calibri" w:hAnsi="Calibri"/>
          <w:b w:val="0"/>
          <w:i w:val="0"/>
          <w:sz w:val="22"/>
        </w:rPr>
        <w:t>PatchTST demonstrates that patching + channel-independence drastically reduces the sequence length the Transformer must process, improving both speed and accuracy. iTransformer shows that attending across variates first captures inter-variable correlations that purely temporal attention misses. Both papers include comprehensive benchmarks across ETT, Weather, and Traffic datasets.</w:t>
      </w:r>
    </w:p>
    <w:p>
      <w:pPr>
        <w:spacing w:before="40" w:after="40"/>
      </w:pPr>
      <w:r>
        <w:rPr>
          <w:rFonts w:ascii="Calibri" w:hAnsi="Calibri"/>
          <w:b/>
          <w:color w:val="006699"/>
          <w:sz w:val="22"/>
        </w:rPr>
        <w:t xml:space="preserve">What we will do differently: </w:t>
      </w:r>
      <w:r>
        <w:rPr>
          <w:rFonts w:ascii="Calibri" w:hAnsi="Calibri"/>
          <w:b w:val="0"/>
          <w:sz w:val="22"/>
        </w:rPr>
      </w:r>
    </w:p>
    <w:p>
      <w:pPr>
        <w:spacing w:before="40" w:after="80"/>
      </w:pPr>
      <w:r>
        <w:rPr>
          <w:rFonts w:ascii="Calibri" w:hAnsi="Calibri"/>
          <w:b w:val="0"/>
          <w:i/>
          <w:sz w:val="22"/>
        </w:rPr>
        <w:t>Apply these architectures to a new, underexplored domain (e.g., air quality index prediction, hospital patient vitals, or electricity grid data for an Indian city). We will benchmark both PatchTST and iTransformer against our XGBoost baseline and a standard LSTM, providing an applied comparison in a domain where no such study currently exists.</w:t>
      </w:r>
    </w:p>
    <w:p/>
    <w:p>
      <w:pPr>
        <w:spacing w:before="160" w:after="80"/>
        <w:jc w:val="left"/>
      </w:pPr>
      <w:r>
        <w:rPr>
          <w:rFonts w:ascii="Calibri" w:hAnsi="Calibri"/>
          <w:b/>
          <w:color w:val="6400A0"/>
          <w:sz w:val="24"/>
        </w:rPr>
        <w:t>Paper 3 — CastFlow (Agentic Forecasting Framework)</w:t>
      </w:r>
    </w:p>
    <w:p>
      <w:pPr>
        <w:spacing w:before="40" w:after="40"/>
      </w:pPr>
      <w:r>
        <w:rPr>
          <w:rFonts w:ascii="Calibri" w:hAnsi="Calibri"/>
          <w:b/>
          <w:color w:val="006699"/>
          <w:sz w:val="22"/>
        </w:rPr>
        <w:t xml:space="preserve">Reference: </w:t>
      </w:r>
      <w:r>
        <w:rPr>
          <w:rFonts w:ascii="Calibri" w:hAnsi="Calibri"/>
          <w:b w:val="0"/>
          <w:sz w:val="22"/>
        </w:rPr>
        <w:t>"CastFlow: A Dynamic Agentic Forecasting Framework" (arXiv 2026, cs.LG)</w:t>
      </w:r>
    </w:p>
    <w:p>
      <w:pPr>
        <w:spacing w:before="40" w:after="40"/>
      </w:pPr>
      <w:r>
        <w:rPr>
          <w:rFonts w:ascii="Calibri" w:hAnsi="Calibri"/>
          <w:b/>
          <w:color w:val="006699"/>
          <w:sz w:val="22"/>
        </w:rPr>
        <w:t xml:space="preserve">Source Code: </w:t>
      </w:r>
      <w:r>
        <w:rPr>
          <w:rFonts w:ascii="Calibri" w:hAnsi="Calibri"/>
          <w:b w:val="0"/>
          <w:sz w:val="22"/>
        </w:rPr>
        <w:t>arXiv 2026 — code link in paper  ⚠️ Partial / in-progress</w:t>
      </w:r>
    </w:p>
    <w:p>
      <w:pPr>
        <w:spacing w:before="40" w:after="40"/>
      </w:pPr>
      <w:r>
        <w:rPr>
          <w:rFonts w:ascii="Calibri" w:hAnsi="Calibri"/>
          <w:b/>
          <w:color w:val="006699"/>
          <w:sz w:val="22"/>
        </w:rPr>
        <w:t xml:space="preserve">Description: </w:t>
      </w:r>
      <w:r>
        <w:rPr>
          <w:rFonts w:ascii="Calibri" w:hAnsi="Calibri"/>
          <w:b w:val="0"/>
          <w:sz w:val="22"/>
        </w:rPr>
      </w:r>
    </w:p>
    <w:p>
      <w:pPr>
        <w:spacing w:before="40" w:after="80"/>
      </w:pPr>
      <w:r>
        <w:rPr>
          <w:rFonts w:ascii="Calibri" w:hAnsi="Calibri"/>
          <w:b w:val="0"/>
          <w:i w:val="0"/>
          <w:sz w:val="22"/>
        </w:rPr>
        <w:t>CastFlow introduces an agentic AI system for time-series forecasting where a general-purpose LLM acts as a 'planner' that decides which deep learning model to run, monitors the output quality, and autonomously retries with a different strategy if the forecast is poor. It implements a Plan → Act → Forecast → Reflect loop, effectively turning forecasting into an autonomous workflow rather than a fixed pipeline.</w:t>
      </w:r>
    </w:p>
    <w:p>
      <w:pPr>
        <w:spacing w:before="40" w:after="40"/>
      </w:pPr>
      <w:r>
        <w:rPr>
          <w:rFonts w:ascii="Calibri" w:hAnsi="Calibri"/>
          <w:b/>
          <w:color w:val="006699"/>
          <w:sz w:val="22"/>
        </w:rPr>
        <w:t xml:space="preserve">What the paper does: </w:t>
      </w:r>
      <w:r>
        <w:rPr>
          <w:rFonts w:ascii="Calibri" w:hAnsi="Calibri"/>
          <w:b w:val="0"/>
          <w:sz w:val="22"/>
        </w:rPr>
      </w:r>
    </w:p>
    <w:p>
      <w:pPr>
        <w:spacing w:before="40" w:after="80"/>
      </w:pPr>
      <w:r>
        <w:rPr>
          <w:rFonts w:ascii="Calibri" w:hAnsi="Calibri"/>
          <w:b w:val="0"/>
          <w:i w:val="0"/>
          <w:sz w:val="22"/>
        </w:rPr>
        <w:t>The paper proposes role-specialized design: a reasoning LLM selects strategies and a fine-tuned domain-specific neural network handles the actual numerical prediction. Results show agentic workflows improve robustness on distribution-shifted and noisy data compared to static single-model approaches.</w:t>
      </w:r>
    </w:p>
    <w:p>
      <w:pPr>
        <w:spacing w:before="40" w:after="40"/>
      </w:pPr>
      <w:r>
        <w:rPr>
          <w:rFonts w:ascii="Calibri" w:hAnsi="Calibri"/>
          <w:b/>
          <w:color w:val="006699"/>
          <w:sz w:val="22"/>
        </w:rPr>
        <w:t xml:space="preserve">What we will do differently: </w:t>
      </w:r>
      <w:r>
        <w:rPr>
          <w:rFonts w:ascii="Calibri" w:hAnsi="Calibri"/>
          <w:b w:val="0"/>
          <w:sz w:val="22"/>
        </w:rPr>
      </w:r>
    </w:p>
    <w:p>
      <w:pPr>
        <w:spacing w:before="40" w:after="80"/>
      </w:pPr>
      <w:r>
        <w:rPr>
          <w:rFonts w:ascii="Calibri" w:hAnsi="Calibri"/>
          <w:b w:val="0"/>
          <w:i/>
          <w:sz w:val="22"/>
        </w:rPr>
        <w:t>Build an open-source, lightweight version of this framework using freely available tools (LangGraph + PyTorch). Swap the closed-API LLM for an open-source model (e.g., LLaMA-3 or Gemini API). Apply the framework to a new domain dataset, add an explainability step where the agent also generates a written natural-language report, and compare agentic vs. non-agentic deep learning performance side-by-side.</w:t>
      </w:r>
    </w:p>
    <w:p/>
    <w:p>
      <w:pPr>
        <w:spacing w:before="40" w:after="40"/>
      </w:pPr>
      <w:r>
        <w:rPr>
          <w:rFonts w:ascii="Calibri" w:hAnsi="Calibri"/>
          <w:b w:val="0"/>
          <w:color w:val="B4B4B4"/>
          <w:sz w:val="18"/>
        </w:rPr>
        <w:t>────────────────────────────────────────────────────────────────────────────────</w:t>
      </w:r>
    </w:p>
    <w:p/>
    <w:p>
      <w:pPr>
        <w:spacing w:before="280" w:after="80"/>
        <w:jc w:val="left"/>
      </w:pPr>
      <w:r>
        <w:rPr>
          <w:rFonts w:ascii="Calibri" w:hAnsi="Calibri"/>
          <w:b/>
          <w:color w:val="1E5AA0"/>
          <w:sz w:val="28"/>
        </w:rPr>
        <w:t>SECTION B: 4 Options — Combining Paper 2 + Paper 3 into One Final Paper</w:t>
      </w:r>
    </w:p>
    <w:p>
      <w:pPr>
        <w:spacing w:before="40" w:after="40"/>
      </w:pPr>
      <w:r>
        <w:rPr>
          <w:rFonts w:ascii="Calibri" w:hAnsi="Calibri"/>
          <w:b w:val="0"/>
          <w:color w:val="B4B4B4"/>
          <w:sz w:val="18"/>
        </w:rPr>
        <w:t>────────────────────────────────────────────────────────────────────────────────</w:t>
      </w:r>
    </w:p>
    <w:p>
      <w:pPr>
        <w:spacing w:after="240"/>
      </w:pPr>
      <w:r>
        <w:rPr>
          <w:rFonts w:ascii="Calibri" w:hAnsi="Calibri"/>
          <w:b w:val="0"/>
          <w:i/>
          <w:color w:val="505050"/>
          <w:sz w:val="22"/>
        </w:rPr>
        <w:t>The following four options each combine the deep learning architecture of Paper 2 (Transformers for time series) with the agentic workflow of Paper 3 (CastFlow). Each option targets a different domain and contribution angle.</w:t>
      </w:r>
    </w:p>
    <w:p>
      <w:pPr>
        <w:spacing w:before="160" w:after="80"/>
        <w:jc w:val="left"/>
      </w:pPr>
      <w:r>
        <w:rPr>
          <w:rFonts w:ascii="Calibri" w:hAnsi="Calibri"/>
          <w:b/>
          <w:color w:val="C86400"/>
          <w:sz w:val="24"/>
        </w:rPr>
        <w:t>Option 1 — Agentic Energy Load Forecasting</w:t>
      </w:r>
    </w:p>
    <w:p>
      <w:pPr>
        <w:spacing w:before="40" w:after="40"/>
      </w:pPr>
      <w:r>
        <w:rPr>
          <w:rFonts w:ascii="Calibri" w:hAnsi="Calibri"/>
          <w:b/>
          <w:color w:val="006699"/>
          <w:sz w:val="22"/>
        </w:rPr>
        <w:t xml:space="preserve">Draft Title: </w:t>
      </w:r>
      <w:r>
        <w:rPr>
          <w:rFonts w:ascii="Calibri" w:hAnsi="Calibri"/>
          <w:b w:val="0"/>
          <w:sz w:val="22"/>
        </w:rPr>
        <w:t>"An Agentic Deep Learning Framework for Autonomous Electricity Load Forecasting Using Transformer Architectures"</w:t>
      </w:r>
    </w:p>
    <w:p>
      <w:pPr>
        <w:spacing w:before="40" w:after="40"/>
      </w:pPr>
      <w:r>
        <w:rPr>
          <w:rFonts w:ascii="Calibri" w:hAnsi="Calibri"/>
          <w:b/>
          <w:color w:val="006699"/>
          <w:sz w:val="22"/>
        </w:rPr>
        <w:t xml:space="preserve">Domain: </w:t>
      </w:r>
      <w:r>
        <w:rPr>
          <w:rFonts w:ascii="Calibri" w:hAnsi="Calibri"/>
          <w:b w:val="0"/>
          <w:sz w:val="22"/>
        </w:rPr>
        <w:t>Energy / Smart Grid (completely new domain, huge public datasets available)</w:t>
      </w:r>
    </w:p>
    <w:p>
      <w:pPr>
        <w:spacing w:before="40" w:after="40"/>
      </w:pPr>
      <w:r>
        <w:rPr>
          <w:rFonts w:ascii="Calibri" w:hAnsi="Calibri"/>
          <w:b/>
          <w:color w:val="006699"/>
          <w:sz w:val="22"/>
        </w:rPr>
        <w:t xml:space="preserve">What you build: </w:t>
      </w:r>
      <w:r>
        <w:rPr>
          <w:rFonts w:ascii="Calibri" w:hAnsi="Calibri"/>
          <w:b w:val="0"/>
          <w:sz w:val="22"/>
        </w:rPr>
      </w:r>
    </w:p>
    <w:p>
      <w:pPr>
        <w:spacing w:before="40" w:after="80"/>
      </w:pPr>
      <w:r>
        <w:rPr>
          <w:rFonts w:ascii="Calibri" w:hAnsi="Calibri"/>
          <w:b w:val="0"/>
          <w:i w:val="0"/>
          <w:sz w:val="22"/>
        </w:rPr>
        <w:t>Build a LangGraph-based agent that autonomously decides between PatchTST and iTransformer based on input data characteristics (e.g., how long the forecast horizon is). The agent also fetches real-time weather features as external context, runs the selected model, and generates a plain-English summary of predicted peak load hours — useful for grid operators.</w:t>
      </w:r>
    </w:p>
    <w:p>
      <w:pPr>
        <w:spacing w:before="40" w:after="40"/>
      </w:pPr>
      <w:r>
        <w:rPr>
          <w:rFonts w:ascii="Calibri" w:hAnsi="Calibri"/>
          <w:b/>
          <w:color w:val="006699"/>
          <w:sz w:val="22"/>
        </w:rPr>
        <w:t xml:space="preserve">Key Contribution: </w:t>
      </w:r>
      <w:r>
        <w:rPr>
          <w:rFonts w:ascii="Calibri" w:hAnsi="Calibri"/>
          <w:b w:val="0"/>
          <w:sz w:val="22"/>
        </w:rPr>
      </w:r>
    </w:p>
    <w:p>
      <w:pPr>
        <w:spacing w:before="40" w:after="80"/>
      </w:pPr>
      <w:r>
        <w:rPr>
          <w:rFonts w:ascii="Calibri" w:hAnsi="Calibri"/>
          <w:b w:val="0"/>
          <w:i/>
          <w:sz w:val="22"/>
        </w:rPr>
        <w:t>First study to combine iTransformer/PatchTST with an autonomous agentic model-selection pipeline in the smart grid domain. Demonstrates that agentic model selection reduces MAPE by dynamically matching model architecture to data patterns.</w:t>
      </w:r>
    </w:p>
    <w:p>
      <w:pPr>
        <w:spacing w:before="40" w:after="40"/>
      </w:pPr>
      <w:r>
        <w:rPr>
          <w:rFonts w:ascii="Calibri" w:hAnsi="Calibri"/>
          <w:b/>
          <w:color w:val="006699"/>
          <w:sz w:val="22"/>
        </w:rPr>
        <w:t xml:space="preserve">Datasets: </w:t>
      </w:r>
      <w:r>
        <w:rPr>
          <w:rFonts w:ascii="Calibri" w:hAnsi="Calibri"/>
          <w:b w:val="0"/>
          <w:sz w:val="22"/>
        </w:rPr>
        <w:t>UCI Electricity, ETT (Electricity Transformer Temperature), AEMO (Australia grid)</w:t>
      </w:r>
    </w:p>
    <w:p>
      <w:pPr>
        <w:spacing w:before="40" w:after="40"/>
      </w:pPr>
      <w:r>
        <w:rPr>
          <w:rFonts w:ascii="Calibri" w:hAnsi="Calibri"/>
          <w:b/>
          <w:color w:val="006699"/>
          <w:sz w:val="22"/>
        </w:rPr>
        <w:t xml:space="preserve">Feasibility: </w:t>
      </w:r>
      <w:r>
        <w:rPr>
          <w:rFonts w:ascii="Calibri" w:hAnsi="Calibri"/>
          <w:b w:val="0"/>
          <w:sz w:val="22"/>
        </w:rPr>
        <w:t>⭐⭐⭐ Medium — all datasets public, Colab friendly</w:t>
      </w:r>
    </w:p>
    <w:p>
      <w:pPr>
        <w:spacing w:before="40" w:after="40"/>
      </w:pPr>
      <w:r>
        <w:rPr>
          <w:rFonts w:ascii="Calibri" w:hAnsi="Calibri"/>
          <w:b/>
          <w:color w:val="006699"/>
          <w:sz w:val="22"/>
        </w:rPr>
        <w:t xml:space="preserve">Target Journal: </w:t>
      </w:r>
      <w:r>
        <w:rPr>
          <w:rFonts w:ascii="Calibri" w:hAnsi="Calibri"/>
          <w:b w:val="0"/>
          <w:sz w:val="22"/>
        </w:rPr>
        <w:t>Applied Energy, Energy &amp; AI, IEEE Transactions on Smart Grid</w:t>
      </w:r>
    </w:p>
    <w:p/>
    <w:p>
      <w:pPr>
        <w:spacing w:before="160" w:after="80"/>
        <w:jc w:val="left"/>
      </w:pPr>
      <w:r>
        <w:rPr>
          <w:rFonts w:ascii="Calibri" w:hAnsi="Calibri"/>
          <w:b/>
          <w:color w:val="008250"/>
          <w:sz w:val="24"/>
        </w:rPr>
        <w:t>Option 2 — Agentic Clinical Vital Signs Monitoring</w:t>
      </w:r>
    </w:p>
    <w:p>
      <w:pPr>
        <w:spacing w:before="40" w:after="40"/>
      </w:pPr>
      <w:r>
        <w:rPr>
          <w:rFonts w:ascii="Calibri" w:hAnsi="Calibri"/>
          <w:b/>
          <w:color w:val="006699"/>
          <w:sz w:val="22"/>
        </w:rPr>
        <w:t xml:space="preserve">Draft Title: </w:t>
      </w:r>
      <w:r>
        <w:rPr>
          <w:rFonts w:ascii="Calibri" w:hAnsi="Calibri"/>
          <w:b w:val="0"/>
          <w:sz w:val="22"/>
        </w:rPr>
        <w:t>"AutoClinical-Agent: An Autonomous Transformer-Based System for Patient Vital Sign Forecasting and Alert Generation in ICUs"</w:t>
      </w:r>
    </w:p>
    <w:p>
      <w:pPr>
        <w:spacing w:before="40" w:after="40"/>
      </w:pPr>
      <w:r>
        <w:rPr>
          <w:rFonts w:ascii="Calibri" w:hAnsi="Calibri"/>
          <w:b/>
          <w:color w:val="006699"/>
          <w:sz w:val="22"/>
        </w:rPr>
        <w:t xml:space="preserve">Domain: </w:t>
      </w:r>
      <w:r>
        <w:rPr>
          <w:rFonts w:ascii="Calibri" w:hAnsi="Calibri"/>
          <w:b w:val="0"/>
          <w:sz w:val="22"/>
        </w:rPr>
        <w:t>Healthcare / Medical Informatics (high-impact, fast publication)</w:t>
      </w:r>
    </w:p>
    <w:p>
      <w:pPr>
        <w:spacing w:before="40" w:after="40"/>
      </w:pPr>
      <w:r>
        <w:rPr>
          <w:rFonts w:ascii="Calibri" w:hAnsi="Calibri"/>
          <w:b/>
          <w:color w:val="006699"/>
          <w:sz w:val="22"/>
        </w:rPr>
        <w:t xml:space="preserve">What you build: </w:t>
      </w:r>
      <w:r>
        <w:rPr>
          <w:rFonts w:ascii="Calibri" w:hAnsi="Calibri"/>
          <w:b w:val="0"/>
          <w:sz w:val="22"/>
        </w:rPr>
      </w:r>
    </w:p>
    <w:p>
      <w:pPr>
        <w:spacing w:before="40" w:after="80"/>
      </w:pPr>
      <w:r>
        <w:rPr>
          <w:rFonts w:ascii="Calibri" w:hAnsi="Calibri"/>
          <w:b w:val="0"/>
          <w:i w:val="0"/>
          <w:sz w:val="22"/>
        </w:rPr>
        <w:t>A multi-agent system where PatchTST forecasts the next 6-hour trajectory of patient vitals (heart rate, blood pressure, SpO2). A second 'critic' agent monitors the forecast and triggers an alert if the prediction crosses a clinical threshold (e.g., SpO2 &lt; 90%). A third agent generates a written clinical note: 'Patient #42 shows elevated HR trend, recommend review.'</w:t>
      </w:r>
    </w:p>
    <w:p>
      <w:pPr>
        <w:spacing w:before="40" w:after="40"/>
      </w:pPr>
      <w:r>
        <w:rPr>
          <w:rFonts w:ascii="Calibri" w:hAnsi="Calibri"/>
          <w:b/>
          <w:color w:val="006699"/>
          <w:sz w:val="22"/>
        </w:rPr>
        <w:t xml:space="preserve">Key Contribution: </w:t>
      </w:r>
      <w:r>
        <w:rPr>
          <w:rFonts w:ascii="Calibri" w:hAnsi="Calibri"/>
          <w:b w:val="0"/>
          <w:sz w:val="22"/>
        </w:rPr>
      </w:r>
    </w:p>
    <w:p>
      <w:pPr>
        <w:spacing w:before="40" w:after="80"/>
      </w:pPr>
      <w:r>
        <w:rPr>
          <w:rFonts w:ascii="Calibri" w:hAnsi="Calibri"/>
          <w:b w:val="0"/>
          <w:i/>
          <w:sz w:val="22"/>
        </w:rPr>
        <w:t>First agentic pipeline integrating Transformer-based forecasting with rule-based clinical alerting and automatic report generation. Bridges the gap between ML prediction and actionable clinical decision support, a widely cited research gap in medical AI literature.</w:t>
      </w:r>
    </w:p>
    <w:p>
      <w:pPr>
        <w:spacing w:before="40" w:after="40"/>
      </w:pPr>
      <w:r>
        <w:rPr>
          <w:rFonts w:ascii="Calibri" w:hAnsi="Calibri"/>
          <w:b/>
          <w:color w:val="006699"/>
          <w:sz w:val="22"/>
        </w:rPr>
        <w:t xml:space="preserve">Datasets: </w:t>
      </w:r>
      <w:r>
        <w:rPr>
          <w:rFonts w:ascii="Calibri" w:hAnsi="Calibri"/>
          <w:b w:val="0"/>
          <w:sz w:val="22"/>
        </w:rPr>
        <w:t>PhysioNet MIMIC-III/IV (public, requires registration), MIT-BIH</w:t>
      </w:r>
    </w:p>
    <w:p>
      <w:pPr>
        <w:spacing w:before="40" w:after="40"/>
      </w:pPr>
      <w:r>
        <w:rPr>
          <w:rFonts w:ascii="Calibri" w:hAnsi="Calibri"/>
          <w:b/>
          <w:color w:val="006699"/>
          <w:sz w:val="22"/>
        </w:rPr>
        <w:t xml:space="preserve">Feasibility: </w:t>
      </w:r>
      <w:r>
        <w:rPr>
          <w:rFonts w:ascii="Calibri" w:hAnsi="Calibri"/>
          <w:b w:val="0"/>
          <w:sz w:val="22"/>
        </w:rPr>
        <w:t>⭐⭐ Medium-Low — dataset requires free registration but code is well-supported</w:t>
      </w:r>
    </w:p>
    <w:p>
      <w:pPr>
        <w:spacing w:before="40" w:after="40"/>
      </w:pPr>
      <w:r>
        <w:rPr>
          <w:rFonts w:ascii="Calibri" w:hAnsi="Calibri"/>
          <w:b/>
          <w:color w:val="006699"/>
          <w:sz w:val="22"/>
        </w:rPr>
        <w:t xml:space="preserve">Target Journal: </w:t>
      </w:r>
      <w:r>
        <w:rPr>
          <w:rFonts w:ascii="Calibri" w:hAnsi="Calibri"/>
          <w:b w:val="0"/>
          <w:sz w:val="22"/>
        </w:rPr>
        <w:t>Journal of Biomedical Informatics, npj Digital Medicine, IEEE JBHI</w:t>
      </w:r>
    </w:p>
    <w:p/>
    <w:p>
      <w:pPr>
        <w:spacing w:before="160" w:after="80"/>
        <w:jc w:val="left"/>
      </w:pPr>
      <w:r>
        <w:rPr>
          <w:rFonts w:ascii="Calibri" w:hAnsi="Calibri"/>
          <w:b/>
          <w:color w:val="0050A0"/>
          <w:sz w:val="24"/>
        </w:rPr>
        <w:t>Option 3 — Agentic Air Quality Prediction</w:t>
      </w:r>
    </w:p>
    <w:p>
      <w:pPr>
        <w:spacing w:before="40" w:after="40"/>
      </w:pPr>
      <w:r>
        <w:rPr>
          <w:rFonts w:ascii="Calibri" w:hAnsi="Calibri"/>
          <w:b/>
          <w:color w:val="006699"/>
          <w:sz w:val="22"/>
        </w:rPr>
        <w:t xml:space="preserve">Draft Title: </w:t>
      </w:r>
      <w:r>
        <w:rPr>
          <w:rFonts w:ascii="Calibri" w:hAnsi="Calibri"/>
          <w:b w:val="0"/>
          <w:sz w:val="22"/>
        </w:rPr>
        <w:t>"AQI-Agent: An Agentic Transformer Framework for Real-Time Air Quality Index Forecasting in Indian Urban Environments"</w:t>
      </w:r>
    </w:p>
    <w:p>
      <w:pPr>
        <w:spacing w:before="40" w:after="40"/>
      </w:pPr>
      <w:r>
        <w:rPr>
          <w:rFonts w:ascii="Calibri" w:hAnsi="Calibri"/>
          <w:b/>
          <w:color w:val="006699"/>
          <w:sz w:val="22"/>
        </w:rPr>
        <w:t xml:space="preserve">Domain: </w:t>
      </w:r>
      <w:r>
        <w:rPr>
          <w:rFonts w:ascii="Calibri" w:hAnsi="Calibri"/>
          <w:b w:val="0"/>
          <w:sz w:val="22"/>
        </w:rPr>
        <w:t>Environmental Science / Smart Cities (strong India-specific angle)</w:t>
      </w:r>
    </w:p>
    <w:p>
      <w:pPr>
        <w:spacing w:before="40" w:after="40"/>
      </w:pPr>
      <w:r>
        <w:rPr>
          <w:rFonts w:ascii="Calibri" w:hAnsi="Calibri"/>
          <w:b/>
          <w:color w:val="006699"/>
          <w:sz w:val="22"/>
        </w:rPr>
        <w:t xml:space="preserve">What you build: </w:t>
      </w:r>
      <w:r>
        <w:rPr>
          <w:rFonts w:ascii="Calibri" w:hAnsi="Calibri"/>
          <w:b w:val="0"/>
          <w:sz w:val="22"/>
        </w:rPr>
      </w:r>
    </w:p>
    <w:p>
      <w:pPr>
        <w:spacing w:before="40" w:after="80"/>
      </w:pPr>
      <w:r>
        <w:rPr>
          <w:rFonts w:ascii="Calibri" w:hAnsi="Calibri"/>
          <w:b w:val="0"/>
          <w:i w:val="0"/>
          <w:sz w:val="22"/>
        </w:rPr>
        <w:t>An agentic forecasting pipeline that autonomously retrieves real-time PM2.5/PM10/NO2 sensor readings from Indian cities (CPCB Open API), feeds them into iTransformer for 24-hour AQI forecasting, and uses an LLM agent to produce daily air quality advisories ('Delhi AQI forecast: Severe. Avoid outdoor activity between 8AM-11AM.'). Agent also learns which cities' models need retraining when drift is detected.</w:t>
      </w:r>
    </w:p>
    <w:p>
      <w:pPr>
        <w:spacing w:before="40" w:after="40"/>
      </w:pPr>
      <w:r>
        <w:rPr>
          <w:rFonts w:ascii="Calibri" w:hAnsi="Calibri"/>
          <w:b/>
          <w:color w:val="006699"/>
          <w:sz w:val="22"/>
        </w:rPr>
        <w:t xml:space="preserve">Key Contribution: </w:t>
      </w:r>
      <w:r>
        <w:rPr>
          <w:rFonts w:ascii="Calibri" w:hAnsi="Calibri"/>
          <w:b w:val="0"/>
          <w:sz w:val="22"/>
        </w:rPr>
      </w:r>
    </w:p>
    <w:p>
      <w:pPr>
        <w:spacing w:before="40" w:after="80"/>
      </w:pPr>
      <w:r>
        <w:rPr>
          <w:rFonts w:ascii="Calibri" w:hAnsi="Calibri"/>
          <w:b w:val="0"/>
          <w:i/>
          <w:sz w:val="22"/>
        </w:rPr>
        <w:t>First India-specific agentic AQI forecasting system using Transformer architectures and open government data. Addresses a clear public health need with a novel autonomous pipeline that self-monitors for distributional drift — a problem unaddressed in existing AQI literature.</w:t>
      </w:r>
    </w:p>
    <w:p>
      <w:pPr>
        <w:spacing w:before="40" w:after="40"/>
      </w:pPr>
      <w:r>
        <w:rPr>
          <w:rFonts w:ascii="Calibri" w:hAnsi="Calibri"/>
          <w:b/>
          <w:color w:val="006699"/>
          <w:sz w:val="22"/>
        </w:rPr>
        <w:t xml:space="preserve">Datasets: </w:t>
      </w:r>
      <w:r>
        <w:rPr>
          <w:rFonts w:ascii="Calibri" w:hAnsi="Calibri"/>
          <w:b w:val="0"/>
          <w:sz w:val="22"/>
        </w:rPr>
        <w:t>CPCB India Open Data (free API), UCI Beijing PM2.5, OpenAQ</w:t>
      </w:r>
    </w:p>
    <w:p>
      <w:pPr>
        <w:spacing w:before="40" w:after="40"/>
      </w:pPr>
      <w:r>
        <w:rPr>
          <w:rFonts w:ascii="Calibri" w:hAnsi="Calibri"/>
          <w:b/>
          <w:color w:val="006699"/>
          <w:sz w:val="22"/>
        </w:rPr>
        <w:t xml:space="preserve">Feasibility: </w:t>
      </w:r>
      <w:r>
        <w:rPr>
          <w:rFonts w:ascii="Calibri" w:hAnsi="Calibri"/>
          <w:b w:val="0"/>
          <w:sz w:val="22"/>
        </w:rPr>
        <w:t>⭐⭐⭐⭐ High — free Indian government API, very relevant, strong novelty</w:t>
      </w:r>
    </w:p>
    <w:p>
      <w:pPr>
        <w:spacing w:before="40" w:after="40"/>
      </w:pPr>
      <w:r>
        <w:rPr>
          <w:rFonts w:ascii="Calibri" w:hAnsi="Calibri"/>
          <w:b/>
          <w:color w:val="006699"/>
          <w:sz w:val="22"/>
        </w:rPr>
        <w:t xml:space="preserve">Target Journal: </w:t>
      </w:r>
      <w:r>
        <w:rPr>
          <w:rFonts w:ascii="Calibri" w:hAnsi="Calibri"/>
          <w:b w:val="0"/>
          <w:sz w:val="22"/>
        </w:rPr>
        <w:t>Environmental Research Letters, Atmospheric Environment, IEEE Access</w:t>
      </w:r>
    </w:p>
    <w:p/>
    <w:p>
      <w:pPr>
        <w:spacing w:before="160" w:after="80"/>
        <w:jc w:val="left"/>
      </w:pPr>
      <w:r>
        <w:rPr>
          <w:rFonts w:ascii="Calibri" w:hAnsi="Calibri"/>
          <w:b/>
          <w:color w:val="780064"/>
          <w:sz w:val="24"/>
        </w:rPr>
        <w:t>Option 4 — Agentic Stock Market Direction Prediction</w:t>
      </w:r>
    </w:p>
    <w:p>
      <w:pPr>
        <w:spacing w:before="40" w:after="40"/>
      </w:pPr>
      <w:r>
        <w:rPr>
          <w:rFonts w:ascii="Calibri" w:hAnsi="Calibri"/>
          <w:b/>
          <w:color w:val="006699"/>
          <w:sz w:val="22"/>
        </w:rPr>
        <w:t xml:space="preserve">Draft Title: </w:t>
      </w:r>
      <w:r>
        <w:rPr>
          <w:rFonts w:ascii="Calibri" w:hAnsi="Calibri"/>
          <w:b w:val="0"/>
          <w:sz w:val="22"/>
        </w:rPr>
        <w:t>"QuantAgent: A Multi-Agent Deep Learning Framework for Financial Time Series Direction Forecasting Using Transformer Architectures"</w:t>
      </w:r>
    </w:p>
    <w:p>
      <w:pPr>
        <w:spacing w:before="40" w:after="40"/>
      </w:pPr>
      <w:r>
        <w:rPr>
          <w:rFonts w:ascii="Calibri" w:hAnsi="Calibri"/>
          <w:b/>
          <w:color w:val="006699"/>
          <w:sz w:val="22"/>
        </w:rPr>
        <w:t xml:space="preserve">Domain: </w:t>
      </w:r>
      <w:r>
        <w:rPr>
          <w:rFonts w:ascii="Calibri" w:hAnsi="Calibri"/>
          <w:b w:val="0"/>
          <w:sz w:val="22"/>
        </w:rPr>
        <w:t>Quantitative Finance / FinTech (highest career impact)</w:t>
      </w:r>
    </w:p>
    <w:p>
      <w:pPr>
        <w:spacing w:before="40" w:after="40"/>
      </w:pPr>
      <w:r>
        <w:rPr>
          <w:rFonts w:ascii="Calibri" w:hAnsi="Calibri"/>
          <w:b/>
          <w:color w:val="006699"/>
          <w:sz w:val="22"/>
        </w:rPr>
        <w:t xml:space="preserve">What you build: </w:t>
      </w:r>
      <w:r>
        <w:rPr>
          <w:rFonts w:ascii="Calibri" w:hAnsi="Calibri"/>
          <w:b w:val="0"/>
          <w:sz w:val="22"/>
        </w:rPr>
      </w:r>
    </w:p>
    <w:p>
      <w:pPr>
        <w:spacing w:before="40" w:after="80"/>
      </w:pPr>
      <w:r>
        <w:rPr>
          <w:rFonts w:ascii="Calibri" w:hAnsi="Calibri"/>
          <w:b w:val="0"/>
          <w:i w:val="0"/>
          <w:sz w:val="22"/>
        </w:rPr>
        <w:t>A multi-agent system with three roles: (1) a Data Agent that collects NSE/BSE stock OHLCV data and fetches related news headlines; (2) a Forecast Agent that runs PatchTST to predict the next 5-day price direction (up/down); and (3) a Reasoning Agent (LLM) that combines the numerical forecast with news sentiment to produce a structured investment recommendation report with confidence scores and key risk factors.</w:t>
      </w:r>
    </w:p>
    <w:p>
      <w:pPr>
        <w:spacing w:before="40" w:after="40"/>
      </w:pPr>
      <w:r>
        <w:rPr>
          <w:rFonts w:ascii="Calibri" w:hAnsi="Calibri"/>
          <w:b/>
          <w:color w:val="006699"/>
          <w:sz w:val="22"/>
        </w:rPr>
        <w:t xml:space="preserve">Key Contribution: </w:t>
      </w:r>
      <w:r>
        <w:rPr>
          <w:rFonts w:ascii="Calibri" w:hAnsi="Calibri"/>
          <w:b w:val="0"/>
          <w:sz w:val="22"/>
        </w:rPr>
      </w:r>
    </w:p>
    <w:p>
      <w:pPr>
        <w:spacing w:before="40" w:after="80"/>
      </w:pPr>
      <w:r>
        <w:rPr>
          <w:rFonts w:ascii="Calibri" w:hAnsi="Calibri"/>
          <w:b w:val="0"/>
          <w:i/>
          <w:sz w:val="22"/>
        </w:rPr>
        <w:t>First open-source multi-agent system combining PatchTST price forecasting with LLM-based news sentiment reasoning for Indian equity markets (NSE/BSE). Provides a transparent, auditable decision pipeline addressing the interpretability gap in automated financial AI systems.</w:t>
      </w:r>
    </w:p>
    <w:p>
      <w:pPr>
        <w:spacing w:before="40" w:after="40"/>
      </w:pPr>
      <w:r>
        <w:rPr>
          <w:rFonts w:ascii="Calibri" w:hAnsi="Calibri"/>
          <w:b/>
          <w:color w:val="006699"/>
          <w:sz w:val="22"/>
        </w:rPr>
        <w:t xml:space="preserve">Datasets: </w:t>
      </w:r>
      <w:r>
        <w:rPr>
          <w:rFonts w:ascii="Calibri" w:hAnsi="Calibri"/>
          <w:b w:val="0"/>
          <w:sz w:val="22"/>
        </w:rPr>
        <w:t>Yahoo Finance API (free), NSE India Open Data, GDELT News Dataset</w:t>
      </w:r>
    </w:p>
    <w:p>
      <w:pPr>
        <w:spacing w:before="40" w:after="40"/>
      </w:pPr>
      <w:r>
        <w:rPr>
          <w:rFonts w:ascii="Calibri" w:hAnsi="Calibri"/>
          <w:b/>
          <w:color w:val="006699"/>
          <w:sz w:val="22"/>
        </w:rPr>
        <w:t xml:space="preserve">Feasibility: </w:t>
      </w:r>
      <w:r>
        <w:rPr>
          <w:rFonts w:ascii="Calibri" w:hAnsi="Calibri"/>
          <w:b w:val="0"/>
          <w:sz w:val="22"/>
        </w:rPr>
        <w:t>⭐⭐⭐ Medium — data easily available, career value is highest of all options</w:t>
      </w:r>
    </w:p>
    <w:p>
      <w:pPr>
        <w:spacing w:before="40" w:after="40"/>
      </w:pPr>
      <w:r>
        <w:rPr>
          <w:rFonts w:ascii="Calibri" w:hAnsi="Calibri"/>
          <w:b/>
          <w:color w:val="006699"/>
          <w:sz w:val="22"/>
        </w:rPr>
        <w:t xml:space="preserve">Target Journal: </w:t>
      </w:r>
      <w:r>
        <w:rPr>
          <w:rFonts w:ascii="Calibri" w:hAnsi="Calibri"/>
          <w:b w:val="0"/>
          <w:sz w:val="22"/>
        </w:rPr>
        <w:t>Expert Systems with Applications, Finance Research Letters, IEEE Access</w:t>
      </w:r>
    </w:p>
    <w:p/>
    <w:p>
      <w:pPr>
        <w:spacing w:before="40" w:after="40"/>
      </w:pPr>
      <w:r>
        <w:rPr>
          <w:rFonts w:ascii="Calibri" w:hAnsi="Calibri"/>
          <w:b w:val="0"/>
          <w:color w:val="B4B4B4"/>
          <w:sz w:val="18"/>
        </w:rPr>
        <w:t>────────────────────────────────────────────────────────────────────────────────</w:t>
      </w:r>
    </w:p>
    <w:p/>
    <w:p>
      <w:pPr>
        <w:spacing w:before="280" w:after="80"/>
        <w:jc w:val="left"/>
      </w:pPr>
      <w:r>
        <w:rPr>
          <w:rFonts w:ascii="Calibri" w:hAnsi="Calibri"/>
          <w:b/>
          <w:color w:val="1E5AA0"/>
          <w:sz w:val="28"/>
        </w:rPr>
        <w:t>Quick Decision Table</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1E5A9C"/>
          </w:tcPr>
          <w:p>
            <w:pPr>
              <w:jc w:val="center"/>
            </w:pPr>
            <w:r>
              <w:rPr>
                <w:rFonts w:ascii="Calibri" w:hAnsi="Calibri"/>
                <w:b/>
                <w:color w:val="FFFFFF"/>
                <w:sz w:val="20"/>
              </w:rPr>
              <w:t>Option</w:t>
            </w:r>
          </w:p>
        </w:tc>
        <w:tc>
          <w:tcPr>
            <w:tcW w:type="dxa" w:w="1344"/>
            <w:shd w:val="clear" w:color="auto" w:fill="1E5A9C"/>
          </w:tcPr>
          <w:p>
            <w:pPr>
              <w:jc w:val="center"/>
            </w:pPr>
            <w:r>
              <w:rPr>
                <w:rFonts w:ascii="Calibri" w:hAnsi="Calibri"/>
                <w:b/>
                <w:color w:val="FFFFFF"/>
                <w:sz w:val="20"/>
              </w:rPr>
              <w:t>Domain</w:t>
            </w:r>
          </w:p>
        </w:tc>
        <w:tc>
          <w:tcPr>
            <w:tcW w:type="dxa" w:w="1344"/>
            <w:shd w:val="clear" w:color="auto" w:fill="1E5A9C"/>
          </w:tcPr>
          <w:p>
            <w:pPr>
              <w:jc w:val="center"/>
            </w:pPr>
            <w:r>
              <w:rPr>
                <w:rFonts w:ascii="Calibri" w:hAnsi="Calibri"/>
                <w:b/>
                <w:color w:val="FFFFFF"/>
                <w:sz w:val="20"/>
              </w:rPr>
              <w:t>Novelty</w:t>
            </w:r>
          </w:p>
        </w:tc>
        <w:tc>
          <w:tcPr>
            <w:tcW w:type="dxa" w:w="1344"/>
            <w:shd w:val="clear" w:color="auto" w:fill="1E5A9C"/>
          </w:tcPr>
          <w:p>
            <w:pPr>
              <w:jc w:val="center"/>
            </w:pPr>
            <w:r>
              <w:rPr>
                <w:rFonts w:ascii="Calibri" w:hAnsi="Calibri"/>
                <w:b/>
                <w:color w:val="FFFFFF"/>
                <w:sz w:val="20"/>
              </w:rPr>
              <w:t>Difficulty</w:t>
            </w:r>
          </w:p>
        </w:tc>
        <w:tc>
          <w:tcPr>
            <w:tcW w:type="dxa" w:w="1344"/>
            <w:shd w:val="clear" w:color="auto" w:fill="1E5A9C"/>
          </w:tcPr>
          <w:p>
            <w:pPr>
              <w:jc w:val="center"/>
            </w:pPr>
            <w:r>
              <w:rPr>
                <w:rFonts w:ascii="Calibri" w:hAnsi="Calibri"/>
                <w:b/>
                <w:color w:val="FFFFFF"/>
                <w:sz w:val="20"/>
              </w:rPr>
              <w:t>Career Impact</w:t>
            </w:r>
          </w:p>
        </w:tc>
        <w:tc>
          <w:tcPr>
            <w:tcW w:type="dxa" w:w="1344"/>
            <w:shd w:val="clear" w:color="auto" w:fill="1E5A9C"/>
          </w:tcPr>
          <w:p>
            <w:pPr>
              <w:jc w:val="center"/>
            </w:pPr>
            <w:r>
              <w:rPr>
                <w:rFonts w:ascii="Calibri" w:hAnsi="Calibri"/>
                <w:b/>
                <w:color w:val="FFFFFF"/>
                <w:sz w:val="20"/>
              </w:rPr>
              <w:t>Colab?</w:t>
            </w:r>
          </w:p>
        </w:tc>
        <w:tc>
          <w:tcPr>
            <w:tcW w:type="dxa" w:w="1344"/>
            <w:shd w:val="clear" w:color="auto" w:fill="1E5A9C"/>
          </w:tcPr>
          <w:p>
            <w:pPr>
              <w:jc w:val="center"/>
            </w:pPr>
            <w:r>
              <w:rPr>
                <w:rFonts w:ascii="Calibri" w:hAnsi="Calibri"/>
                <w:b/>
                <w:color w:val="FFFFFF"/>
                <w:sz w:val="20"/>
              </w:rPr>
              <w:t>Best For</w:t>
            </w:r>
          </w:p>
        </w:tc>
      </w:tr>
      <w:tr>
        <w:tc>
          <w:tcPr>
            <w:tcW w:type="dxa" w:w="1344"/>
            <w:shd w:val="clear" w:color="auto" w:fill="EAF2FB"/>
          </w:tcPr>
          <w:p>
            <w:pPr>
              <w:jc w:val="center"/>
            </w:pPr>
            <w:r>
              <w:rPr>
                <w:rFonts w:ascii="Calibri" w:hAnsi="Calibri"/>
                <w:b w:val="0"/>
                <w:sz w:val="20"/>
              </w:rPr>
              <w:t>1 — Energy</w:t>
            </w:r>
          </w:p>
        </w:tc>
        <w:tc>
          <w:tcPr>
            <w:tcW w:type="dxa" w:w="1344"/>
            <w:shd w:val="clear" w:color="auto" w:fill="EAF2FB"/>
          </w:tcPr>
          <w:p>
            <w:pPr>
              <w:jc w:val="center"/>
            </w:pPr>
            <w:r>
              <w:rPr>
                <w:rFonts w:ascii="Calibri" w:hAnsi="Calibri"/>
                <w:b w:val="0"/>
                <w:sz w:val="20"/>
              </w:rPr>
              <w:t>Smart Grid</w:t>
            </w:r>
          </w:p>
        </w:tc>
        <w:tc>
          <w:tcPr>
            <w:tcW w:type="dxa" w:w="1344"/>
            <w:shd w:val="clear" w:color="auto" w:fill="EAF2FB"/>
          </w:tcPr>
          <w:p>
            <w:pPr>
              <w:jc w:val="center"/>
            </w:pPr>
            <w:r>
              <w:rPr>
                <w:rFonts w:ascii="Calibri" w:hAnsi="Calibri"/>
                <w:b w:val="0"/>
                <w:sz w:val="20"/>
              </w:rPr>
              <w:t>🔴 High</w:t>
            </w:r>
          </w:p>
        </w:tc>
        <w:tc>
          <w:tcPr>
            <w:tcW w:type="dxa" w:w="1344"/>
            <w:shd w:val="clear" w:color="auto" w:fill="EAF2FB"/>
          </w:tcPr>
          <w:p>
            <w:pPr>
              <w:jc w:val="center"/>
            </w:pPr>
            <w:r>
              <w:rPr>
                <w:rFonts w:ascii="Calibri" w:hAnsi="Calibri"/>
                <w:b w:val="0"/>
                <w:sz w:val="20"/>
              </w:rPr>
              <w:t>⭐⭐⭐ Med</w:t>
            </w:r>
          </w:p>
        </w:tc>
        <w:tc>
          <w:tcPr>
            <w:tcW w:type="dxa" w:w="1344"/>
            <w:shd w:val="clear" w:color="auto" w:fill="EAF2FB"/>
          </w:tcPr>
          <w:p>
            <w:pPr>
              <w:jc w:val="center"/>
            </w:pPr>
            <w:r>
              <w:rPr>
                <w:rFonts w:ascii="Calibri" w:hAnsi="Calibri"/>
                <w:b w:val="0"/>
                <w:sz w:val="20"/>
              </w:rPr>
              <w:t>High</w:t>
            </w:r>
          </w:p>
        </w:tc>
        <w:tc>
          <w:tcPr>
            <w:tcW w:type="dxa" w:w="1344"/>
            <w:shd w:val="clear" w:color="auto" w:fill="EAF2FB"/>
          </w:tcPr>
          <w:p>
            <w:pPr>
              <w:jc w:val="center"/>
            </w:pPr>
            <w:r>
              <w:rPr>
                <w:rFonts w:ascii="Calibri" w:hAnsi="Calibri"/>
                <w:b w:val="0"/>
                <w:sz w:val="20"/>
              </w:rPr>
              <w:t>✅ Yes</w:t>
            </w:r>
          </w:p>
        </w:tc>
        <w:tc>
          <w:tcPr>
            <w:tcW w:type="dxa" w:w="1344"/>
            <w:shd w:val="clear" w:color="auto" w:fill="EAF2FB"/>
          </w:tcPr>
          <w:p>
            <w:pPr>
              <w:jc w:val="center"/>
            </w:pPr>
            <w:r>
              <w:rPr>
                <w:rFonts w:ascii="Calibri" w:hAnsi="Calibri"/>
                <w:b w:val="0"/>
                <w:sz w:val="20"/>
              </w:rPr>
              <w:t>Clean energy / MLOps roles</w:t>
            </w:r>
          </w:p>
        </w:tc>
      </w:tr>
      <w:tr>
        <w:tc>
          <w:tcPr>
            <w:tcW w:type="dxa" w:w="1344"/>
            <w:shd w:val="clear" w:color="auto" w:fill="FFFFFF"/>
          </w:tcPr>
          <w:p>
            <w:pPr>
              <w:jc w:val="center"/>
            </w:pPr>
            <w:r>
              <w:rPr>
                <w:rFonts w:ascii="Calibri" w:hAnsi="Calibri"/>
                <w:b w:val="0"/>
                <w:sz w:val="20"/>
              </w:rPr>
              <w:t>2 — Healthcare</w:t>
            </w:r>
          </w:p>
        </w:tc>
        <w:tc>
          <w:tcPr>
            <w:tcW w:type="dxa" w:w="1344"/>
            <w:shd w:val="clear" w:color="auto" w:fill="FFFFFF"/>
          </w:tcPr>
          <w:p>
            <w:pPr>
              <w:jc w:val="center"/>
            </w:pPr>
            <w:r>
              <w:rPr>
                <w:rFonts w:ascii="Calibri" w:hAnsi="Calibri"/>
                <w:b w:val="0"/>
                <w:sz w:val="20"/>
              </w:rPr>
              <w:t>Medical AI</w:t>
            </w:r>
          </w:p>
        </w:tc>
        <w:tc>
          <w:tcPr>
            <w:tcW w:type="dxa" w:w="1344"/>
            <w:shd w:val="clear" w:color="auto" w:fill="FFFFFF"/>
          </w:tcPr>
          <w:p>
            <w:pPr>
              <w:jc w:val="center"/>
            </w:pPr>
            <w:r>
              <w:rPr>
                <w:rFonts w:ascii="Calibri" w:hAnsi="Calibri"/>
                <w:b w:val="0"/>
                <w:sz w:val="20"/>
              </w:rPr>
              <w:t>🔴 High</w:t>
            </w:r>
          </w:p>
        </w:tc>
        <w:tc>
          <w:tcPr>
            <w:tcW w:type="dxa" w:w="1344"/>
            <w:shd w:val="clear" w:color="auto" w:fill="FFFFFF"/>
          </w:tcPr>
          <w:p>
            <w:pPr>
              <w:jc w:val="center"/>
            </w:pPr>
            <w:r>
              <w:rPr>
                <w:rFonts w:ascii="Calibri" w:hAnsi="Calibri"/>
                <w:b w:val="0"/>
                <w:sz w:val="20"/>
              </w:rPr>
              <w:t>⭐⭐ Med-Low</w:t>
            </w:r>
          </w:p>
        </w:tc>
        <w:tc>
          <w:tcPr>
            <w:tcW w:type="dxa" w:w="1344"/>
            <w:shd w:val="clear" w:color="auto" w:fill="FFFFFF"/>
          </w:tcPr>
          <w:p>
            <w:pPr>
              <w:jc w:val="center"/>
            </w:pPr>
            <w:r>
              <w:rPr>
                <w:rFonts w:ascii="Calibri" w:hAnsi="Calibri"/>
                <w:b w:val="0"/>
                <w:sz w:val="20"/>
              </w:rPr>
              <w:t>Very High</w:t>
            </w:r>
          </w:p>
        </w:tc>
        <w:tc>
          <w:tcPr>
            <w:tcW w:type="dxa" w:w="1344"/>
            <w:shd w:val="clear" w:color="auto" w:fill="FFFFFF"/>
          </w:tcPr>
          <w:p>
            <w:pPr>
              <w:jc w:val="center"/>
            </w:pPr>
            <w:r>
              <w:rPr>
                <w:rFonts w:ascii="Calibri" w:hAnsi="Calibri"/>
                <w:b w:val="0"/>
                <w:sz w:val="20"/>
              </w:rPr>
              <w:t>⚠️ GPU</w:t>
            </w:r>
          </w:p>
        </w:tc>
        <w:tc>
          <w:tcPr>
            <w:tcW w:type="dxa" w:w="1344"/>
            <w:shd w:val="clear" w:color="auto" w:fill="FFFFFF"/>
          </w:tcPr>
          <w:p>
            <w:pPr>
              <w:jc w:val="center"/>
            </w:pPr>
            <w:r>
              <w:rPr>
                <w:rFonts w:ascii="Calibri" w:hAnsi="Calibri"/>
                <w:b w:val="0"/>
                <w:sz w:val="20"/>
              </w:rPr>
              <w:t>Healthcare AI / research roles</w:t>
            </w:r>
          </w:p>
        </w:tc>
      </w:tr>
      <w:tr>
        <w:tc>
          <w:tcPr>
            <w:tcW w:type="dxa" w:w="1344"/>
            <w:shd w:val="clear" w:color="auto" w:fill="EAF2FB"/>
          </w:tcPr>
          <w:p>
            <w:pPr>
              <w:jc w:val="center"/>
            </w:pPr>
            <w:r>
              <w:rPr>
                <w:rFonts w:ascii="Calibri" w:hAnsi="Calibri"/>
                <w:b w:val="0"/>
                <w:sz w:val="20"/>
              </w:rPr>
              <w:t>3 — AQI India</w:t>
            </w:r>
          </w:p>
        </w:tc>
        <w:tc>
          <w:tcPr>
            <w:tcW w:type="dxa" w:w="1344"/>
            <w:shd w:val="clear" w:color="auto" w:fill="EAF2FB"/>
          </w:tcPr>
          <w:p>
            <w:pPr>
              <w:jc w:val="center"/>
            </w:pPr>
            <w:r>
              <w:rPr>
                <w:rFonts w:ascii="Calibri" w:hAnsi="Calibri"/>
                <w:b w:val="0"/>
                <w:sz w:val="20"/>
              </w:rPr>
              <w:t>Env. Science</w:t>
            </w:r>
          </w:p>
        </w:tc>
        <w:tc>
          <w:tcPr>
            <w:tcW w:type="dxa" w:w="1344"/>
            <w:shd w:val="clear" w:color="auto" w:fill="EAF2FB"/>
          </w:tcPr>
          <w:p>
            <w:pPr>
              <w:jc w:val="center"/>
            </w:pPr>
            <w:r>
              <w:rPr>
                <w:rFonts w:ascii="Calibri" w:hAnsi="Calibri"/>
                <w:b w:val="0"/>
                <w:sz w:val="20"/>
              </w:rPr>
              <w:t>🔴 V.High</w:t>
            </w:r>
          </w:p>
        </w:tc>
        <w:tc>
          <w:tcPr>
            <w:tcW w:type="dxa" w:w="1344"/>
            <w:shd w:val="clear" w:color="auto" w:fill="EAF2FB"/>
          </w:tcPr>
          <w:p>
            <w:pPr>
              <w:jc w:val="center"/>
            </w:pPr>
            <w:r>
              <w:rPr>
                <w:rFonts w:ascii="Calibri" w:hAnsi="Calibri"/>
                <w:b w:val="0"/>
                <w:sz w:val="20"/>
              </w:rPr>
              <w:t>⭐⭐⭐⭐ Easy</w:t>
            </w:r>
          </w:p>
        </w:tc>
        <w:tc>
          <w:tcPr>
            <w:tcW w:type="dxa" w:w="1344"/>
            <w:shd w:val="clear" w:color="auto" w:fill="EAF2FB"/>
          </w:tcPr>
          <w:p>
            <w:pPr>
              <w:jc w:val="center"/>
            </w:pPr>
            <w:r>
              <w:rPr>
                <w:rFonts w:ascii="Calibri" w:hAnsi="Calibri"/>
                <w:b w:val="0"/>
                <w:sz w:val="20"/>
              </w:rPr>
              <w:t>High</w:t>
            </w:r>
          </w:p>
        </w:tc>
        <w:tc>
          <w:tcPr>
            <w:tcW w:type="dxa" w:w="1344"/>
            <w:shd w:val="clear" w:color="auto" w:fill="EAF2FB"/>
          </w:tcPr>
          <w:p>
            <w:pPr>
              <w:jc w:val="center"/>
            </w:pPr>
            <w:r>
              <w:rPr>
                <w:rFonts w:ascii="Calibri" w:hAnsi="Calibri"/>
                <w:b w:val="0"/>
                <w:sz w:val="20"/>
              </w:rPr>
              <w:t>✅ Yes</w:t>
            </w:r>
          </w:p>
        </w:tc>
        <w:tc>
          <w:tcPr>
            <w:tcW w:type="dxa" w:w="1344"/>
            <w:shd w:val="clear" w:color="auto" w:fill="EAF2FB"/>
          </w:tcPr>
          <w:p>
            <w:pPr>
              <w:jc w:val="center"/>
            </w:pPr>
            <w:r>
              <w:rPr>
                <w:rFonts w:ascii="Calibri" w:hAnsi="Calibri"/>
                <w:b w:val="0"/>
                <w:sz w:val="20"/>
              </w:rPr>
              <w:t>Public sector / India-specific</w:t>
            </w:r>
          </w:p>
        </w:tc>
      </w:tr>
      <w:tr>
        <w:tc>
          <w:tcPr>
            <w:tcW w:type="dxa" w:w="1344"/>
            <w:shd w:val="clear" w:color="auto" w:fill="FFFFFF"/>
          </w:tcPr>
          <w:p>
            <w:pPr>
              <w:jc w:val="center"/>
            </w:pPr>
            <w:r>
              <w:rPr>
                <w:rFonts w:ascii="Calibri" w:hAnsi="Calibri"/>
                <w:b w:val="0"/>
                <w:sz w:val="20"/>
              </w:rPr>
              <w:t>4 — Finance</w:t>
            </w:r>
          </w:p>
        </w:tc>
        <w:tc>
          <w:tcPr>
            <w:tcW w:type="dxa" w:w="1344"/>
            <w:shd w:val="clear" w:color="auto" w:fill="FFFFFF"/>
          </w:tcPr>
          <w:p>
            <w:pPr>
              <w:jc w:val="center"/>
            </w:pPr>
            <w:r>
              <w:rPr>
                <w:rFonts w:ascii="Calibri" w:hAnsi="Calibri"/>
                <w:b w:val="0"/>
                <w:sz w:val="20"/>
              </w:rPr>
              <w:t>FinTech / Quant</w:t>
            </w:r>
          </w:p>
        </w:tc>
        <w:tc>
          <w:tcPr>
            <w:tcW w:type="dxa" w:w="1344"/>
            <w:shd w:val="clear" w:color="auto" w:fill="FFFFFF"/>
          </w:tcPr>
          <w:p>
            <w:pPr>
              <w:jc w:val="center"/>
            </w:pPr>
            <w:r>
              <w:rPr>
                <w:rFonts w:ascii="Calibri" w:hAnsi="Calibri"/>
                <w:b w:val="0"/>
                <w:sz w:val="20"/>
              </w:rPr>
              <w:t>🔴 High</w:t>
            </w:r>
          </w:p>
        </w:tc>
        <w:tc>
          <w:tcPr>
            <w:tcW w:type="dxa" w:w="1344"/>
            <w:shd w:val="clear" w:color="auto" w:fill="FFFFFF"/>
          </w:tcPr>
          <w:p>
            <w:pPr>
              <w:jc w:val="center"/>
            </w:pPr>
            <w:r>
              <w:rPr>
                <w:rFonts w:ascii="Calibri" w:hAnsi="Calibri"/>
                <w:b w:val="0"/>
                <w:sz w:val="20"/>
              </w:rPr>
              <w:t>⭐⭐⭐ Med</w:t>
            </w:r>
          </w:p>
        </w:tc>
        <w:tc>
          <w:tcPr>
            <w:tcW w:type="dxa" w:w="1344"/>
            <w:shd w:val="clear" w:color="auto" w:fill="FFFFFF"/>
          </w:tcPr>
          <w:p>
            <w:pPr>
              <w:jc w:val="center"/>
            </w:pPr>
            <w:r>
              <w:rPr>
                <w:rFonts w:ascii="Calibri" w:hAnsi="Calibri"/>
                <w:b w:val="0"/>
                <w:sz w:val="20"/>
              </w:rPr>
              <w:t>Highest 🏆</w:t>
            </w:r>
          </w:p>
        </w:tc>
        <w:tc>
          <w:tcPr>
            <w:tcW w:type="dxa" w:w="1344"/>
            <w:shd w:val="clear" w:color="auto" w:fill="FFFFFF"/>
          </w:tcPr>
          <w:p>
            <w:pPr>
              <w:jc w:val="center"/>
            </w:pPr>
            <w:r>
              <w:rPr>
                <w:rFonts w:ascii="Calibri" w:hAnsi="Calibri"/>
                <w:b w:val="0"/>
                <w:sz w:val="20"/>
              </w:rPr>
              <w:t>✅ Yes</w:t>
            </w:r>
          </w:p>
        </w:tc>
        <w:tc>
          <w:tcPr>
            <w:tcW w:type="dxa" w:w="1344"/>
            <w:shd w:val="clear" w:color="auto" w:fill="FFFFFF"/>
          </w:tcPr>
          <w:p>
            <w:pPr>
              <w:jc w:val="center"/>
            </w:pPr>
            <w:r>
              <w:rPr>
                <w:rFonts w:ascii="Calibri" w:hAnsi="Calibri"/>
                <w:b w:val="0"/>
                <w:sz w:val="20"/>
              </w:rPr>
              <w:t>Fintech / quant trading roles</w:t>
            </w:r>
          </w:p>
        </w:tc>
      </w:tr>
    </w:tbl>
    <w:p/>
    <w:p>
      <w:r>
        <w:rPr>
          <w:rFonts w:ascii="Calibri" w:hAnsi="Calibri"/>
          <w:b w:val="0"/>
          <w:i/>
          <w:color w:val="646464"/>
          <w:sz w:val="20"/>
        </w:rPr>
        <w:t>Note: All four options build directly on the deep learning skills from Paper 2 (PatchTST/iTransformer) and the agentic workflow principles from Paper 3 (CastFlow). The recommended starting point is Option 3 (AQI India) for fastest execution or Option 4 (Finance) for maximum career impact.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