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This comprehensive report delivers a critical evaluation of an enterprise AI solution implementation, followed by an actionable and forward-looking enhancement proposal. The document begins by establishing a robust set of evaluation metrics spanning predictive accuracy, computational efficiency, end-user experience, and system scalability. Using these metrics, an in-depth analysis is conducted on a deployed AI conversational and predictive analytics model, highlighting core strengths such as automated inquiry resolution and cost reduction, alongside critical weaknesses including latency bottlenecks, edge-case hallucinations, and minor data drift over time.</w:t>
      </w:r>
    </w:p>
    <w:p>
      <w:r>
        <w:rPr/>
        <w:t>Building upon the critical analysis, the report outlines a forward-thinking enhancement proposal designed to elevate future iterations of the system. Key recommendations include integrating advanced transformer architectures, adopting automated retrieval-augmented generation (RAG) pipelines for real-time fact-checking, and scaling cloud infrastructure using containerized microservices. Furthermore, the strategy section addresses long-term sustainability through proactive risk mitigation, automated model retraining schedules, and strict adherence to data privacy standards. Formatted professionally with clear headings and analytical frameworks, this report provides a thorough, evidence-based blueprint for continuous AI optimization and long-term technological resilience.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