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This submitted report provides a rigorous evaluation of current global regulatory and governance frameworks governing artificial intelligence ethics and compliance. As governments and international bodies accelerate the formulation of legal guardrails for emerging technologies, understanding the intersection between statutory law and ethical AI deployment is essential for sustainable innovation.</w:t>
      </w:r>
    </w:p>
    <w:p>
      <w:r>
        <w:rPr/>
        <w:t>The report begins with an extensive review of existing AI policies, international frameworks, and legislative initiatives. Through a systematic gap analysis, the study identifies critical shortcomings in current regulatory models—particularly regarding cross-border enforcement, liability attribution in autonomous systems, rapid technological evolution, and the protection of fundamental human rights against algorithmic intrusion. Building upon these findings, the report proposes a comprehensive set of strategic enhancements and proactive governance recommendations aimed at bridging legislative gaps and fostering responsible AI operations.</w:t>
      </w:r>
    </w:p>
    <w:p>
      <w:r>
        <w:rPr/>
        <w:t>Compiled using credible public legal databases, scholarly literature, and policy papers, this self-contained report offers a structured roadmap for establishing robust, adaptable, and ethically sound regulatory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