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This submitted report provides a comprehensive and critical analysis of ethical frameworks applied within the development and deployment of modern artificial intelligence (AI) systems. As AI technologies increasingly permeate critical societal domains—ranging from healthcare diagnostics to automated financial systems and judicial decision-making—ensuring alignment with human-centric ethical principles is paramount.</w:t>
      </w:r>
    </w:p>
    <w:p>
      <w:r>
        <w:rPr/>
        <w:t>The report begins with an introduction outlining the necessity of governance, transparency, and accountability in algorithmic design. It then undertakes an in-depth comparative analysis of three foundational philosophical frameworks: Utilitarianism (focusing on maximizing collective welfare and outcome optimization), Deontology (emphasizing rule-based duties, rights, and non-negotiable moral obligations), and Virtue Ethics (centering on the moral character and intent of the developers and organizations deploying AI).</w:t>
      </w:r>
    </w:p>
    <w:p>
      <w:r>
        <w:rPr/>
        <w:t>To bridge theoretical philosophy with practical application, the report integrates relevant real-world case studies highlighting instances where the presence—or absence—of ethical frameworks significantly impacted system deployment, user privacy, and algorithmic fairness. Furthermore, the study explores actionable methodologies for mitigating systemic biases, ensuring demographic parity, and fostering fairness throughout the machine learning pipeline. Compiled with strict adherence to academic standards and public domain references, this report is designed to serve as a self-contained, rigorous guide for understanding how ethical guardrails can shape trustworthy, responsible, and equitable AI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