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60"/>
        <w:jc w:val="center"/>
      </w:pPr>
      <w:r>
        <w:rPr>
          <w:rFonts w:ascii="Calibri" w:cs="Calibri" w:eastAsia="Calibri" w:hAnsi="Calibri"/>
          <w:b/>
          <w:bCs/>
          <w:caps/>
          <w:color w:val="1B2A6B"/>
          <w:sz w:val="48"/>
          <w:szCs w:val="48"/>
        </w:rPr>
        <w:t xml:space="preserve">WIRE DEPARTMENT PROCESS IMPROVEMENT</w:t>
      </w:r>
    </w:p>
    <w:p>
      <w:pPr>
        <w:spacing w:before="60" w:after="360"/>
        <w:jc w:val="center"/>
      </w:pPr>
      <w:r>
        <w:rPr>
          <w:rFonts w:ascii="Calibri" w:cs="Calibri" w:eastAsia="Calibri" w:hAnsi="Calibri"/>
          <w:color w:val="C49A00"/>
          <w:sz w:val="32"/>
          <w:szCs w:val="32"/>
        </w:rPr>
        <w:t xml:space="preserve">Lean Six Sigma DMAIC Project Proposal</w:t>
      </w:r>
    </w:p>
    <w:p>
      <w:pPr>
        <w:pBdr>
          <w:bottom w:val="single" w:color="C49A00" w:sz="18" w:space="1"/>
        </w:pBdr>
        <w:shd w:fill="1B2A6B" w:val="clear"/>
        <w:spacing w:before="0" w:after="4"/>
        <w:jc w:val="center"/>
      </w:pPr>
      <w:r>
        <w:rPr>
          <w:sz w:val="4"/>
          <w:szCs w:val="4"/>
        </w:rPr>
        <w:t xml:space="preserve"> </w:t>
      </w:r>
    </w:p>
    <w:p>
      <w:pPr>
        <w:spacing w:before="0" w:after="120"/>
      </w:pPr>
      <w:r>
        <w:t xml:space="preserve"/>
      </w:r>
    </w:p>
    <w:p>
      <w:pPr>
        <w:spacing w:before="60" w:after="60"/>
        <w:jc w:val="center"/>
      </w:pPr>
      <w:r>
        <w:rPr>
          <w:rFonts w:ascii="Calibri" w:cs="Calibri" w:eastAsia="Calibri" w:hAnsi="Calibri"/>
          <w:color w:val="666666"/>
          <w:sz w:val="22"/>
          <w:szCs w:val="22"/>
        </w:rPr>
        <w:t xml:space="preserve">Prepared by: Business Analyst — Financial Operations</w:t>
      </w:r>
    </w:p>
    <w:p>
      <w:pPr>
        <w:spacing w:before="0" w:after="60"/>
        <w:jc w:val="center"/>
      </w:pPr>
      <w:r>
        <w:rPr>
          <w:rFonts w:ascii="Calibri" w:cs="Calibri" w:eastAsia="Calibri" w:hAnsi="Calibri"/>
          <w:color w:val="666666"/>
          <w:sz w:val="22"/>
          <w:szCs w:val="22"/>
        </w:rPr>
        <w:t xml:space="preserve">Division: Commercial Banking | Wire Operations</w:t>
      </w:r>
    </w:p>
    <w:p>
      <w:pPr>
        <w:spacing w:before="0" w:after="60"/>
        <w:jc w:val="center"/>
      </w:pPr>
      <w:r>
        <w:rPr>
          <w:rFonts w:ascii="Calibri" w:cs="Calibri" w:eastAsia="Calibri" w:hAnsi="Calibri"/>
          <w:color w:val="666666"/>
          <w:sz w:val="22"/>
          <w:szCs w:val="22"/>
        </w:rPr>
        <w:t xml:space="preserve">Document Version: 1.0  |  Date: Q1 2025  |  Classification: Internal</w:t>
      </w:r>
    </w:p>
    <w:p>
      <w:pPr>
        <w:spacing w:before="0" w:after="120"/>
      </w:pPr>
      <w:r>
        <w:t xml:space="preserve"/>
      </w:r>
    </w:p>
    <w:p>
      <w:pPr>
        <w:spacing w:before="120" w:after="60"/>
        <w:jc w:val="center"/>
      </w:pPr>
      <w:r>
        <w:rPr>
          <w:rFonts w:ascii="Calibri" w:cs="Calibri" w:eastAsia="Calibri" w:hAnsi="Calibri"/>
          <w:b/>
          <w:bCs/>
          <w:color w:val="1B2A6B"/>
          <w:sz w:val="18"/>
          <w:szCs w:val="18"/>
        </w:rPr>
        <w:t xml:space="preserve">LEAN SIX SIGMA  ·  DMAIC FRAMEWORK  ·  FINANCIAL SERVICES</w:t>
      </w:r>
    </w:p>
    <w:p>
      <w:pPr>
        <w:spacing w:before="0" w:after="0"/>
      </w:pPr>
      <w:r>
        <w:br w:type="page"/>
      </w:r>
    </w:p>
    <w:p>
      <w:pPr>
        <w:pStyle w:val="Heading1"/>
        <w:pBdr>
          <w:bottom w:val="single" w:color="1B2A6B" w:sz="6" w:space="4"/>
        </w:pBdr>
        <w:spacing w:before="360" w:after="120"/>
      </w:pPr>
      <w:r>
        <w:rPr>
          <w:rFonts w:ascii="Calibri" w:cs="Calibri" w:eastAsia="Calibri" w:hAnsi="Calibri"/>
          <w:b/>
          <w:bCs/>
          <w:color w:val="1B2A6B"/>
          <w:sz w:val="30"/>
          <w:szCs w:val="30"/>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spacing w:before="0" w:after="0"/>
      </w:pPr>
      <w:r>
        <w:br w:type="page"/>
      </w:r>
    </w:p>
    <w:p>
      <w:pPr>
        <w:pStyle w:val="Heading1"/>
        <w:pBdr>
          <w:bottom w:val="single" w:color="1B2A6B" w:sz="6" w:space="4"/>
        </w:pBdr>
        <w:spacing w:before="360" w:after="120"/>
      </w:pPr>
      <w:r>
        <w:rPr>
          <w:rFonts w:ascii="Calibri" w:cs="Calibri" w:eastAsia="Calibri" w:hAnsi="Calibri"/>
          <w:b/>
          <w:bCs/>
          <w:color w:val="1B2A6B"/>
          <w:sz w:val="30"/>
          <w:szCs w:val="30"/>
        </w:rPr>
        <w:t xml:space="preserve">1. EXECUTIVE SUMMARY</w:t>
      </w:r>
    </w:p>
    <w:p>
      <w:pPr>
        <w:spacing w:before="60" w:after="120"/>
        <w:jc w:val="both"/>
      </w:pPr>
      <w:r>
        <w:rPr>
          <w:rFonts w:ascii="Calibri" w:cs="Calibri" w:eastAsia="Calibri" w:hAnsi="Calibri"/>
          <w:color w:val="333333"/>
          <w:sz w:val="22"/>
          <w:szCs w:val="22"/>
        </w:rPr>
        <w:t xml:space="preserve">This proposal presents a structured Lean Six Sigma DMAIC initiative targeting the Wire Department's operational inefficiencies. Over the past 12–18 months, the department has experienced a measurable decline in processing quality, characterized by elevated error rates, extended cycle times, and increasing customer escalations. This document outlines the business case, project scope, methodology, proposed solutions, and expected financial impact for executive review and approval.</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1.1 Business Case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Project Title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Wire Department Process Improvement — DMAIC</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Department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Wire Operations | Commercial Banking Division</w:t>
            </w:r>
          </w:p>
        </w:tc>
      </w:tr>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Project Sponsor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SVP, Operations &amp; Technology</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Project Lead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Business Analyst / Process Improvement Lead</w:t>
            </w:r>
          </w:p>
        </w:tc>
      </w:tr>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Methodology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Lean Six Sigma — DMAIC Framework</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Timeline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20 Weeks (Q2–Q3 2025)</w:t>
            </w:r>
          </w:p>
        </w:tc>
      </w:tr>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Est. Project Cost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~$105,000 (internal resources + tooling)</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Projected Annual Benefit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~$340,000 in rework cost elimination</w:t>
            </w:r>
          </w:p>
        </w:tc>
      </w:tr>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Projected ROI</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~3.2× within 12 months of implementation</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Current Process Sigma</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1.52σ  →  Target: 3.2σ</w:t>
            </w:r>
          </w:p>
        </w:tc>
      </w:tr>
    </w:tbl>
    <w:p>
      <w:pPr>
        <w:spacing w:before="0" w:after="60"/>
      </w:pPr>
      <w:r>
        <w:t xml:space="preserve"/>
      </w:r>
    </w:p>
    <w:p>
      <w:pPr>
        <w:pStyle w:val="Heading2"/>
        <w:spacing w:before="240" w:after="80"/>
      </w:pPr>
      <w:r>
        <w:rPr>
          <w:rFonts w:ascii="Calibri" w:cs="Calibri" w:eastAsia="Calibri" w:hAnsi="Calibri"/>
          <w:b/>
          <w:bCs/>
          <w:color w:val="1B2A6B"/>
          <w:sz w:val="24"/>
          <w:szCs w:val="24"/>
        </w:rPr>
        <w:t xml:space="preserve">1.2 Problem Statement</w:t>
      </w:r>
    </w:p>
    <w:p>
      <w:pPr>
        <w:pBdr>
          <w:top w:val="single" w:color="BBCCEE" w:sz="4"/>
          <w:bottom w:val="single" w:color="BBCCEE" w:sz="4"/>
          <w:left w:val="single" w:color="BBCCEE" w:sz="4"/>
          <w:right w:val="single" w:color="BBCCEE" w:sz="4"/>
        </w:pBdr>
        <w:shd w:fill="FFF5F5" w:val="clear"/>
        <w:spacing w:before="40" w:after="40"/>
        <w:ind w:left="200" w:right="200"/>
      </w:pPr>
      <w:r>
        <w:rPr>
          <w:rFonts w:ascii="Calibri" w:cs="Calibri" w:eastAsia="Calibri" w:hAnsi="Calibri"/>
          <w:color w:val="C0392B"/>
          <w:sz w:val="21"/>
          <w:szCs w:val="21"/>
        </w:rPr>
        <w:t xml:space="preserve">The Wire Department is processing approximately 310 wire transactions daily with an average end-to-end cycle time of 24 minutes — nearly three times the 8-minute industry benchmark. The documented error and rework rate of 3.2% is generating approximately $28,400 in monthly rework costs and contributing to an average of 22 customer escalations per month. No structured process improvement program has been implemented in the past three years.</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1.3 Opportunity Summary</w:t>
      </w:r>
    </w:p>
    <w:p>
      <w:pPr>
        <w:spacing w:before="60" w:after="120"/>
        <w:jc w:val="both"/>
      </w:pPr>
      <w:r>
        <w:rPr>
          <w:rFonts w:ascii="Calibri" w:cs="Calibri" w:eastAsia="Calibri" w:hAnsi="Calibri"/>
          <w:color w:val="333333"/>
          <w:sz w:val="22"/>
          <w:szCs w:val="22"/>
        </w:rPr>
        <w:t xml:space="preserve">By applying a disciplined Lean Six Sigma approach to the wire processing value stream, the department has the opportunity to:</w:t>
      </w:r>
    </w:p>
    <w:p>
      <w:pPr>
        <w:pStyle w:val="ListParagraph"/>
        <w:numPr>
          <w:ilvl w:val="0"/>
          <w:numId w:val="2"/>
        </w:numPr>
        <w:spacing w:before="40" w:after="60"/>
      </w:pPr>
      <w:r>
        <w:rPr>
          <w:rFonts w:ascii="Calibri" w:cs="Calibri" w:eastAsia="Calibri" w:hAnsi="Calibri"/>
          <w:color w:val="333333"/>
          <w:sz w:val="22"/>
          <w:szCs w:val="22"/>
        </w:rPr>
        <w:t xml:space="preserve">Reduce average cycle time by 45% — from 24 minutes to approximately 13 minutes</w:t>
      </w:r>
    </w:p>
    <w:p>
      <w:pPr>
        <w:pStyle w:val="ListParagraph"/>
        <w:numPr>
          <w:ilvl w:val="0"/>
          <w:numId w:val="2"/>
        </w:numPr>
        <w:spacing w:before="40" w:after="60"/>
      </w:pPr>
      <w:r>
        <w:rPr>
          <w:rFonts w:ascii="Calibri" w:cs="Calibri" w:eastAsia="Calibri" w:hAnsi="Calibri"/>
          <w:color w:val="333333"/>
          <w:sz w:val="22"/>
          <w:szCs w:val="22"/>
        </w:rPr>
        <w:t xml:space="preserve">Lower the error/rework rate by 62% — from 3.2% to under 1.5%</w:t>
      </w:r>
    </w:p>
    <w:p>
      <w:pPr>
        <w:pStyle w:val="ListParagraph"/>
        <w:numPr>
          <w:ilvl w:val="0"/>
          <w:numId w:val="2"/>
        </w:numPr>
        <w:spacing w:before="40" w:after="60"/>
      </w:pPr>
      <w:r>
        <w:rPr>
          <w:rFonts w:ascii="Calibri" w:cs="Calibri" w:eastAsia="Calibri" w:hAnsi="Calibri"/>
          <w:color w:val="333333"/>
          <w:sz w:val="22"/>
          <w:szCs w:val="22"/>
        </w:rPr>
        <w:t xml:space="preserve">Eliminate ~$340,000 in annualized rework and exception-handling costs</w:t>
      </w:r>
    </w:p>
    <w:p>
      <w:pPr>
        <w:pStyle w:val="ListParagraph"/>
        <w:numPr>
          <w:ilvl w:val="0"/>
          <w:numId w:val="2"/>
        </w:numPr>
        <w:spacing w:before="40" w:after="60"/>
      </w:pPr>
      <w:r>
        <w:rPr>
          <w:rFonts w:ascii="Calibri" w:cs="Calibri" w:eastAsia="Calibri" w:hAnsi="Calibri"/>
          <w:color w:val="333333"/>
          <w:sz w:val="22"/>
          <w:szCs w:val="22"/>
        </w:rPr>
        <w:t xml:space="preserve">Improve same-day settlement rates from 89% to over 97%</w:t>
      </w:r>
    </w:p>
    <w:p>
      <w:pPr>
        <w:pStyle w:val="ListParagraph"/>
        <w:numPr>
          <w:ilvl w:val="0"/>
          <w:numId w:val="2"/>
        </w:numPr>
        <w:spacing w:before="40" w:after="60"/>
      </w:pPr>
      <w:r>
        <w:rPr>
          <w:rFonts w:ascii="Calibri" w:cs="Calibri" w:eastAsia="Calibri" w:hAnsi="Calibri"/>
          <w:color w:val="333333"/>
          <w:sz w:val="22"/>
          <w:szCs w:val="22"/>
        </w:rPr>
        <w:t xml:space="preserve">Reduce customer escalations by more than 55%</w:t>
      </w:r>
    </w:p>
    <w:p>
      <w:pPr>
        <w:pStyle w:val="ListParagraph"/>
        <w:numPr>
          <w:ilvl w:val="0"/>
          <w:numId w:val="2"/>
        </w:numPr>
        <w:spacing w:before="40" w:after="60"/>
      </w:pPr>
      <w:r>
        <w:rPr>
          <w:rFonts w:ascii="Calibri" w:cs="Calibri" w:eastAsia="Calibri" w:hAnsi="Calibri"/>
          <w:color w:val="333333"/>
          <w:sz w:val="22"/>
          <w:szCs w:val="22"/>
        </w:rPr>
        <w:t xml:space="preserve">Elevate process sigma from 1.52σ to an estimated 3.2σ</w:t>
      </w:r>
    </w:p>
    <w:p>
      <w:pPr>
        <w:spacing w:before="0" w:after="0"/>
      </w:pPr>
      <w:r>
        <w:br w:type="page"/>
      </w:r>
    </w:p>
    <w:p>
      <w:pPr>
        <w:pStyle w:val="Heading1"/>
        <w:pBdr>
          <w:bottom w:val="single" w:color="1B2A6B" w:sz="6" w:space="4"/>
        </w:pBdr>
        <w:spacing w:before="360" w:after="120"/>
      </w:pPr>
      <w:r>
        <w:rPr>
          <w:rFonts w:ascii="Calibri" w:cs="Calibri" w:eastAsia="Calibri" w:hAnsi="Calibri"/>
          <w:b/>
          <w:bCs/>
          <w:color w:val="1B2A6B"/>
          <w:sz w:val="30"/>
          <w:szCs w:val="30"/>
        </w:rPr>
        <w:t xml:space="preserve">2. DEFINE PHASE</w:t>
      </w:r>
    </w:p>
    <w:p>
      <w:pPr>
        <w:spacing w:before="60" w:after="120"/>
        <w:jc w:val="both"/>
      </w:pPr>
      <w:r>
        <w:rPr>
          <w:rFonts w:ascii="Calibri" w:cs="Calibri" w:eastAsia="Calibri" w:hAnsi="Calibri"/>
          <w:color w:val="333333"/>
          <w:sz w:val="22"/>
          <w:szCs w:val="22"/>
        </w:rPr>
        <w:t xml:space="preserve">The Define phase establishes the foundation for the project — clarifying the problem, scoping the effort, identifying key stakeholders, and documenting the Voice of the Customer (VOC).</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2.1 Project Charter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Problem Statement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Wire error rate at 3.2% and avg cycle time of 24 min are generating $340K+ in annual rework costs and elevated regulatory risk.</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Goal Statement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Reduce error rate to &lt; 1.5% and avg cycle time to ≤ 14 min within 20 weeks of project launch.</w:t>
            </w:r>
          </w:p>
        </w:tc>
      </w:tr>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Project Scope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Domestic and international wire origination; Commercial Banking Division. Excludes incoming wire processing and FX conversion workflows.</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In Scope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Wire initiation, verification, dual-control approval, SWIFT transmission, same-day settlement confirmation.</w:t>
            </w:r>
          </w:p>
        </w:tc>
      </w:tr>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Out of Scope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Incoming wire processing, FX conversion, retail customer wires, ACH origination.</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Project Sponsor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SVP, Operations &amp; Technology</w:t>
            </w:r>
          </w:p>
        </w:tc>
      </w:tr>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Core Team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BA/Project Lead, Ops Manager, QA Lead, IT/Systems Analyst, Compliance Officer, 2 Wire Specialists</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Key Milestones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Charter approved (Wk 1), Baseline established (Wk 6), Solutions piloted (Wk 14), Full deployment (Wk 20)</w:t>
            </w:r>
          </w:p>
        </w:tc>
      </w:tr>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Success Metrics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Cycle time ≤ 14 min, Error rate &lt; 1.5%, Settlement ≥ 97%, Sigma ≥ 3.0</w:t>
            </w:r>
          </w:p>
        </w:tc>
      </w:tr>
    </w:tbl>
    <w:p>
      <w:pPr>
        <w:spacing w:before="0" w:after="60"/>
      </w:pPr>
      <w:r>
        <w:t xml:space="preserve"/>
      </w:r>
    </w:p>
    <w:p>
      <w:pPr>
        <w:pStyle w:val="Heading2"/>
        <w:spacing w:before="240" w:after="80"/>
      </w:pPr>
      <w:r>
        <w:rPr>
          <w:rFonts w:ascii="Calibri" w:cs="Calibri" w:eastAsia="Calibri" w:hAnsi="Calibri"/>
          <w:b/>
          <w:bCs/>
          <w:color w:val="1B2A6B"/>
          <w:sz w:val="24"/>
          <w:szCs w:val="24"/>
        </w:rPr>
        <w:t xml:space="preserve">2.2 Voice of the Customer (VOC) &amp; CTQs</w:t>
      </w:r>
    </w:p>
    <w:p>
      <w:pPr>
        <w:spacing w:before="60" w:after="120"/>
        <w:jc w:val="both"/>
      </w:pPr>
      <w:r>
        <w:rPr>
          <w:rFonts w:ascii="Calibri" w:cs="Calibri" w:eastAsia="Calibri" w:hAnsi="Calibri"/>
          <w:color w:val="333333"/>
          <w:sz w:val="22"/>
          <w:szCs w:val="22"/>
        </w:rPr>
        <w:t xml:space="preserve">The following Critical to Quality (CTQ) metrics were derived from stakeholder interviews, customer complaint data, and regulatory audit findings: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600"/>
        <w:gridCol w:w="1560"/>
      </w:tblGrid>
      <w:tr>
        <w:trPr>
          <w:tblHeader/>
        </w:trPr>
        <w:tc>
          <w:tcPr>
            <w:tcW w:type="dxa" w:w="28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CTQ Metric</w:t>
            </w:r>
          </w:p>
        </w:tc>
        <w:tc>
          <w:tcPr>
            <w:tcW w:type="dxa" w:w="18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Customer Need</w:t>
            </w:r>
          </w:p>
        </w:tc>
        <w:tc>
          <w:tcPr>
            <w:tcW w:type="dxa" w:w="16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Current State</w:t>
            </w:r>
          </w:p>
        </w:tc>
        <w:tc>
          <w:tcPr>
            <w:tcW w:type="dxa" w:w="16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Target</w:t>
            </w:r>
          </w:p>
        </w:tc>
        <w:tc>
          <w:tcPr>
            <w:tcW w:type="dxa" w:w="156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Priority</w:t>
            </w:r>
          </w:p>
        </w:tc>
      </w:tr>
      <w:tr>
        <w:tc>
          <w:tcPr>
            <w:tcW w:type="dxa" w:w="2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Avg Cycle Time</w:t>
            </w:r>
          </w:p>
        </w:tc>
        <w:tc>
          <w:tcPr>
            <w:tcW w:type="dxa" w:w="1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Speed of processing</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24 minutes</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 14 min</w:t>
            </w:r>
          </w:p>
        </w:tc>
        <w:tc>
          <w:tcPr>
            <w:tcW w:type="dxa" w:w="1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Critical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Error/Rework Rate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Accuracy &amp; reliability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&lt; 1.5%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Critical</w:t>
            </w:r>
          </w:p>
        </w:tc>
      </w:tr>
      <w:tr>
        <w:tc>
          <w:tcPr>
            <w:tcW w:type="dxa" w:w="2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Same-Day Settlement %</w:t>
            </w:r>
          </w:p>
        </w:tc>
        <w:tc>
          <w:tcPr>
            <w:tcW w:type="dxa" w:w="1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Predictability</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89%</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 97%</w:t>
            </w:r>
          </w:p>
        </w:tc>
        <w:tc>
          <w:tcPr>
            <w:tcW w:type="dxa" w:w="1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High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Compliance Exception Rate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Regulatory adherence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&lt; 0.5%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High</w:t>
            </w:r>
          </w:p>
        </w:tc>
      </w:tr>
      <w:tr>
        <w:tc>
          <w:tcPr>
            <w:tcW w:type="dxa" w:w="2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Customer Escalations</w:t>
            </w:r>
          </w:p>
        </w:tc>
        <w:tc>
          <w:tcPr>
            <w:tcW w:type="dxa" w:w="1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Client satisfaction</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~22/month</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&lt; 5/month</w:t>
            </w:r>
          </w:p>
        </w:tc>
        <w:tc>
          <w:tcPr>
            <w:tcW w:type="dxa" w:w="1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High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SWIFT Transmission Accuracy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Data integrity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96.1%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99.5%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Medium</w:t>
            </w:r>
          </w:p>
        </w:tc>
      </w:tr>
    </w:tbl>
    <w:p>
      <w:pPr>
        <w:spacing w:before="0" w:after="60"/>
      </w:pPr>
      <w:r>
        <w:t xml:space="preserve"/>
      </w:r>
    </w:p>
    <w:p>
      <w:pPr>
        <w:pStyle w:val="Heading2"/>
        <w:spacing w:before="240" w:after="80"/>
      </w:pPr>
      <w:r>
        <w:rPr>
          <w:rFonts w:ascii="Calibri" w:cs="Calibri" w:eastAsia="Calibri" w:hAnsi="Calibri"/>
          <w:b/>
          <w:bCs/>
          <w:color w:val="1B2A6B"/>
          <w:sz w:val="24"/>
          <w:szCs w:val="24"/>
        </w:rPr>
        <w:t xml:space="preserve">2.3 SIPOC Map</w:t>
      </w:r>
    </w:p>
    <w:p>
      <w:pPr>
        <w:spacing w:before="60" w:after="120"/>
        <w:jc w:val="both"/>
      </w:pPr>
      <w:r>
        <w:rPr>
          <w:rFonts w:ascii="Calibri" w:cs="Calibri" w:eastAsia="Calibri" w:hAnsi="Calibri"/>
          <w:color w:val="333333"/>
          <w:sz w:val="22"/>
          <w:szCs w:val="22"/>
        </w:rPr>
        <w:t xml:space="preserve">The SIPOC (Suppliers, Inputs, Process, Outputs, Customers) map provides a high-level view of the wire origination process: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B2A6B" w:sz="6"/>
              <w:left w:val="single" w:color="1B2A6B" w:sz="6"/>
              <w:bottom w:val="single" w:color="1B2A6B" w:sz="6"/>
              <w:right w:val="single" w:color="1B2A6B" w:sz="6"/>
            </w:tcBorders>
            <w:shd w:fill="C0392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SUPPLIERS</w:t>
            </w:r>
          </w:p>
        </w:tc>
        <w:tc>
          <w:tcPr>
            <w:tcW w:type="dxa" w:w="1872"/>
            <w:tcBorders>
              <w:top w:val="single" w:color="1B2A6B" w:sz="6"/>
              <w:left w:val="single" w:color="1B2A6B" w:sz="6"/>
              <w:bottom w:val="single" w:color="1B2A6B" w:sz="6"/>
              <w:right w:val="single" w:color="1B2A6B" w:sz="6"/>
            </w:tcBorders>
            <w:shd w:fill="E67E2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INPUTS</w:t>
            </w:r>
          </w:p>
        </w:tc>
        <w:tc>
          <w:tcPr>
            <w:tcW w:type="dxa" w:w="1872"/>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PROCESS</w:t>
            </w:r>
          </w:p>
        </w:tc>
        <w:tc>
          <w:tcPr>
            <w:tcW w:type="dxa" w:w="1872"/>
            <w:tcBorders>
              <w:top w:val="single" w:color="1B2A6B" w:sz="6"/>
              <w:left w:val="single" w:color="1B2A6B" w:sz="6"/>
              <w:bottom w:val="single" w:color="1B2A6B" w:sz="6"/>
              <w:right w:val="single" w:color="1B2A6B" w:sz="6"/>
            </w:tcBorders>
            <w:shd w:fill="1A7F5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OUTPUTS</w:t>
            </w:r>
          </w:p>
        </w:tc>
        <w:tc>
          <w:tcPr>
            <w:tcW w:type="dxa" w:w="1872"/>
            <w:tcBorders>
              <w:top w:val="single" w:color="1B2A6B" w:sz="6"/>
              <w:left w:val="single" w:color="1B2A6B" w:sz="6"/>
              <w:bottom w:val="single" w:color="1B2A6B" w:sz="6"/>
              <w:right w:val="single" w:color="1B2A6B" w:sz="6"/>
            </w:tcBorders>
            <w:shd w:fill="0066C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CUSTOMERS</w:t>
            </w:r>
          </w:p>
        </w:tc>
      </w:tr>
      <w:tr>
        <w:tc>
          <w:tcPr>
            <w:tcW w:type="dxa" w:w="1872"/>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vAlign w:val="top"/>
          </w:tcPr>
          <w:p>
            <w:pPr>
              <w:pStyle w:val="ListParagraph"/>
              <w:numPr>
                <w:ilvl w:val="0"/>
                <w:numId w:val="2"/>
              </w:numPr>
              <w:spacing w:before="20" w:after="20"/>
            </w:pPr>
            <w:r>
              <w:rPr>
                <w:rFonts w:ascii="Calibri" w:cs="Calibri" w:eastAsia="Calibri" w:hAnsi="Calibri"/>
                <w:color w:val="333333"/>
                <w:sz w:val="19"/>
                <w:szCs w:val="19"/>
              </w:rPr>
              <w:t xml:space="preserve">Commercial Clients</w:t>
            </w:r>
          </w:p>
          <w:p>
            <w:pPr>
              <w:pStyle w:val="ListParagraph"/>
              <w:numPr>
                <w:ilvl w:val="0"/>
                <w:numId w:val="2"/>
              </w:numPr>
              <w:spacing w:before="20" w:after="20"/>
            </w:pPr>
            <w:r>
              <w:rPr>
                <w:rFonts w:ascii="Calibri" w:cs="Calibri" w:eastAsia="Calibri" w:hAnsi="Calibri"/>
                <w:color w:val="333333"/>
                <w:sz w:val="19"/>
                <w:szCs w:val="19"/>
              </w:rPr>
              <w:t xml:space="preserve">Relationship Mgrs</w:t>
            </w:r>
          </w:p>
          <w:p>
            <w:pPr>
              <w:pStyle w:val="ListParagraph"/>
              <w:numPr>
                <w:ilvl w:val="0"/>
                <w:numId w:val="2"/>
              </w:numPr>
              <w:spacing w:before="20" w:after="20"/>
            </w:pPr>
            <w:r>
              <w:rPr>
                <w:rFonts w:ascii="Calibri" w:cs="Calibri" w:eastAsia="Calibri" w:hAnsi="Calibri"/>
                <w:color w:val="333333"/>
                <w:sz w:val="19"/>
                <w:szCs w:val="19"/>
              </w:rPr>
              <w:t xml:space="preserve">Treasury Operations</w:t>
            </w:r>
          </w:p>
          <w:p>
            <w:pPr>
              <w:pStyle w:val="ListParagraph"/>
              <w:numPr>
                <w:ilvl w:val="0"/>
                <w:numId w:val="2"/>
              </w:numPr>
              <w:spacing w:before="20" w:after="20"/>
            </w:pPr>
            <w:r>
              <w:rPr>
                <w:rFonts w:ascii="Calibri" w:cs="Calibri" w:eastAsia="Calibri" w:hAnsi="Calibri"/>
                <w:color w:val="333333"/>
                <w:sz w:val="19"/>
                <w:szCs w:val="19"/>
              </w:rPr>
              <w:t xml:space="preserve">Compliance Team</w:t>
            </w:r>
          </w:p>
          <w:p>
            <w:pPr>
              <w:pStyle w:val="ListParagraph"/>
              <w:numPr>
                <w:ilvl w:val="0"/>
                <w:numId w:val="2"/>
              </w:numPr>
              <w:spacing w:before="20" w:after="20"/>
            </w:pPr>
            <w:r>
              <w:rPr>
                <w:rFonts w:ascii="Calibri" w:cs="Calibri" w:eastAsia="Calibri" w:hAnsi="Calibri"/>
                <w:color w:val="333333"/>
                <w:sz w:val="19"/>
                <w:szCs w:val="19"/>
              </w:rPr>
              <w:t xml:space="preserve">IT/Systems</w:t>
            </w:r>
          </w:p>
        </w:tc>
        <w:tc>
          <w:tcPr>
            <w:tcW w:type="dxa" w:w="1872"/>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vAlign w:val="top"/>
          </w:tcPr>
          <w:p>
            <w:pPr>
              <w:pStyle w:val="ListParagraph"/>
              <w:numPr>
                <w:ilvl w:val="0"/>
                <w:numId w:val="2"/>
              </w:numPr>
              <w:spacing w:before="20" w:after="20"/>
            </w:pPr>
            <w:r>
              <w:rPr>
                <w:rFonts w:ascii="Calibri" w:cs="Calibri" w:eastAsia="Calibri" w:hAnsi="Calibri"/>
                <w:color w:val="333333"/>
                <w:sz w:val="19"/>
                <w:szCs w:val="19"/>
              </w:rPr>
              <w:t xml:space="preserve">Wire request form</w:t>
            </w:r>
          </w:p>
          <w:p>
            <w:pPr>
              <w:pStyle w:val="ListParagraph"/>
              <w:numPr>
                <w:ilvl w:val="0"/>
                <w:numId w:val="2"/>
              </w:numPr>
              <w:spacing w:before="20" w:after="20"/>
            </w:pPr>
            <w:r>
              <w:rPr>
                <w:rFonts w:ascii="Calibri" w:cs="Calibri" w:eastAsia="Calibri" w:hAnsi="Calibri"/>
                <w:color w:val="333333"/>
                <w:sz w:val="19"/>
                <w:szCs w:val="19"/>
              </w:rPr>
              <w:t xml:space="preserve">Client ID &amp; account</w:t>
            </w:r>
          </w:p>
          <w:p>
            <w:pPr>
              <w:pStyle w:val="ListParagraph"/>
              <w:numPr>
                <w:ilvl w:val="0"/>
                <w:numId w:val="2"/>
              </w:numPr>
              <w:spacing w:before="20" w:after="20"/>
            </w:pPr>
            <w:r>
              <w:rPr>
                <w:rFonts w:ascii="Calibri" w:cs="Calibri" w:eastAsia="Calibri" w:hAnsi="Calibri"/>
                <w:color w:val="333333"/>
                <w:sz w:val="19"/>
                <w:szCs w:val="19"/>
              </w:rPr>
              <w:t xml:space="preserve">Beneficiary details</w:t>
            </w:r>
          </w:p>
          <w:p>
            <w:pPr>
              <w:pStyle w:val="ListParagraph"/>
              <w:numPr>
                <w:ilvl w:val="0"/>
                <w:numId w:val="2"/>
              </w:numPr>
              <w:spacing w:before="20" w:after="20"/>
            </w:pPr>
            <w:r>
              <w:rPr>
                <w:rFonts w:ascii="Calibri" w:cs="Calibri" w:eastAsia="Calibri" w:hAnsi="Calibri"/>
                <w:color w:val="333333"/>
                <w:sz w:val="19"/>
                <w:szCs w:val="19"/>
              </w:rPr>
              <w:t xml:space="preserve">Compliance flags</w:t>
            </w:r>
          </w:p>
          <w:p>
            <w:pPr>
              <w:pStyle w:val="ListParagraph"/>
              <w:numPr>
                <w:ilvl w:val="0"/>
                <w:numId w:val="2"/>
              </w:numPr>
              <w:spacing w:before="20" w:after="20"/>
            </w:pPr>
            <w:r>
              <w:rPr>
                <w:rFonts w:ascii="Calibri" w:cs="Calibri" w:eastAsia="Calibri" w:hAnsi="Calibri"/>
                <w:color w:val="333333"/>
                <w:sz w:val="19"/>
                <w:szCs w:val="19"/>
              </w:rPr>
              <w:t xml:space="preserve">Authorization docs</w:t>
            </w:r>
          </w:p>
        </w:tc>
        <w:tc>
          <w:tcPr>
            <w:tcW w:type="dxa" w:w="1872"/>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vAlign w:val="top"/>
          </w:tcPr>
          <w:p>
            <w:pPr>
              <w:pStyle w:val="ListParagraph"/>
              <w:numPr>
                <w:ilvl w:val="0"/>
                <w:numId w:val="2"/>
              </w:numPr>
              <w:spacing w:before="20" w:after="20"/>
            </w:pPr>
            <w:r>
              <w:rPr>
                <w:rFonts w:ascii="Calibri" w:cs="Calibri" w:eastAsia="Calibri" w:hAnsi="Calibri"/>
                <w:color w:val="333333"/>
                <w:sz w:val="19"/>
                <w:szCs w:val="19"/>
              </w:rPr>
              <w:t xml:space="preserve">1. Initiate request</w:t>
            </w:r>
          </w:p>
          <w:p>
            <w:pPr>
              <w:pStyle w:val="ListParagraph"/>
              <w:numPr>
                <w:ilvl w:val="0"/>
                <w:numId w:val="2"/>
              </w:numPr>
              <w:spacing w:before="20" w:after="20"/>
            </w:pPr>
            <w:r>
              <w:rPr>
                <w:rFonts w:ascii="Calibri" w:cs="Calibri" w:eastAsia="Calibri" w:hAnsi="Calibri"/>
                <w:color w:val="333333"/>
                <w:sz w:val="19"/>
                <w:szCs w:val="19"/>
              </w:rPr>
              <w:t xml:space="preserve">2. Verify data</w:t>
            </w:r>
          </w:p>
          <w:p>
            <w:pPr>
              <w:pStyle w:val="ListParagraph"/>
              <w:numPr>
                <w:ilvl w:val="0"/>
                <w:numId w:val="2"/>
              </w:numPr>
              <w:spacing w:before="20" w:after="20"/>
            </w:pPr>
            <w:r>
              <w:rPr>
                <w:rFonts w:ascii="Calibri" w:cs="Calibri" w:eastAsia="Calibri" w:hAnsi="Calibri"/>
                <w:color w:val="333333"/>
                <w:sz w:val="19"/>
                <w:szCs w:val="19"/>
              </w:rPr>
              <w:t xml:space="preserve">3. Dual-control approval</w:t>
            </w:r>
          </w:p>
          <w:p>
            <w:pPr>
              <w:pStyle w:val="ListParagraph"/>
              <w:numPr>
                <w:ilvl w:val="0"/>
                <w:numId w:val="2"/>
              </w:numPr>
              <w:spacing w:before="20" w:after="20"/>
            </w:pPr>
            <w:r>
              <w:rPr>
                <w:rFonts w:ascii="Calibri" w:cs="Calibri" w:eastAsia="Calibri" w:hAnsi="Calibri"/>
                <w:color w:val="333333"/>
                <w:sz w:val="19"/>
                <w:szCs w:val="19"/>
              </w:rPr>
              <w:t xml:space="preserve">4. SWIFT transmission</w:t>
            </w:r>
          </w:p>
          <w:p>
            <w:pPr>
              <w:pStyle w:val="ListParagraph"/>
              <w:numPr>
                <w:ilvl w:val="0"/>
                <w:numId w:val="2"/>
              </w:numPr>
              <w:spacing w:before="20" w:after="20"/>
            </w:pPr>
            <w:r>
              <w:rPr>
                <w:rFonts w:ascii="Calibri" w:cs="Calibri" w:eastAsia="Calibri" w:hAnsi="Calibri"/>
                <w:color w:val="333333"/>
                <w:sz w:val="19"/>
                <w:szCs w:val="19"/>
              </w:rPr>
              <w:t xml:space="preserve">5. Confirm settlement</w:t>
            </w:r>
          </w:p>
        </w:tc>
        <w:tc>
          <w:tcPr>
            <w:tcW w:type="dxa" w:w="1872"/>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vAlign w:val="top"/>
          </w:tcPr>
          <w:p>
            <w:pPr>
              <w:pStyle w:val="ListParagraph"/>
              <w:numPr>
                <w:ilvl w:val="0"/>
                <w:numId w:val="2"/>
              </w:numPr>
              <w:spacing w:before="20" w:after="20"/>
            </w:pPr>
            <w:r>
              <w:rPr>
                <w:rFonts w:ascii="Calibri" w:cs="Calibri" w:eastAsia="Calibri" w:hAnsi="Calibri"/>
                <w:color w:val="333333"/>
                <w:sz w:val="19"/>
                <w:szCs w:val="19"/>
              </w:rPr>
              <w:t xml:space="preserve">Settled wire transaction</w:t>
            </w:r>
          </w:p>
          <w:p>
            <w:pPr>
              <w:pStyle w:val="ListParagraph"/>
              <w:numPr>
                <w:ilvl w:val="0"/>
                <w:numId w:val="2"/>
              </w:numPr>
              <w:spacing w:before="20" w:after="20"/>
            </w:pPr>
            <w:r>
              <w:rPr>
                <w:rFonts w:ascii="Calibri" w:cs="Calibri" w:eastAsia="Calibri" w:hAnsi="Calibri"/>
                <w:color w:val="333333"/>
                <w:sz w:val="19"/>
                <w:szCs w:val="19"/>
              </w:rPr>
              <w:t xml:space="preserve">SWIFT MT103 confirm</w:t>
            </w:r>
          </w:p>
          <w:p>
            <w:pPr>
              <w:pStyle w:val="ListParagraph"/>
              <w:numPr>
                <w:ilvl w:val="0"/>
                <w:numId w:val="2"/>
              </w:numPr>
              <w:spacing w:before="20" w:after="20"/>
            </w:pPr>
            <w:r>
              <w:rPr>
                <w:rFonts w:ascii="Calibri" w:cs="Calibri" w:eastAsia="Calibri" w:hAnsi="Calibri"/>
                <w:color w:val="333333"/>
                <w:sz w:val="19"/>
                <w:szCs w:val="19"/>
              </w:rPr>
              <w:t xml:space="preserve">Audit log entry</w:t>
            </w:r>
          </w:p>
          <w:p>
            <w:pPr>
              <w:pStyle w:val="ListParagraph"/>
              <w:numPr>
                <w:ilvl w:val="0"/>
                <w:numId w:val="2"/>
              </w:numPr>
              <w:spacing w:before="20" w:after="20"/>
            </w:pPr>
            <w:r>
              <w:rPr>
                <w:rFonts w:ascii="Calibri" w:cs="Calibri" w:eastAsia="Calibri" w:hAnsi="Calibri"/>
                <w:color w:val="333333"/>
                <w:sz w:val="19"/>
                <w:szCs w:val="19"/>
              </w:rPr>
              <w:t xml:space="preserve">Client notification</w:t>
            </w:r>
          </w:p>
          <w:p>
            <w:pPr>
              <w:pStyle w:val="ListParagraph"/>
              <w:numPr>
                <w:ilvl w:val="0"/>
                <w:numId w:val="2"/>
              </w:numPr>
              <w:spacing w:before="20" w:after="20"/>
            </w:pPr>
            <w:r>
              <w:rPr>
                <w:rFonts w:ascii="Calibri" w:cs="Calibri" w:eastAsia="Calibri" w:hAnsi="Calibri"/>
                <w:color w:val="333333"/>
                <w:sz w:val="19"/>
                <w:szCs w:val="19"/>
              </w:rPr>
              <w:t xml:space="preserve">Compliance record</w:t>
            </w:r>
          </w:p>
        </w:tc>
        <w:tc>
          <w:tcPr>
            <w:tcW w:type="dxa" w:w="1872"/>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vAlign w:val="top"/>
          </w:tcPr>
          <w:p>
            <w:pPr>
              <w:pStyle w:val="ListParagraph"/>
              <w:numPr>
                <w:ilvl w:val="0"/>
                <w:numId w:val="2"/>
              </w:numPr>
              <w:spacing w:before="20" w:after="20"/>
            </w:pPr>
            <w:r>
              <w:rPr>
                <w:rFonts w:ascii="Calibri" w:cs="Calibri" w:eastAsia="Calibri" w:hAnsi="Calibri"/>
                <w:color w:val="333333"/>
                <w:sz w:val="19"/>
                <w:szCs w:val="19"/>
              </w:rPr>
              <w:t xml:space="preserve">Corporate clients</w:t>
            </w:r>
          </w:p>
          <w:p>
            <w:pPr>
              <w:pStyle w:val="ListParagraph"/>
              <w:numPr>
                <w:ilvl w:val="0"/>
                <w:numId w:val="2"/>
              </w:numPr>
              <w:spacing w:before="20" w:after="20"/>
            </w:pPr>
            <w:r>
              <w:rPr>
                <w:rFonts w:ascii="Calibri" w:cs="Calibri" w:eastAsia="Calibri" w:hAnsi="Calibri"/>
                <w:color w:val="333333"/>
                <w:sz w:val="19"/>
                <w:szCs w:val="19"/>
              </w:rPr>
              <w:t xml:space="preserve">Correspondent banks</w:t>
            </w:r>
          </w:p>
          <w:p>
            <w:pPr>
              <w:pStyle w:val="ListParagraph"/>
              <w:numPr>
                <w:ilvl w:val="0"/>
                <w:numId w:val="2"/>
              </w:numPr>
              <w:spacing w:before="20" w:after="20"/>
            </w:pPr>
            <w:r>
              <w:rPr>
                <w:rFonts w:ascii="Calibri" w:cs="Calibri" w:eastAsia="Calibri" w:hAnsi="Calibri"/>
                <w:color w:val="333333"/>
                <w:sz w:val="19"/>
                <w:szCs w:val="19"/>
              </w:rPr>
              <w:t xml:space="preserve">Internal Treasury</w:t>
            </w:r>
          </w:p>
          <w:p>
            <w:pPr>
              <w:pStyle w:val="ListParagraph"/>
              <w:numPr>
                <w:ilvl w:val="0"/>
                <w:numId w:val="2"/>
              </w:numPr>
              <w:spacing w:before="20" w:after="20"/>
            </w:pPr>
            <w:r>
              <w:rPr>
                <w:rFonts w:ascii="Calibri" w:cs="Calibri" w:eastAsia="Calibri" w:hAnsi="Calibri"/>
                <w:color w:val="333333"/>
                <w:sz w:val="19"/>
                <w:szCs w:val="19"/>
              </w:rPr>
              <w:t xml:space="preserve">Regulators (OCC/Fed)</w:t>
            </w:r>
          </w:p>
          <w:p>
            <w:pPr>
              <w:pStyle w:val="ListParagraph"/>
              <w:numPr>
                <w:ilvl w:val="0"/>
                <w:numId w:val="2"/>
              </w:numPr>
              <w:spacing w:before="20" w:after="20"/>
            </w:pPr>
            <w:r>
              <w:rPr>
                <w:rFonts w:ascii="Calibri" w:cs="Calibri" w:eastAsia="Calibri" w:hAnsi="Calibri"/>
                <w:color w:val="333333"/>
                <w:sz w:val="19"/>
                <w:szCs w:val="19"/>
              </w:rPr>
              <w:t xml:space="preserve">Operations Managers</w:t>
            </w:r>
          </w:p>
        </w:tc>
      </w:tr>
    </w:tbl>
    <w:p>
      <w:pPr>
        <w:spacing w:before="0" w:after="0"/>
      </w:pPr>
      <w:r>
        <w:br w:type="page"/>
      </w:r>
    </w:p>
    <w:p>
      <w:pPr>
        <w:pStyle w:val="Heading1"/>
        <w:pBdr>
          <w:bottom w:val="single" w:color="1B2A6B" w:sz="6" w:space="4"/>
        </w:pBdr>
        <w:spacing w:before="360" w:after="120"/>
      </w:pPr>
      <w:r>
        <w:rPr>
          <w:rFonts w:ascii="Calibri" w:cs="Calibri" w:eastAsia="Calibri" w:hAnsi="Calibri"/>
          <w:b/>
          <w:bCs/>
          <w:color w:val="1B2A6B"/>
          <w:sz w:val="30"/>
          <w:szCs w:val="30"/>
        </w:rPr>
        <w:t xml:space="preserve">3. MEASURE PHASE</w:t>
      </w:r>
    </w:p>
    <w:p>
      <w:pPr>
        <w:spacing w:before="60" w:after="120"/>
        <w:jc w:val="both"/>
      </w:pPr>
      <w:r>
        <w:rPr>
          <w:rFonts w:ascii="Calibri" w:cs="Calibri" w:eastAsia="Calibri" w:hAnsi="Calibri"/>
          <w:color w:val="333333"/>
          <w:sz w:val="22"/>
          <w:szCs w:val="22"/>
        </w:rPr>
        <w:t xml:space="preserve">The Measure phase quantifies the current state of the wire processing operation. A four-week data collection effort captured transaction-level data across all wire types, shifts, and origination channels.</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3.1 Data Collection Methodology</w:t>
      </w:r>
    </w:p>
    <w:p>
      <w:pPr>
        <w:pStyle w:val="ListParagraph"/>
        <w:numPr>
          <w:ilvl w:val="0"/>
          <w:numId w:val="2"/>
        </w:numPr>
        <w:spacing w:before="40" w:after="60"/>
      </w:pPr>
      <w:r>
        <w:rPr>
          <w:rFonts w:ascii="Calibri" w:cs="Calibri" w:eastAsia="Calibri" w:hAnsi="Calibri"/>
          <w:color w:val="333333"/>
          <w:sz w:val="22"/>
          <w:szCs w:val="22"/>
        </w:rPr>
        <w:t xml:space="preserve">Data source: Core banking system transaction logs + manual error tracking register</w:t>
      </w:r>
    </w:p>
    <w:p>
      <w:pPr>
        <w:pStyle w:val="ListParagraph"/>
        <w:numPr>
          <w:ilvl w:val="0"/>
          <w:numId w:val="2"/>
        </w:numPr>
        <w:spacing w:before="40" w:after="60"/>
      </w:pPr>
      <w:r>
        <w:rPr>
          <w:rFonts w:ascii="Calibri" w:cs="Calibri" w:eastAsia="Calibri" w:hAnsi="Calibri"/>
          <w:color w:val="333333"/>
          <w:sz w:val="22"/>
          <w:szCs w:val="22"/>
        </w:rPr>
        <w:t xml:space="preserve">Sample size: 4,860 wire transactions over a rolling 4-week period</w:t>
      </w:r>
    </w:p>
    <w:p>
      <w:pPr>
        <w:pStyle w:val="ListParagraph"/>
        <w:numPr>
          <w:ilvl w:val="0"/>
          <w:numId w:val="2"/>
        </w:numPr>
        <w:spacing w:before="40" w:after="60"/>
      </w:pPr>
      <w:r>
        <w:rPr>
          <w:rFonts w:ascii="Calibri" w:cs="Calibri" w:eastAsia="Calibri" w:hAnsi="Calibri"/>
          <w:color w:val="333333"/>
          <w:sz w:val="22"/>
          <w:szCs w:val="22"/>
        </w:rPr>
        <w:t xml:space="preserve">Data fields captured: Transaction type, origination channel, processing start/end time, error type (if applicable), rework duration, assigned processor, shift, settlement status</w:t>
      </w:r>
    </w:p>
    <w:p>
      <w:pPr>
        <w:pStyle w:val="ListParagraph"/>
        <w:numPr>
          <w:ilvl w:val="0"/>
          <w:numId w:val="2"/>
        </w:numPr>
        <w:spacing w:before="40" w:after="60"/>
      </w:pPr>
      <w:r>
        <w:rPr>
          <w:rFonts w:ascii="Calibri" w:cs="Calibri" w:eastAsia="Calibri" w:hAnsi="Calibri"/>
          <w:color w:val="333333"/>
          <w:sz w:val="22"/>
          <w:szCs w:val="22"/>
        </w:rPr>
        <w:t xml:space="preserve">Measurement system: Gauge R&amp;R conducted on manual error classification — 91% agreement across three reviewers</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3.2 Baseline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288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Baseline Value</w:t>
            </w:r>
          </w:p>
        </w:tc>
        <w:tc>
          <w:tcPr>
            <w:tcW w:type="dxa" w:w="288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Benchmark/Target</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Average End-to-End Cycle Time</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24 minutes</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 14 minutes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Cycle Time Std Deviation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±11.3 minutes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&lt; ±3 minutes</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Min / Max Cycle Time</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8 min / 62 min</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Daily Wire Volume (avg)</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~310 transactions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Peak-Hour Volume</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60–80 transactions/hr</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Defects Per Million Opportunities (DPMO)</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32,000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&lt; 6,210 (at 4σ)</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Process Sigma Level</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1.52σ</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 3.0σ</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First Pass Yield (FPY)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96.8%</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98.5%</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Error / Rework Rate</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3.2%</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&lt; 1.5%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Average Rework Duration (per incident)</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38 minutes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Monthly Rework Cost (est.)</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$28,400</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&lt; $10,000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Same-Day Settlement Rate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89%</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97%</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Compliance Exception Rate</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1.8%</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&lt; 0.5%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Monthly Customer Escalations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~22</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&lt; 5</w:t>
            </w:r>
          </w:p>
        </w:tc>
      </w:tr>
    </w:tbl>
    <w:p>
      <w:pPr>
        <w:spacing w:before="0" w:after="60"/>
      </w:pPr>
      <w:r>
        <w:t xml:space="preserve"/>
      </w:r>
    </w:p>
    <w:p>
      <w:pPr>
        <w:pStyle w:val="Heading2"/>
        <w:spacing w:before="240" w:after="80"/>
      </w:pPr>
      <w:r>
        <w:rPr>
          <w:rFonts w:ascii="Calibri" w:cs="Calibri" w:eastAsia="Calibri" w:hAnsi="Calibri"/>
          <w:b/>
          <w:bCs/>
          <w:color w:val="1B2A6B"/>
          <w:sz w:val="24"/>
          <w:szCs w:val="24"/>
        </w:rPr>
        <w:t xml:space="preserve">3.3 Pareto Analysis — Defect Categories</w:t>
      </w:r>
    </w:p>
    <w:p>
      <w:pPr>
        <w:spacing w:before="60" w:after="120"/>
        <w:jc w:val="both"/>
      </w:pPr>
      <w:r>
        <w:rPr>
          <w:rFonts w:ascii="Calibri" w:cs="Calibri" w:eastAsia="Calibri" w:hAnsi="Calibri"/>
          <w:color w:val="333333"/>
          <w:sz w:val="22"/>
          <w:szCs w:val="22"/>
        </w:rPr>
        <w:t xml:space="preserve">A Pareto analysis of 156 documented errors during the measurement period revealed the following distribution: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rPr>
          <w:tblHeader/>
        </w:trPr>
        <w:tc>
          <w:tcPr>
            <w:tcW w:type="dxa" w:w="36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Defect Category</w:t>
            </w:r>
          </w:p>
        </w:tc>
        <w:tc>
          <w:tcPr>
            <w:tcW w:type="dxa" w:w="16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Count</w:t>
            </w:r>
          </w:p>
        </w:tc>
        <w:tc>
          <w:tcPr>
            <w:tcW w:type="dxa" w:w="16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of Total</w:t>
            </w:r>
          </w:p>
        </w:tc>
        <w:tc>
          <w:tcPr>
            <w:tcW w:type="dxa" w:w="256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Cumulative %</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Data Entry Errors (field mismatch, typos)</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59</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38%</w:t>
            </w:r>
          </w:p>
        </w:tc>
        <w:tc>
          <w:tcPr>
            <w:tcW w:type="dxa" w:w="2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38%</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Missing or Incomplete Documentation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22%</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60%</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Compliance Hold — Threshold Flags</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27</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17%</w:t>
            </w:r>
          </w:p>
        </w:tc>
        <w:tc>
          <w:tcPr>
            <w:tcW w:type="dxa" w:w="2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77%</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Duplicate Wire Submission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11%</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88%</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System Timeout / Interface Error</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12</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8%</w:t>
            </w:r>
          </w:p>
        </w:tc>
        <w:tc>
          <w:tcPr>
            <w:tcW w:type="dxa" w:w="2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96%</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Other / Miscellaneous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100%</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TOTAL</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156</w:t>
            </w:r>
          </w:p>
        </w:tc>
        <w:tc>
          <w:tcPr>
            <w:tcW w:type="dxa" w:w="1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100%</w:t>
            </w:r>
          </w:p>
        </w:tc>
        <w:tc>
          <w:tcPr>
            <w:tcW w:type="dxa" w:w="2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w:t>
            </w:r>
          </w:p>
        </w:tc>
      </w:tr>
    </w:tbl>
    <w:p>
      <w:pPr>
        <w:pBdr>
          <w:top w:val="single" w:color="BBCCEE" w:sz="4"/>
          <w:bottom w:val="single" w:color="BBCCEE" w:sz="4"/>
          <w:left w:val="single" w:color="BBCCEE" w:sz="4"/>
          <w:right w:val="single" w:color="BBCCEE" w:sz="4"/>
        </w:pBdr>
        <w:shd w:fill="E8F2FF" w:val="clear"/>
        <w:spacing w:before="40" w:after="40"/>
        <w:ind w:left="200" w:right="200"/>
      </w:pPr>
      <w:r>
        <w:rPr>
          <w:rFonts w:ascii="Calibri" w:cs="Calibri" w:eastAsia="Calibri" w:hAnsi="Calibri"/>
          <w:color w:val="1B2A6B"/>
          <w:sz w:val="21"/>
          <w:szCs w:val="21"/>
        </w:rPr>
        <w:t xml:space="preserve">Pareto Insight: The top two defect categories (data entry errors and missing documentation) account for 60% of all errors. Eliminating these two root causes alone would bring the error rate below the 1.5% target threshold.</w:t>
      </w:r>
    </w:p>
    <w:p>
      <w:pPr>
        <w:spacing w:before="0" w:after="0"/>
      </w:pPr>
      <w:r>
        <w:br w:type="page"/>
      </w:r>
    </w:p>
    <w:p>
      <w:pPr>
        <w:pStyle w:val="Heading1"/>
        <w:pBdr>
          <w:bottom w:val="single" w:color="1B2A6B" w:sz="6" w:space="4"/>
        </w:pBdr>
        <w:spacing w:before="360" w:after="120"/>
      </w:pPr>
      <w:r>
        <w:rPr>
          <w:rFonts w:ascii="Calibri" w:cs="Calibri" w:eastAsia="Calibri" w:hAnsi="Calibri"/>
          <w:b/>
          <w:bCs/>
          <w:color w:val="1B2A6B"/>
          <w:sz w:val="30"/>
          <w:szCs w:val="30"/>
        </w:rPr>
        <w:t xml:space="preserve">4. ANALYZE PHASE</w:t>
      </w:r>
    </w:p>
    <w:p>
      <w:pPr>
        <w:spacing w:before="60" w:after="120"/>
        <w:jc w:val="both"/>
      </w:pPr>
      <w:r>
        <w:rPr>
          <w:rFonts w:ascii="Calibri" w:cs="Calibri" w:eastAsia="Calibri" w:hAnsi="Calibri"/>
          <w:color w:val="333333"/>
          <w:sz w:val="22"/>
          <w:szCs w:val="22"/>
        </w:rPr>
        <w:t xml:space="preserve">The Analyze phase employs structured root cause analysis tools to identify the verified drivers behind the Wire Department's performance gaps. A multi-day kaizen workshop was conducted with a cross-functional team of eight subject matter experts.</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4.1 Fishbone (Ishikawa) Analysis Summary</w:t>
      </w:r>
    </w:p>
    <w:p>
      <w:pPr>
        <w:spacing w:before="60" w:after="120"/>
        <w:jc w:val="both"/>
      </w:pPr>
      <w:r>
        <w:rPr>
          <w:rFonts w:ascii="Calibri" w:cs="Calibri" w:eastAsia="Calibri" w:hAnsi="Calibri"/>
          <w:color w:val="333333"/>
          <w:sz w:val="22"/>
          <w:szCs w:val="22"/>
        </w:rPr>
        <w:t xml:space="preserve">The following six cause categories were examined across the fishbone diagram exercise:</w:t>
      </w:r>
    </w:p>
    <w:p>
      <w:pPr>
        <w:spacing w:before="0" w:after="60"/>
      </w:pPr>
      <w:r>
        <w:t xml:space="preserve"/>
      </w:r>
    </w:p>
    <w:p>
      <w:pPr>
        <w:pBdr>
          <w:top w:val="single" w:color="C0392B" w:sz="1"/>
          <w:bottom w:val="single" w:color="C0392B" w:sz="1"/>
          <w:left w:val="single" w:color="C0392B" w:sz="1"/>
          <w:right w:val="single" w:color="C0392B" w:sz="1"/>
        </w:pBdr>
        <w:shd w:fill="C0392B" w:val="clear"/>
        <w:spacing w:before="180" w:after="60"/>
        <w:ind w:left="120"/>
      </w:pPr>
      <w:r>
        <w:rPr>
          <w:rFonts w:ascii="Calibri" w:cs="Calibri" w:eastAsia="Calibri" w:hAnsi="Calibri"/>
          <w:b/>
          <w:bCs/>
          <w:color w:val="FFFFFF"/>
          <w:sz w:val="24"/>
          <w:szCs w:val="24"/>
        </w:rPr>
        <w:t xml:space="preserve">PEOPLE</w:t>
      </w:r>
    </w:p>
    <w:p>
      <w:pPr>
        <w:pStyle w:val="ListParagraph"/>
        <w:numPr>
          <w:ilvl w:val="0"/>
          <w:numId w:val="2"/>
        </w:numPr>
        <w:spacing w:before="40" w:after="60"/>
      </w:pPr>
      <w:r>
        <w:rPr>
          <w:rFonts w:ascii="Calibri" w:cs="Calibri" w:eastAsia="Calibri" w:hAnsi="Calibri"/>
          <w:color w:val="333333"/>
          <w:sz w:val="22"/>
          <w:szCs w:val="22"/>
        </w:rPr>
        <w:t xml:space="preserve">Inconsistent initial training across shift cohorts — no standardized onboarding curriculum</w:t>
      </w:r>
    </w:p>
    <w:p>
      <w:pPr>
        <w:pStyle w:val="ListParagraph"/>
        <w:numPr>
          <w:ilvl w:val="0"/>
          <w:numId w:val="2"/>
        </w:numPr>
        <w:spacing w:before="40" w:after="60"/>
      </w:pPr>
      <w:r>
        <w:rPr>
          <w:rFonts w:ascii="Calibri" w:cs="Calibri" w:eastAsia="Calibri" w:hAnsi="Calibri"/>
          <w:color w:val="333333"/>
          <w:sz w:val="22"/>
          <w:szCs w:val="22"/>
        </w:rPr>
        <w:t xml:space="preserve">High annual turnover (~28%) in wire processing roles requires continuous onboarding investment</w:t>
      </w:r>
    </w:p>
    <w:p>
      <w:pPr>
        <w:pStyle w:val="ListParagraph"/>
        <w:numPr>
          <w:ilvl w:val="0"/>
          <w:numId w:val="2"/>
        </w:numPr>
        <w:spacing w:before="40" w:after="60"/>
      </w:pPr>
      <w:r>
        <w:rPr>
          <w:rFonts w:ascii="Calibri" w:cs="Calibri" w:eastAsia="Calibri" w:hAnsi="Calibri"/>
          <w:color w:val="333333"/>
          <w:sz w:val="22"/>
          <w:szCs w:val="22"/>
        </w:rPr>
        <w:t xml:space="preserve">Identified skill gaps in compliance screening protocols, particularly for international wires</w:t>
      </w:r>
    </w:p>
    <w:p>
      <w:pPr>
        <w:pStyle w:val="ListParagraph"/>
        <w:numPr>
          <w:ilvl w:val="0"/>
          <w:numId w:val="2"/>
        </w:numPr>
        <w:spacing w:before="40" w:after="60"/>
      </w:pPr>
      <w:r>
        <w:rPr>
          <w:rFonts w:ascii="Calibri" w:cs="Calibri" w:eastAsia="Calibri" w:hAnsi="Calibri"/>
          <w:color w:val="333333"/>
          <w:sz w:val="22"/>
          <w:szCs w:val="22"/>
        </w:rPr>
        <w:t xml:space="preserve">No formal cross-shift handoff procedure — verbal-only communication leads to information loss</w:t>
      </w:r>
    </w:p>
    <w:p>
      <w:pPr>
        <w:spacing w:before="0" w:after="60"/>
      </w:pPr>
      <w:r>
        <w:t xml:space="preserve"/>
      </w:r>
    </w:p>
    <w:p>
      <w:pPr>
        <w:pBdr>
          <w:top w:val="single" w:color="E67E22" w:sz="1"/>
          <w:bottom w:val="single" w:color="E67E22" w:sz="1"/>
          <w:left w:val="single" w:color="E67E22" w:sz="1"/>
          <w:right w:val="single" w:color="E67E22" w:sz="1"/>
        </w:pBdr>
        <w:shd w:fill="E67E22" w:val="clear"/>
        <w:spacing w:before="180" w:after="60"/>
        <w:ind w:left="120"/>
      </w:pPr>
      <w:r>
        <w:rPr>
          <w:rFonts w:ascii="Calibri" w:cs="Calibri" w:eastAsia="Calibri" w:hAnsi="Calibri"/>
          <w:b/>
          <w:bCs/>
          <w:color w:val="FFFFFF"/>
          <w:sz w:val="24"/>
          <w:szCs w:val="24"/>
        </w:rPr>
        <w:t xml:space="preserve">PROCESS</w:t>
      </w:r>
    </w:p>
    <w:p>
      <w:pPr>
        <w:pStyle w:val="ListParagraph"/>
        <w:numPr>
          <w:ilvl w:val="0"/>
          <w:numId w:val="2"/>
        </w:numPr>
        <w:spacing w:before="40" w:after="60"/>
      </w:pPr>
      <w:r>
        <w:rPr>
          <w:rFonts w:ascii="Calibri" w:cs="Calibri" w:eastAsia="Calibri" w:hAnsi="Calibri"/>
          <w:color w:val="333333"/>
          <w:sz w:val="22"/>
          <w:szCs w:val="22"/>
        </w:rPr>
        <w:t xml:space="preserve">Manual dual-control verification applied uniformly regardless of risk tier — no intelligent routing</w:t>
      </w:r>
    </w:p>
    <w:p>
      <w:pPr>
        <w:pStyle w:val="ListParagraph"/>
        <w:numPr>
          <w:ilvl w:val="0"/>
          <w:numId w:val="2"/>
        </w:numPr>
        <w:spacing w:before="40" w:after="60"/>
      </w:pPr>
      <w:r>
        <w:rPr>
          <w:rFonts w:ascii="Calibri" w:cs="Calibri" w:eastAsia="Calibri" w:hAnsi="Calibri"/>
          <w:color w:val="333333"/>
          <w:sz w:val="22"/>
          <w:szCs w:val="22"/>
        </w:rPr>
        <w:t xml:space="preserve">No documented exception triage protocol — processors escalate inconsistently</w:t>
      </w:r>
    </w:p>
    <w:p>
      <w:pPr>
        <w:pStyle w:val="ListParagraph"/>
        <w:numPr>
          <w:ilvl w:val="0"/>
          <w:numId w:val="2"/>
        </w:numPr>
        <w:spacing w:before="40" w:after="60"/>
      </w:pPr>
      <w:r>
        <w:rPr>
          <w:rFonts w:ascii="Calibri" w:cs="Calibri" w:eastAsia="Calibri" w:hAnsi="Calibri"/>
          <w:color w:val="333333"/>
          <w:sz w:val="22"/>
          <w:szCs w:val="22"/>
        </w:rPr>
        <w:t xml:space="preserve">Wire verification checklist contains outdated fields; approximately 40% not applicable to current systems</w:t>
      </w:r>
    </w:p>
    <w:p>
      <w:pPr>
        <w:pStyle w:val="ListParagraph"/>
        <w:numPr>
          <w:ilvl w:val="0"/>
          <w:numId w:val="2"/>
        </w:numPr>
        <w:spacing w:before="40" w:after="60"/>
      </w:pPr>
      <w:r>
        <w:rPr>
          <w:rFonts w:ascii="Calibri" w:cs="Calibri" w:eastAsia="Calibri" w:hAnsi="Calibri"/>
          <w:color w:val="333333"/>
          <w:sz w:val="22"/>
          <w:szCs w:val="22"/>
        </w:rPr>
        <w:t xml:space="preserve">Procedure documentation not updated in over 18 months</w:t>
      </w:r>
    </w:p>
    <w:p>
      <w:pPr>
        <w:spacing w:before="0" w:after="60"/>
      </w:pPr>
      <w:r>
        <w:t xml:space="preserve"/>
      </w:r>
    </w:p>
    <w:p>
      <w:pPr>
        <w:pBdr>
          <w:top w:val="single" w:color="0066CC" w:sz="1"/>
          <w:bottom w:val="single" w:color="0066CC" w:sz="1"/>
          <w:left w:val="single" w:color="0066CC" w:sz="1"/>
          <w:right w:val="single" w:color="0066CC" w:sz="1"/>
        </w:pBdr>
        <w:shd w:fill="0066CC" w:val="clear"/>
        <w:spacing w:before="180" w:after="60"/>
        <w:ind w:left="120"/>
      </w:pPr>
      <w:r>
        <w:rPr>
          <w:rFonts w:ascii="Calibri" w:cs="Calibri" w:eastAsia="Calibri" w:hAnsi="Calibri"/>
          <w:b/>
          <w:bCs/>
          <w:color w:val="FFFFFF"/>
          <w:sz w:val="24"/>
          <w:szCs w:val="24"/>
        </w:rPr>
        <w:t xml:space="preserve">TECHNOLOGY</w:t>
      </w:r>
    </w:p>
    <w:p>
      <w:pPr>
        <w:pStyle w:val="ListParagraph"/>
        <w:numPr>
          <w:ilvl w:val="0"/>
          <w:numId w:val="2"/>
        </w:numPr>
        <w:spacing w:before="40" w:after="60"/>
      </w:pPr>
      <w:r>
        <w:rPr>
          <w:rFonts w:ascii="Calibri" w:cs="Calibri" w:eastAsia="Calibri" w:hAnsi="Calibri"/>
          <w:color w:val="333333"/>
          <w:sz w:val="22"/>
          <w:szCs w:val="22"/>
        </w:rPr>
        <w:t xml:space="preserve">No automation exists for low-risk, recurring domestic wire transactions</w:t>
      </w:r>
    </w:p>
    <w:p>
      <w:pPr>
        <w:pStyle w:val="ListParagraph"/>
        <w:numPr>
          <w:ilvl w:val="0"/>
          <w:numId w:val="2"/>
        </w:numPr>
        <w:spacing w:before="40" w:after="60"/>
      </w:pPr>
      <w:r>
        <w:rPr>
          <w:rFonts w:ascii="Calibri" w:cs="Calibri" w:eastAsia="Calibri" w:hAnsi="Calibri"/>
          <w:color w:val="333333"/>
          <w:sz w:val="22"/>
          <w:szCs w:val="22"/>
        </w:rPr>
        <w:t xml:space="preserve">Core banking platform experiences measurable lag (avg +4.2 min per transaction) during peak hours (10–11 AM, 2–3 PM)</w:t>
      </w:r>
    </w:p>
    <w:p>
      <w:pPr>
        <w:pStyle w:val="ListParagraph"/>
        <w:numPr>
          <w:ilvl w:val="0"/>
          <w:numId w:val="2"/>
        </w:numPr>
        <w:spacing w:before="40" w:after="60"/>
      </w:pPr>
      <w:r>
        <w:rPr>
          <w:rFonts w:ascii="Calibri" w:cs="Calibri" w:eastAsia="Calibri" w:hAnsi="Calibri"/>
          <w:color w:val="333333"/>
          <w:sz w:val="22"/>
          <w:szCs w:val="22"/>
        </w:rPr>
        <w:t xml:space="preserve">SWIFT entry remains fully manual with no pre-population from wire request forms</w:t>
      </w:r>
    </w:p>
    <w:p>
      <w:pPr>
        <w:pStyle w:val="ListParagraph"/>
        <w:numPr>
          <w:ilvl w:val="0"/>
          <w:numId w:val="2"/>
        </w:numPr>
        <w:spacing w:before="40" w:after="60"/>
      </w:pPr>
      <w:r>
        <w:rPr>
          <w:rFonts w:ascii="Calibri" w:cs="Calibri" w:eastAsia="Calibri" w:hAnsi="Calibri"/>
          <w:color w:val="333333"/>
          <w:sz w:val="22"/>
          <w:szCs w:val="22"/>
        </w:rPr>
        <w:t xml:space="preserve">Wire system and compliance screening tool are not integrated — dual data entry required</w:t>
      </w:r>
    </w:p>
    <w:p>
      <w:pPr>
        <w:spacing w:before="0" w:after="60"/>
      </w:pPr>
      <w:r>
        <w:t xml:space="preserve"/>
      </w:r>
    </w:p>
    <w:p>
      <w:pPr>
        <w:pBdr>
          <w:top w:val="single" w:color="8E44AD" w:sz="1"/>
          <w:bottom w:val="single" w:color="8E44AD" w:sz="1"/>
          <w:left w:val="single" w:color="8E44AD" w:sz="1"/>
          <w:right w:val="single" w:color="8E44AD" w:sz="1"/>
        </w:pBdr>
        <w:shd w:fill="8E44AD" w:val="clear"/>
        <w:spacing w:before="180" w:after="60"/>
        <w:ind w:left="120"/>
      </w:pPr>
      <w:r>
        <w:rPr>
          <w:rFonts w:ascii="Calibri" w:cs="Calibri" w:eastAsia="Calibri" w:hAnsi="Calibri"/>
          <w:b/>
          <w:bCs/>
          <w:color w:val="FFFFFF"/>
          <w:sz w:val="24"/>
          <w:szCs w:val="24"/>
        </w:rPr>
        <w:t xml:space="preserve">MEASUREMENT</w:t>
      </w:r>
    </w:p>
    <w:p>
      <w:pPr>
        <w:pStyle w:val="ListParagraph"/>
        <w:numPr>
          <w:ilvl w:val="0"/>
          <w:numId w:val="2"/>
        </w:numPr>
        <w:spacing w:before="40" w:after="60"/>
      </w:pPr>
      <w:r>
        <w:rPr>
          <w:rFonts w:ascii="Calibri" w:cs="Calibri" w:eastAsia="Calibri" w:hAnsi="Calibri"/>
          <w:color w:val="333333"/>
          <w:sz w:val="22"/>
          <w:szCs w:val="22"/>
        </w:rPr>
        <w:t xml:space="preserve">No real-time dashboard for queue depth, aging, or exception status</w:t>
      </w:r>
    </w:p>
    <w:p>
      <w:pPr>
        <w:pStyle w:val="ListParagraph"/>
        <w:numPr>
          <w:ilvl w:val="0"/>
          <w:numId w:val="2"/>
        </w:numPr>
        <w:spacing w:before="40" w:after="60"/>
      </w:pPr>
      <w:r>
        <w:rPr>
          <w:rFonts w:ascii="Calibri" w:cs="Calibri" w:eastAsia="Calibri" w:hAnsi="Calibri"/>
          <w:color w:val="333333"/>
          <w:sz w:val="22"/>
          <w:szCs w:val="22"/>
        </w:rPr>
        <w:t xml:space="preserve">Error tracking is performed manually via shared spreadsheet — prone to omission and delay</w:t>
      </w:r>
    </w:p>
    <w:p>
      <w:pPr>
        <w:pStyle w:val="ListParagraph"/>
        <w:numPr>
          <w:ilvl w:val="0"/>
          <w:numId w:val="2"/>
        </w:numPr>
        <w:spacing w:before="40" w:after="60"/>
      </w:pPr>
      <w:r>
        <w:rPr>
          <w:rFonts w:ascii="Calibri" w:cs="Calibri" w:eastAsia="Calibri" w:hAnsi="Calibri"/>
          <w:color w:val="333333"/>
          <w:sz w:val="22"/>
          <w:szCs w:val="22"/>
        </w:rPr>
        <w:t xml:space="preserve">KPIs are not reviewed daily at team level; reporting is monthly to management only</w:t>
      </w:r>
    </w:p>
    <w:p>
      <w:pPr>
        <w:pStyle w:val="ListParagraph"/>
        <w:numPr>
          <w:ilvl w:val="0"/>
          <w:numId w:val="2"/>
        </w:numPr>
        <w:spacing w:before="40" w:after="60"/>
      </w:pPr>
      <w:r>
        <w:rPr>
          <w:rFonts w:ascii="Calibri" w:cs="Calibri" w:eastAsia="Calibri" w:hAnsi="Calibri"/>
          <w:color w:val="333333"/>
          <w:sz w:val="22"/>
          <w:szCs w:val="22"/>
        </w:rPr>
        <w:t xml:space="preserve">No defined SLA notification trigger for transactions approaching breach threshold</w:t>
      </w:r>
    </w:p>
    <w:p>
      <w:pPr>
        <w:spacing w:before="0" w:after="60"/>
      </w:pPr>
      <w:r>
        <w:t xml:space="preserve"/>
      </w:r>
    </w:p>
    <w:p>
      <w:pPr>
        <w:pBdr>
          <w:top w:val="single" w:color="1A7F5A" w:sz="1"/>
          <w:bottom w:val="single" w:color="1A7F5A" w:sz="1"/>
          <w:left w:val="single" w:color="1A7F5A" w:sz="1"/>
          <w:right w:val="single" w:color="1A7F5A" w:sz="1"/>
        </w:pBdr>
        <w:shd w:fill="1A7F5A" w:val="clear"/>
        <w:spacing w:before="180" w:after="60"/>
        <w:ind w:left="120"/>
      </w:pPr>
      <w:r>
        <w:rPr>
          <w:rFonts w:ascii="Calibri" w:cs="Calibri" w:eastAsia="Calibri" w:hAnsi="Calibri"/>
          <w:b/>
          <w:bCs/>
          <w:color w:val="FFFFFF"/>
          <w:sz w:val="24"/>
          <w:szCs w:val="24"/>
        </w:rPr>
        <w:t xml:space="preserve">ENVIRONMENT</w:t>
      </w:r>
    </w:p>
    <w:p>
      <w:pPr>
        <w:pStyle w:val="ListParagraph"/>
        <w:numPr>
          <w:ilvl w:val="0"/>
          <w:numId w:val="2"/>
        </w:numPr>
        <w:spacing w:before="40" w:after="60"/>
      </w:pPr>
      <w:r>
        <w:rPr>
          <w:rFonts w:ascii="Calibri" w:cs="Calibri" w:eastAsia="Calibri" w:hAnsi="Calibri"/>
          <w:color w:val="333333"/>
          <w:sz w:val="22"/>
          <w:szCs w:val="22"/>
        </w:rPr>
        <w:t xml:space="preserve">Peak-hour staffing levels are insufficient relative to inbound volume spikes</w:t>
      </w:r>
    </w:p>
    <w:p>
      <w:pPr>
        <w:pStyle w:val="ListParagraph"/>
        <w:numPr>
          <w:ilvl w:val="0"/>
          <w:numId w:val="2"/>
        </w:numPr>
        <w:spacing w:before="40" w:after="60"/>
      </w:pPr>
      <w:r>
        <w:rPr>
          <w:rFonts w:ascii="Calibri" w:cs="Calibri" w:eastAsia="Calibri" w:hAnsi="Calibri"/>
          <w:color w:val="333333"/>
          <w:sz w:val="22"/>
          <w:szCs w:val="22"/>
        </w:rPr>
        <w:t xml:space="preserve">Wire processing floor is open-plan with high interruption frequency from adjacent teams</w:t>
      </w:r>
    </w:p>
    <w:p>
      <w:pPr>
        <w:pStyle w:val="ListParagraph"/>
        <w:numPr>
          <w:ilvl w:val="0"/>
          <w:numId w:val="2"/>
        </w:numPr>
        <w:spacing w:before="40" w:after="60"/>
      </w:pPr>
      <w:r>
        <w:rPr>
          <w:rFonts w:ascii="Calibri" w:cs="Calibri" w:eastAsia="Calibri" w:hAnsi="Calibri"/>
          <w:color w:val="333333"/>
          <w:sz w:val="22"/>
          <w:szCs w:val="22"/>
        </w:rPr>
        <w:t xml:space="preserve">Physical workspace layout does not support focused, error-sensitive financial processing</w:t>
      </w:r>
    </w:p>
    <w:p>
      <w:pPr>
        <w:spacing w:before="0" w:after="60"/>
      </w:pPr>
      <w:r>
        <w:t xml:space="preserve"/>
      </w:r>
    </w:p>
    <w:p>
      <w:pPr>
        <w:pBdr>
          <w:top w:val="single" w:color="1B2A6B" w:sz="1"/>
          <w:bottom w:val="single" w:color="1B2A6B" w:sz="1"/>
          <w:left w:val="single" w:color="1B2A6B" w:sz="1"/>
          <w:right w:val="single" w:color="1B2A6B" w:sz="1"/>
        </w:pBdr>
        <w:shd w:fill="1B2A6B" w:val="clear"/>
        <w:spacing w:before="180" w:after="60"/>
        <w:ind w:left="120"/>
      </w:pPr>
      <w:r>
        <w:rPr>
          <w:rFonts w:ascii="Calibri" w:cs="Calibri" w:eastAsia="Calibri" w:hAnsi="Calibri"/>
          <w:b/>
          <w:bCs/>
          <w:color w:val="FFFFFF"/>
          <w:sz w:val="24"/>
          <w:szCs w:val="24"/>
        </w:rPr>
        <w:t xml:space="preserve">POLICY/COMPLIANCE</w:t>
      </w:r>
    </w:p>
    <w:p>
      <w:pPr>
        <w:pStyle w:val="ListParagraph"/>
        <w:numPr>
          <w:ilvl w:val="0"/>
          <w:numId w:val="2"/>
        </w:numPr>
        <w:spacing w:before="40" w:after="60"/>
      </w:pPr>
      <w:r>
        <w:rPr>
          <w:rFonts w:ascii="Calibri" w:cs="Calibri" w:eastAsia="Calibri" w:hAnsi="Calibri"/>
          <w:color w:val="333333"/>
          <w:sz w:val="22"/>
          <w:szCs w:val="22"/>
        </w:rPr>
        <w:t xml:space="preserve">Risk-based tiering thresholds for dual-control are not formally documented</w:t>
      </w:r>
    </w:p>
    <w:p>
      <w:pPr>
        <w:pStyle w:val="ListParagraph"/>
        <w:numPr>
          <w:ilvl w:val="0"/>
          <w:numId w:val="2"/>
        </w:numPr>
        <w:spacing w:before="40" w:after="60"/>
      </w:pPr>
      <w:r>
        <w:rPr>
          <w:rFonts w:ascii="Calibri" w:cs="Calibri" w:eastAsia="Calibri" w:hAnsi="Calibri"/>
          <w:color w:val="333333"/>
          <w:sz w:val="22"/>
          <w:szCs w:val="22"/>
        </w:rPr>
        <w:t xml:space="preserve">Approval authority levels are ambiguous for specific wire types — processors default to over-escalating</w:t>
      </w:r>
    </w:p>
    <w:p>
      <w:pPr>
        <w:pStyle w:val="ListParagraph"/>
        <w:numPr>
          <w:ilvl w:val="0"/>
          <w:numId w:val="2"/>
        </w:numPr>
        <w:spacing w:before="40" w:after="60"/>
      </w:pPr>
      <w:r>
        <w:rPr>
          <w:rFonts w:ascii="Calibri" w:cs="Calibri" w:eastAsia="Calibri" w:hAnsi="Calibri"/>
          <w:color w:val="333333"/>
          <w:sz w:val="22"/>
          <w:szCs w:val="22"/>
        </w:rPr>
        <w:t xml:space="preserve">Compliance hold criteria interpreted inconsistently across team members</w:t>
      </w:r>
    </w:p>
    <w:p>
      <w:pPr>
        <w:pStyle w:val="ListParagraph"/>
        <w:numPr>
          <w:ilvl w:val="0"/>
          <w:numId w:val="2"/>
        </w:numPr>
        <w:spacing w:before="40" w:after="60"/>
      </w:pPr>
      <w:r>
        <w:rPr>
          <w:rFonts w:ascii="Calibri" w:cs="Calibri" w:eastAsia="Calibri" w:hAnsi="Calibri"/>
          <w:color w:val="333333"/>
          <w:sz w:val="22"/>
          <w:szCs w:val="22"/>
        </w:rPr>
        <w:t xml:space="preserve">Escalation path to compliance officer is undefined for edge-case transactions</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4.2 5-Why Root Cause Analysis — Priority Findings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Defect</w:t>
            </w:r>
          </w:p>
        </w:tc>
        <w:tc>
          <w:tcPr>
            <w:tcW w:type="dxa" w:w="466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Verified Root Cause (5-Why)</w:t>
            </w:r>
          </w:p>
        </w:tc>
        <w:tc>
          <w:tcPr>
            <w:tcW w:type="dxa" w:w="25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Category</w:t>
            </w:r>
          </w:p>
        </w:tc>
      </w:tr>
      <w:tr>
        <w:tc>
          <w:tcPr>
            <w:tcW w:type="dxa" w:w="2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Data Entry Errors</w:t>
            </w:r>
          </w:p>
        </w:tc>
        <w:tc>
          <w:tcPr>
            <w:tcW w:type="dxa" w:w="46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No structured input template or field-level validation; processors transcribe from unstructured client emails into legacy form fields</w:t>
            </w:r>
          </w:p>
        </w:tc>
        <w:tc>
          <w:tcPr>
            <w:tcW w:type="dxa" w:w="25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Technology / Process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Missing Documentation</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No hard-stop at initiation step; submission permitted with missing attachments — discovered only at verification stage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Process / Technology</w:t>
            </w:r>
          </w:p>
        </w:tc>
      </w:tr>
      <w:tr>
        <w:tc>
          <w:tcPr>
            <w:tcW w:type="dxa" w:w="2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Compliance Holds</w:t>
            </w:r>
          </w:p>
        </w:tc>
        <w:tc>
          <w:tcPr>
            <w:tcW w:type="dxa" w:w="46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Screening criteria not embedded in workflow; processor must manually interpret and apply rules — high variability in outcomes</w:t>
            </w:r>
          </w:p>
        </w:tc>
        <w:tc>
          <w:tcPr>
            <w:tcW w:type="dxa" w:w="25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Policy / Technology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Cycle Time Variability</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All wires routed through identical dual-control queue regardless of risk level; no intelligent prioritization or automated routing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Process / Technology</w:t>
            </w:r>
          </w:p>
        </w:tc>
      </w:tr>
      <w:tr>
        <w:tc>
          <w:tcPr>
            <w:tcW w:type="dxa" w:w="2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Cross-Shift Errors</w:t>
            </w:r>
          </w:p>
        </w:tc>
        <w:tc>
          <w:tcPr>
            <w:tcW w:type="dxa" w:w="46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No documented handoff protocol; verbal-only information transfer results in dropped context on in-progress exceptions</w:t>
            </w:r>
          </w:p>
        </w:tc>
        <w:tc>
          <w:tcPr>
            <w:tcW w:type="dxa" w:w="25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People / Process</w:t>
            </w:r>
          </w:p>
        </w:tc>
      </w:tr>
    </w:tbl>
    <w:p>
      <w:pPr>
        <w:spacing w:before="0" w:after="0"/>
      </w:pPr>
      <w:r>
        <w:br w:type="page"/>
      </w:r>
    </w:p>
    <w:p>
      <w:pPr>
        <w:pStyle w:val="Heading1"/>
        <w:pBdr>
          <w:bottom w:val="single" w:color="1B2A6B" w:sz="6" w:space="4"/>
        </w:pBdr>
        <w:spacing w:before="360" w:after="120"/>
      </w:pPr>
      <w:r>
        <w:rPr>
          <w:rFonts w:ascii="Calibri" w:cs="Calibri" w:eastAsia="Calibri" w:hAnsi="Calibri"/>
          <w:b/>
          <w:bCs/>
          <w:color w:val="1B2A6B"/>
          <w:sz w:val="30"/>
          <w:szCs w:val="30"/>
        </w:rPr>
        <w:t xml:space="preserve">5. IMPROVE PHASE</w:t>
      </w:r>
    </w:p>
    <w:p>
      <w:pPr>
        <w:spacing w:before="60" w:after="120"/>
        <w:jc w:val="both"/>
      </w:pPr>
      <w:r>
        <w:rPr>
          <w:rFonts w:ascii="Calibri" w:cs="Calibri" w:eastAsia="Calibri" w:hAnsi="Calibri"/>
          <w:color w:val="333333"/>
          <w:sz w:val="22"/>
          <w:szCs w:val="22"/>
        </w:rPr>
        <w:t xml:space="preserve">The Improve phase presents the validated solution set developed through structured brainstorming, solution selection matrix analysis, and pilot testing planning. Solutions are prioritized by estimated impact and implementation effort.</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5.1 Solution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760"/>
        <w:gridCol w:w="1000"/>
        <w:gridCol w:w="1000"/>
      </w:tblGrid>
      <w:tr>
        <w:trPr>
          <w:tblHeader/>
        </w:trPr>
        <w:tc>
          <w:tcPr>
            <w:tcW w:type="dxa" w:w="34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Solution</w:t>
            </w:r>
          </w:p>
        </w:tc>
        <w:tc>
          <w:tcPr>
            <w:tcW w:type="dxa" w:w="22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Root Cause Addressed</w:t>
            </w:r>
          </w:p>
        </w:tc>
        <w:tc>
          <w:tcPr>
            <w:tcW w:type="dxa" w:w="176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Expected Impact</w:t>
            </w:r>
          </w:p>
        </w:tc>
        <w:tc>
          <w:tcPr>
            <w:tcW w:type="dxa" w:w="10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Effort</w:t>
            </w:r>
          </w:p>
        </w:tc>
        <w:tc>
          <w:tcPr>
            <w:tcW w:type="dxa" w:w="10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Priority</w:t>
            </w:r>
          </w:p>
        </w:tc>
      </w:tr>
      <w:tr>
        <w:tc>
          <w:tcPr>
            <w:tcW w:type="dxa" w:w="34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Intelligent Wire Input Automation</w:t>
            </w:r>
          </w:p>
        </w:tc>
        <w:tc>
          <w:tcPr>
            <w:tcW w:type="dxa" w:w="2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Data entry errors (38% of defects)</w:t>
            </w:r>
          </w:p>
        </w:tc>
        <w:tc>
          <w:tcPr>
            <w:tcW w:type="dxa" w:w="17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45% error reduction</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P1</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Risk-Tiered Dual Control Routing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Cycle time variability</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40% peak bottleneck reduction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P1</w:t>
            </w:r>
          </w:p>
        </w:tc>
      </w:tr>
      <w:tr>
        <w:tc>
          <w:tcPr>
            <w:tcW w:type="dxa" w:w="34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Digital SOP &amp; Checklist Portal</w:t>
            </w:r>
          </w:p>
        </w:tc>
        <w:tc>
          <w:tcPr>
            <w:tcW w:type="dxa" w:w="2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Missing docs, shift inconsistency</w:t>
            </w:r>
          </w:p>
        </w:tc>
        <w:tc>
          <w:tcPr>
            <w:tcW w:type="dxa" w:w="17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22% defect reduction</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Low</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P1</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Real-Time Ops Dashboard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No visibility; reactive management</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Enables all other controls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High</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P2</w:t>
            </w:r>
          </w:p>
        </w:tc>
      </w:tr>
      <w:tr>
        <w:tc>
          <w:tcPr>
            <w:tcW w:type="dxa" w:w="34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Compliance Rule Embedding</w:t>
            </w:r>
          </w:p>
        </w:tc>
        <w:tc>
          <w:tcPr>
            <w:tcW w:type="dxa" w:w="2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Compliance holds (17% of defects)</w:t>
            </w:r>
          </w:p>
        </w:tc>
        <w:tc>
          <w:tcPr>
            <w:tcW w:type="dxa" w:w="17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17% error reduction</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P2</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Cross-Training &amp; Certification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People/skills gaps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Reduces variability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Low</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P2</w:t>
            </w:r>
          </w:p>
        </w:tc>
      </w:tr>
      <w:tr>
        <w:tc>
          <w:tcPr>
            <w:tcW w:type="dxa" w:w="34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Daily Ops Stand-Up Cadence</w:t>
            </w:r>
          </w:p>
        </w:tc>
        <w:tc>
          <w:tcPr>
            <w:tcW w:type="dxa" w:w="2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Lack of measurement &amp; feedback</w:t>
            </w:r>
          </w:p>
        </w:tc>
        <w:tc>
          <w:tcPr>
            <w:tcW w:type="dxa" w:w="17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Sustain and react faster</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Low</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P3</w:t>
            </w:r>
          </w:p>
        </w:tc>
      </w:tr>
    </w:tbl>
    <w:p>
      <w:pPr>
        <w:spacing w:before="0" w:after="60"/>
      </w:pPr>
      <w:r>
        <w:t xml:space="preserve"/>
      </w:r>
    </w:p>
    <w:p>
      <w:pPr>
        <w:pStyle w:val="Heading2"/>
        <w:spacing w:before="240" w:after="80"/>
      </w:pPr>
      <w:r>
        <w:rPr>
          <w:rFonts w:ascii="Calibri" w:cs="Calibri" w:eastAsia="Calibri" w:hAnsi="Calibri"/>
          <w:b/>
          <w:bCs/>
          <w:color w:val="1B2A6B"/>
          <w:sz w:val="24"/>
          <w:szCs w:val="24"/>
        </w:rPr>
        <w:t xml:space="preserve">5.2 Solution Descriptions</w:t>
      </w:r>
    </w:p>
    <w:p>
      <w:pPr>
        <w:spacing w:before="0" w:after="60"/>
      </w:pPr>
      <w:r>
        <w:t xml:space="preserve"/>
      </w:r>
    </w:p>
    <w:p>
      <w:pPr>
        <w:pStyle w:val="Heading3"/>
        <w:spacing w:before="180" w:after="60"/>
      </w:pPr>
      <w:r>
        <w:rPr>
          <w:rFonts w:ascii="Calibri" w:cs="Calibri" w:eastAsia="Calibri" w:hAnsi="Calibri"/>
          <w:b/>
          <w:bCs/>
          <w:color w:val="0066CC"/>
          <w:sz w:val="22"/>
          <w:szCs w:val="22"/>
        </w:rPr>
        <w:t xml:space="preserve">Solution 1: Intelligent Wire Input Automation (P1)</w:t>
      </w:r>
    </w:p>
    <w:p>
      <w:pPr>
        <w:spacing w:before="60" w:after="120"/>
        <w:jc w:val="both"/>
      </w:pPr>
      <w:r>
        <w:rPr>
          <w:rFonts w:ascii="Calibri" w:cs="Calibri" w:eastAsia="Calibri" w:hAnsi="Calibri"/>
          <w:color w:val="333333"/>
          <w:sz w:val="22"/>
          <w:szCs w:val="22"/>
        </w:rPr>
        <w:t xml:space="preserve">Deploy structured wire initiation templates with embedded field-level validation rules integrated directly into the core banking workflow. Auto-populate beneficiary account information from a pre-approved payee library for recurring transactions. Block submission unless all required fields pass validation thresholds. Estimated to eliminate 38% of data-entry-driven defects. Requires IT development effort of approximately 6–8 weeks.</w:t>
      </w:r>
    </w:p>
    <w:p>
      <w:pPr>
        <w:spacing w:before="0" w:after="60"/>
      </w:pPr>
      <w:r>
        <w:t xml:space="preserve"/>
      </w:r>
    </w:p>
    <w:p>
      <w:pPr>
        <w:pStyle w:val="Heading3"/>
        <w:spacing w:before="180" w:after="60"/>
      </w:pPr>
      <w:r>
        <w:rPr>
          <w:rFonts w:ascii="Calibri" w:cs="Calibri" w:eastAsia="Calibri" w:hAnsi="Calibri"/>
          <w:b/>
          <w:bCs/>
          <w:color w:val="0066CC"/>
          <w:sz w:val="22"/>
          <w:szCs w:val="22"/>
        </w:rPr>
        <w:t xml:space="preserve">Solution 2: Risk-Tiered Dual Control Routing (P1)</w:t>
      </w:r>
    </w:p>
    <w:p>
      <w:pPr>
        <w:spacing w:before="60" w:after="120"/>
        <w:jc w:val="both"/>
      </w:pPr>
      <w:r>
        <w:rPr>
          <w:rFonts w:ascii="Calibri" w:cs="Calibri" w:eastAsia="Calibri" w:hAnsi="Calibri"/>
          <w:color w:val="333333"/>
          <w:sz w:val="22"/>
          <w:szCs w:val="22"/>
        </w:rPr>
        <w:t xml:space="preserve">Implement a documented risk-scoring matrix that segments wire transactions by risk tier (Low / Medium / High) based on transaction amount, beneficiary history, destination country, and client relationship flags. Low-risk domestic wires under $50,000 to established beneficiaries would be processed under streamlined single-control with enhanced audit logging. This removes approximately 40% of transactions from the bottlenecked dual-control queue. Regulatory review and Compliance sign-off required before deployment.</w:t>
      </w:r>
    </w:p>
    <w:p>
      <w:pPr>
        <w:spacing w:before="0" w:after="60"/>
      </w:pPr>
      <w:r>
        <w:t xml:space="preserve"/>
      </w:r>
    </w:p>
    <w:p>
      <w:pPr>
        <w:pStyle w:val="Heading3"/>
        <w:spacing w:before="180" w:after="60"/>
      </w:pPr>
      <w:r>
        <w:rPr>
          <w:rFonts w:ascii="Calibri" w:cs="Calibri" w:eastAsia="Calibri" w:hAnsi="Calibri"/>
          <w:b/>
          <w:bCs/>
          <w:color w:val="0066CC"/>
          <w:sz w:val="22"/>
          <w:szCs w:val="22"/>
        </w:rPr>
        <w:t xml:space="preserve">Solution 3: Digital SOP &amp; Checklist Portal (P1)</w:t>
      </w:r>
    </w:p>
    <w:p>
      <w:pPr>
        <w:spacing w:before="60" w:after="120"/>
        <w:jc w:val="both"/>
      </w:pPr>
      <w:r>
        <w:rPr>
          <w:rFonts w:ascii="Calibri" w:cs="Calibri" w:eastAsia="Calibri" w:hAnsi="Calibri"/>
          <w:color w:val="333333"/>
          <w:sz w:val="22"/>
          <w:szCs w:val="22"/>
        </w:rPr>
        <w:t xml:space="preserve">Replace paper-based and outdated PDF checklists with role-based digital workflows embedded in the processing system. Mandatory checklist completion is required before a wire can advance to the verification stage — eliminating the primary cause of missing-documentation errors. SOPs are versioned, searchable, and surfaced at point-of-need within the transaction workflow. Estimated 22% reduction in documentation-related errors.</w:t>
      </w:r>
    </w:p>
    <w:p>
      <w:pPr>
        <w:spacing w:before="0" w:after="60"/>
      </w:pPr>
      <w:r>
        <w:t xml:space="preserve"/>
      </w:r>
    </w:p>
    <w:p>
      <w:pPr>
        <w:pStyle w:val="Heading3"/>
        <w:spacing w:before="180" w:after="60"/>
      </w:pPr>
      <w:r>
        <w:rPr>
          <w:rFonts w:ascii="Calibri" w:cs="Calibri" w:eastAsia="Calibri" w:hAnsi="Calibri"/>
          <w:b/>
          <w:bCs/>
          <w:color w:val="0066CC"/>
          <w:sz w:val="22"/>
          <w:szCs w:val="22"/>
        </w:rPr>
        <w:t xml:space="preserve">Solution 4: Real-Time Operations Dashboard (P2)</w:t>
      </w:r>
    </w:p>
    <w:p>
      <w:pPr>
        <w:spacing w:before="60" w:after="120"/>
        <w:jc w:val="both"/>
      </w:pPr>
      <w:r>
        <w:rPr>
          <w:rFonts w:ascii="Calibri" w:cs="Calibri" w:eastAsia="Calibri" w:hAnsi="Calibri"/>
          <w:color w:val="333333"/>
          <w:sz w:val="22"/>
          <w:szCs w:val="22"/>
        </w:rPr>
        <w:t xml:space="preserve">Design and deploy a live operations dashboard accessible to all wire processors and supervisors. Dashboard displays: current queue depth, transaction aging (color-coded by SLA proximity), daily error rate trend, exception backlog, and processor throughput. Push notifications alert supervisors when any transaction exceeds 15 minutes without advancement. Dashboard becomes the primary management tool replacing reactive, end-of-day reporting.</w:t>
      </w:r>
    </w:p>
    <w:p>
      <w:pPr>
        <w:spacing w:before="0" w:after="60"/>
      </w:pPr>
      <w:r>
        <w:t xml:space="preserve"/>
      </w:r>
    </w:p>
    <w:p>
      <w:pPr>
        <w:pStyle w:val="Heading3"/>
        <w:spacing w:before="180" w:after="60"/>
      </w:pPr>
      <w:r>
        <w:rPr>
          <w:rFonts w:ascii="Calibri" w:cs="Calibri" w:eastAsia="Calibri" w:hAnsi="Calibri"/>
          <w:b/>
          <w:bCs/>
          <w:color w:val="0066CC"/>
          <w:sz w:val="22"/>
          <w:szCs w:val="22"/>
        </w:rPr>
        <w:t xml:space="preserve">Solution 5: Compliance Rule Embedding (P2)</w:t>
      </w:r>
    </w:p>
    <w:p>
      <w:pPr>
        <w:spacing w:before="60" w:after="120"/>
        <w:jc w:val="both"/>
      </w:pPr>
      <w:r>
        <w:rPr>
          <w:rFonts w:ascii="Calibri" w:cs="Calibri" w:eastAsia="Calibri" w:hAnsi="Calibri"/>
          <w:color w:val="333333"/>
          <w:sz w:val="22"/>
          <w:szCs w:val="22"/>
        </w:rPr>
        <w:t xml:space="preserve">Partner with the Compliance team to codify all wire screening decision rules and embed them as system-level logic within the transaction workflow. Ambiguous compliance hold criteria are replaced with deterministic rules — reducing the interpretive variability that drives 17% of current defects. Transactions that trigger a rule are auto-routed to the Compliance queue with pre-populated context, eliminating manual escalation steps.</w:t>
      </w:r>
    </w:p>
    <w:p>
      <w:pPr>
        <w:spacing w:before="0" w:after="60"/>
      </w:pPr>
      <w:r>
        <w:t xml:space="preserve"/>
      </w:r>
    </w:p>
    <w:p>
      <w:pPr>
        <w:pStyle w:val="Heading3"/>
        <w:spacing w:before="180" w:after="60"/>
      </w:pPr>
      <w:r>
        <w:rPr>
          <w:rFonts w:ascii="Calibri" w:cs="Calibri" w:eastAsia="Calibri" w:hAnsi="Calibri"/>
          <w:b/>
          <w:bCs/>
          <w:color w:val="0066CC"/>
          <w:sz w:val="22"/>
          <w:szCs w:val="22"/>
        </w:rPr>
        <w:t xml:space="preserve">Solution 6: Cross-Training &amp; Certification Program (P2)</w:t>
      </w:r>
    </w:p>
    <w:p>
      <w:pPr>
        <w:spacing w:before="60" w:after="120"/>
        <w:jc w:val="both"/>
      </w:pPr>
      <w:r>
        <w:rPr>
          <w:rFonts w:ascii="Calibri" w:cs="Calibri" w:eastAsia="Calibri" w:hAnsi="Calibri"/>
          <w:color w:val="333333"/>
          <w:sz w:val="22"/>
          <w:szCs w:val="22"/>
        </w:rPr>
        <w:t xml:space="preserve">Develop a structured 3-week Wire Operations Certification curriculum covering all transaction types, compliance protocols, exception handling, and system navigation. All current and new staff complete certification before handling complex international wires independently. Competency is tracked in the Learning Management System (LMS). A peer coaching model pairs senior processors with newer team members for the first 60 days post-certification.</w:t>
      </w:r>
    </w:p>
    <w:p>
      <w:pPr>
        <w:spacing w:before="0" w:after="0"/>
      </w:pPr>
      <w:r>
        <w:br w:type="page"/>
      </w:r>
    </w:p>
    <w:p>
      <w:pPr>
        <w:pStyle w:val="Heading1"/>
        <w:pBdr>
          <w:bottom w:val="single" w:color="1B2A6B" w:sz="6" w:space="4"/>
        </w:pBdr>
        <w:spacing w:before="360" w:after="120"/>
      </w:pPr>
      <w:r>
        <w:rPr>
          <w:rFonts w:ascii="Calibri" w:cs="Calibri" w:eastAsia="Calibri" w:hAnsi="Calibri"/>
          <w:b/>
          <w:bCs/>
          <w:color w:val="1B2A6B"/>
          <w:sz w:val="30"/>
          <w:szCs w:val="30"/>
        </w:rPr>
        <w:t xml:space="preserve">6. CONTROL PHASE</w:t>
      </w:r>
    </w:p>
    <w:p>
      <w:pPr>
        <w:spacing w:before="60" w:after="120"/>
        <w:jc w:val="both"/>
      </w:pPr>
      <w:r>
        <w:rPr>
          <w:rFonts w:ascii="Calibri" w:cs="Calibri" w:eastAsia="Calibri" w:hAnsi="Calibri"/>
          <w:color w:val="333333"/>
          <w:sz w:val="22"/>
          <w:szCs w:val="22"/>
        </w:rPr>
        <w:t xml:space="preserve">The Control phase ensures that improvements are institutionalized, monitored, and sustained beyond the active project period. Ownership transitions to Business-as-Usual (BAU) operations at project close.</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6.1 Control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200"/>
        <w:gridCol w:w="1200"/>
        <w:gridCol w:w="1000"/>
        <w:gridCol w:w="900"/>
        <w:gridCol w:w="3100"/>
      </w:tblGrid>
      <w:tr>
        <w:trPr>
          <w:tblHeader/>
        </w:trPr>
        <w:tc>
          <w:tcPr>
            <w:tcW w:type="dxa" w:w="196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CTQ Metric</w:t>
            </w:r>
          </w:p>
        </w:tc>
        <w:tc>
          <w:tcPr>
            <w:tcW w:type="dxa" w:w="12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Spec Limit</w:t>
            </w:r>
          </w:p>
        </w:tc>
        <w:tc>
          <w:tcPr>
            <w:tcW w:type="dxa" w:w="12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Measurement Method</w:t>
            </w:r>
          </w:p>
        </w:tc>
        <w:tc>
          <w:tcPr>
            <w:tcW w:type="dxa" w:w="10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Frequency</w:t>
            </w:r>
          </w:p>
        </w:tc>
        <w:tc>
          <w:tcPr>
            <w:tcW w:type="dxa" w:w="9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Owner</w:t>
            </w:r>
          </w:p>
        </w:tc>
        <w:tc>
          <w:tcPr>
            <w:tcW w:type="dxa" w:w="31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Plan (if out-of-spec)</w:t>
            </w:r>
          </w:p>
        </w:tc>
      </w:tr>
      <w:tr>
        <w:tc>
          <w:tcPr>
            <w:tcW w:type="dxa" w:w="19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Cycle Time</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 14 min</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Ops Dashboard</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Real-time</w:t>
            </w:r>
          </w:p>
        </w:tc>
        <w:tc>
          <w:tcPr>
            <w:tcW w:type="dxa" w:w="9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Ops Manager</w:t>
            </w:r>
          </w:p>
        </w:tc>
        <w:tc>
          <w:tcPr>
            <w:tcW w:type="dxa" w:w="31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Escalate if &gt; 18 min; supervisor review &gt; 20 min; incident report if sustained breach</w:t>
            </w:r>
          </w:p>
        </w:tc>
      </w:tr>
      <w:tr>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Error/Rework Rate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&lt; 1.5%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Error Log System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Daily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QA Lead</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Root cause analysis within 24 hrs; corrective action plan within 48 hrs</w:t>
            </w:r>
          </w:p>
        </w:tc>
      </w:tr>
      <w:tr>
        <w:tc>
          <w:tcPr>
            <w:tcW w:type="dxa" w:w="19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Same-Day Settlement</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 97%</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SWIFT Confirmation Reports</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Daily</w:t>
            </w:r>
          </w:p>
        </w:tc>
        <w:tc>
          <w:tcPr>
            <w:tcW w:type="dxa" w:w="9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Treasury Ops</w:t>
            </w:r>
          </w:p>
        </w:tc>
        <w:tc>
          <w:tcPr>
            <w:tcW w:type="dxa" w:w="31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Escalate to Director if &lt; target for 2 consecutive days</w:t>
            </w:r>
          </w:p>
        </w:tc>
      </w:tr>
      <w:tr>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Compliance Exception Rate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&lt; 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Compliance Database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Daily</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Compliance Officer</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Immediate transaction hold; BSA officer review within 4 hours</w:t>
            </w:r>
          </w:p>
        </w:tc>
      </w:tr>
      <w:tr>
        <w:tc>
          <w:tcPr>
            <w:tcW w:type="dxa" w:w="19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Process Sigma Level</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 3.0σ</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DPMO Tracking</w:t>
            </w:r>
          </w:p>
        </w:tc>
        <w:tc>
          <w:tcPr>
            <w:tcW w:type="dxa" w:w="1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Monthly</w:t>
            </w:r>
          </w:p>
        </w:tc>
        <w:tc>
          <w:tcPr>
            <w:tcW w:type="dxa" w:w="9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BA/PI Lead</w:t>
            </w:r>
          </w:p>
        </w:tc>
        <w:tc>
          <w:tcPr>
            <w:tcW w:type="dxa" w:w="31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Convene improvement review if &lt; 2.8σ for 2 consecutive months</w:t>
            </w:r>
          </w:p>
        </w:tc>
      </w:tr>
    </w:tbl>
    <w:p>
      <w:pPr>
        <w:spacing w:before="0" w:after="60"/>
      </w:pPr>
      <w:r>
        <w:t xml:space="preserve"/>
      </w:r>
    </w:p>
    <w:p>
      <w:pPr>
        <w:pStyle w:val="Heading2"/>
        <w:spacing w:before="240" w:after="80"/>
      </w:pPr>
      <w:r>
        <w:rPr>
          <w:rFonts w:ascii="Calibri" w:cs="Calibri" w:eastAsia="Calibri" w:hAnsi="Calibri"/>
          <w:b/>
          <w:bCs/>
          <w:color w:val="1B2A6B"/>
          <w:sz w:val="24"/>
          <w:szCs w:val="24"/>
        </w:rPr>
        <w:t xml:space="preserve">6.2 Governance Structure</w:t>
      </w:r>
    </w:p>
    <w:p>
      <w:pPr>
        <w:pStyle w:val="ListParagraph"/>
        <w:numPr>
          <w:ilvl w:val="0"/>
          <w:numId w:val="2"/>
        </w:numPr>
        <w:spacing w:before="40" w:after="60"/>
      </w:pPr>
      <w:r>
        <w:rPr>
          <w:rFonts w:ascii="Calibri" w:cs="Calibri" w:eastAsia="Calibri" w:hAnsi="Calibri"/>
          <w:color w:val="333333"/>
          <w:sz w:val="22"/>
          <w:szCs w:val="22"/>
        </w:rPr>
        <w:t xml:space="preserve">Daily 10-minute operations stand-up with shift leads — review queue status, error flags, escalations</w:t>
      </w:r>
    </w:p>
    <w:p>
      <w:pPr>
        <w:pStyle w:val="ListParagraph"/>
        <w:numPr>
          <w:ilvl w:val="0"/>
          <w:numId w:val="2"/>
        </w:numPr>
        <w:spacing w:before="40" w:after="60"/>
      </w:pPr>
      <w:r>
        <w:rPr>
          <w:rFonts w:ascii="Calibri" w:cs="Calibri" w:eastAsia="Calibri" w:hAnsi="Calibri"/>
          <w:color w:val="333333"/>
          <w:sz w:val="22"/>
          <w:szCs w:val="22"/>
        </w:rPr>
        <w:t xml:space="preserve">Weekly error trend review meeting — QA Lead, Ops Manager, 1–2 wire processors</w:t>
      </w:r>
    </w:p>
    <w:p>
      <w:pPr>
        <w:pStyle w:val="ListParagraph"/>
        <w:numPr>
          <w:ilvl w:val="0"/>
          <w:numId w:val="2"/>
        </w:numPr>
        <w:spacing w:before="40" w:after="60"/>
      </w:pPr>
      <w:r>
        <w:rPr>
          <w:rFonts w:ascii="Calibri" w:cs="Calibri" w:eastAsia="Calibri" w:hAnsi="Calibri"/>
          <w:color w:val="333333"/>
          <w:sz w:val="22"/>
          <w:szCs w:val="22"/>
        </w:rPr>
        <w:t xml:space="preserve">Monthly executive scorecard — summarizes all CTQ metrics with trend lines; shared with Operations Director</w:t>
      </w:r>
    </w:p>
    <w:p>
      <w:pPr>
        <w:pStyle w:val="ListParagraph"/>
        <w:numPr>
          <w:ilvl w:val="0"/>
          <w:numId w:val="2"/>
        </w:numPr>
        <w:spacing w:before="40" w:after="60"/>
      </w:pPr>
      <w:r>
        <w:rPr>
          <w:rFonts w:ascii="Calibri" w:cs="Calibri" w:eastAsia="Calibri" w:hAnsi="Calibri"/>
          <w:color w:val="333333"/>
          <w:sz w:val="22"/>
          <w:szCs w:val="22"/>
        </w:rPr>
        <w:t xml:space="preserve">Quarterly process capability reassessment — BA/PI Lead recalculates sigma level, reviews control chart signals</w:t>
      </w:r>
    </w:p>
    <w:p>
      <w:pPr>
        <w:pStyle w:val="ListParagraph"/>
        <w:numPr>
          <w:ilvl w:val="0"/>
          <w:numId w:val="2"/>
        </w:numPr>
        <w:spacing w:before="40" w:after="60"/>
      </w:pPr>
      <w:r>
        <w:rPr>
          <w:rFonts w:ascii="Calibri" w:cs="Calibri" w:eastAsia="Calibri" w:hAnsi="Calibri"/>
          <w:color w:val="333333"/>
          <w:sz w:val="22"/>
          <w:szCs w:val="22"/>
        </w:rPr>
        <w:t xml:space="preserve">Annual SOP review cycle — all 14 wire procedures reviewed and re-approved by Compliance and Operations</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6.3 Documentation &amp; Knowledge Management</w:t>
      </w:r>
    </w:p>
    <w:p>
      <w:pPr>
        <w:spacing w:before="60" w:after="120"/>
        <w:jc w:val="both"/>
      </w:pPr>
      <w:r>
        <w:rPr>
          <w:rFonts w:ascii="Calibri" w:cs="Calibri" w:eastAsia="Calibri" w:hAnsi="Calibri"/>
          <w:color w:val="333333"/>
          <w:sz w:val="22"/>
          <w:szCs w:val="22"/>
        </w:rPr>
        <w:t xml:space="preserve">All SOPs are stored in the centralized Wire Operations Knowledge Base (SharePoint-hosted). Documents are version-controlled with mandatory review dates. Access is role-based; any modification requires dual approval from Operations Manager and Compliance. A change log is maintained for audit purposes.</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6.4 Training Sustainment</w:t>
      </w:r>
    </w:p>
    <w:p>
      <w:pPr>
        <w:spacing w:before="60" w:after="120"/>
        <w:jc w:val="both"/>
      </w:pPr>
      <w:r>
        <w:rPr>
          <w:rFonts w:ascii="Calibri" w:cs="Calibri" w:eastAsia="Calibri" w:hAnsi="Calibri"/>
          <w:color w:val="333333"/>
          <w:sz w:val="22"/>
          <w:szCs w:val="22"/>
        </w:rPr>
        <w:t xml:space="preserve">Certification is required for all processors annually. New hires complete the full 3-week curriculum within their first 30 days. Competency assessments are conducted at 30, 60, and 90 days post-onboarding. Refresher training is triggered automatically for any processor whose individual error rate exceeds 2.0% in any rolling 30-day period.</w:t>
      </w:r>
    </w:p>
    <w:p>
      <w:pPr>
        <w:spacing w:before="0" w:after="0"/>
      </w:pPr>
      <w:r>
        <w:br w:type="page"/>
      </w:r>
    </w:p>
    <w:p>
      <w:pPr>
        <w:pStyle w:val="Heading1"/>
        <w:pBdr>
          <w:bottom w:val="single" w:color="1B2A6B" w:sz="6" w:space="4"/>
        </w:pBdr>
        <w:spacing w:before="360" w:after="120"/>
      </w:pPr>
      <w:r>
        <w:rPr>
          <w:rFonts w:ascii="Calibri" w:cs="Calibri" w:eastAsia="Calibri" w:hAnsi="Calibri"/>
          <w:b/>
          <w:bCs/>
          <w:color w:val="1B2A6B"/>
          <w:sz w:val="30"/>
          <w:szCs w:val="30"/>
        </w:rPr>
        <w:t xml:space="preserve">7. FINANCIAL IMPACT &amp; ROI ANALYSIS</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7.1 Cost-Benefit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Cost Category</w:t>
            </w:r>
          </w:p>
        </w:tc>
        <w:tc>
          <w:tcPr>
            <w:tcW w:type="dxa" w:w="468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Estimated Investment</w:t>
            </w:r>
          </w:p>
        </w:tc>
      </w:tr>
      <w:tr>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IT Development (automation templates, dashboard, integrations)</w:t>
            </w:r>
          </w:p>
        </w:tc>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~$60,000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Project Team Labor (20 weeks, internal resources)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~$25,000</w:t>
            </w:r>
          </w:p>
        </w:tc>
      </w:tr>
      <w:tr>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Training Program Design &amp; Delivery</w:t>
            </w:r>
          </w:p>
        </w:tc>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~$10,000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Process Redesign &amp; Documentation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~$7,000</w:t>
            </w:r>
          </w:p>
        </w:tc>
      </w:tr>
      <w:tr>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Contingency (10%)</w:t>
            </w:r>
          </w:p>
        </w:tc>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~$3,000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TOTAL ESTIMATED PROJECT COST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~$105,000</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Benefit Category</w:t>
            </w:r>
          </w:p>
        </w:tc>
        <w:tc>
          <w:tcPr>
            <w:tcW w:type="dxa" w:w="468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Annual Value</w:t>
            </w:r>
          </w:p>
        </w:tc>
      </w:tr>
      <w:tr>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Rework labor cost elimination (error rate: 3.2% → 1.2%)</w:t>
            </w:r>
          </w:p>
        </w:tc>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~$228,000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Reduced escalation handling &amp; resolution time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~$58,000</w:t>
            </w:r>
          </w:p>
        </w:tc>
      </w:tr>
      <w:tr>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Compliance exception remediation cost reduction</w:t>
            </w:r>
          </w:p>
        </w:tc>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~$32,000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Increased throughput value (8% volume uplift, no added FTE)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~$22,000</w:t>
            </w:r>
          </w:p>
        </w:tc>
      </w:tr>
      <w:tr>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TOTAL PROJECTED ANNUAL BENEFIT</w:t>
            </w:r>
          </w:p>
        </w:tc>
        <w:tc>
          <w:tcPr>
            <w:tcW w:type="dxa" w:w="46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~$340,000</w:t>
            </w:r>
          </w:p>
        </w:tc>
      </w:tr>
    </w:tbl>
    <w:p>
      <w:pPr>
        <w:spacing w:before="0" w:after="60"/>
      </w:pPr>
      <w:r>
        <w:t xml:space="preserve"/>
      </w:r>
    </w:p>
    <w:p>
      <w:pPr>
        <w:pStyle w:val="Heading2"/>
        <w:spacing w:before="240" w:after="80"/>
      </w:pPr>
      <w:r>
        <w:rPr>
          <w:rFonts w:ascii="Calibri" w:cs="Calibri" w:eastAsia="Calibri" w:hAnsi="Calibri"/>
          <w:b/>
          <w:bCs/>
          <w:color w:val="1B2A6B"/>
          <w:sz w:val="24"/>
          <w:szCs w:val="24"/>
        </w:rPr>
        <w:t xml:space="preserve">7.2 ROI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Net Annual Benefit (Yr 1)</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~$235,000 (benefit minus first-year amortized cost)</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Return on Investment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~3.2× projected benefit over 12-month period</w:t>
            </w:r>
          </w:p>
        </w:tc>
      </w:tr>
      <w:tr>
        <w:tc>
          <w:tcPr>
            <w:tcW w:type="dxa" w:w="3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b/>
                <w:bCs/>
                <w:color w:val="1B2A6B"/>
                <w:sz w:val="20"/>
                <w:szCs w:val="20"/>
              </w:rPr>
              <w:t xml:space="preserve">Payback Period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~4 months post full implementation</w:t>
            </w:r>
          </w:p>
        </w:tc>
      </w:tr>
      <w:tr>
        <w:tc>
          <w:tcPr>
            <w:tcW w:type="dxa" w:w="3200"/>
            <w:tcBorders>
              <w:top w:val="single" w:color="CCCCCC" w:sz="4"/>
              <w:left w:val="single" w:color="CCCCCC" w:sz="4"/>
              <w:bottom w:val="single" w:color="CCCCCC" w:sz="4"/>
              <w:right w:val="single" w:color="CCCCCC" w:sz="4"/>
            </w:tcBorders>
            <w:shd w:fill="EEF1F8" w:val="clear"/>
            <w:tcMar>
              <w:top w:type="dxa" w:w="80"/>
              <w:left w:type="dxa" w:w="120"/>
              <w:bottom w:type="dxa" w:w="80"/>
              <w:right w:type="dxa" w:w="120"/>
            </w:tcMar>
          </w:tcPr>
          <w:p>
            <w:r>
              <w:rPr>
                <w:rFonts w:ascii="Calibri" w:cs="Calibri" w:eastAsia="Calibri" w:hAnsi="Calibri"/>
                <w:b/>
                <w:bCs/>
                <w:color w:val="1B2A6B"/>
                <w:sz w:val="20"/>
                <w:szCs w:val="20"/>
              </w:rPr>
              <w:t xml:space="preserve">3-Year Cumulative Benefit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~$975,000 (conservative estimate)</w:t>
            </w:r>
          </w:p>
        </w:tc>
      </w:tr>
    </w:tbl>
    <w:p>
      <w:pPr>
        <w:spacing w:before="0" w:after="60"/>
      </w:pPr>
      <w:r>
        <w:t xml:space="preserve"/>
      </w:r>
    </w:p>
    <w:p>
      <w:pPr>
        <w:pStyle w:val="Heading2"/>
        <w:spacing w:before="240" w:after="80"/>
      </w:pPr>
      <w:r>
        <w:rPr>
          <w:rFonts w:ascii="Calibri" w:cs="Calibri" w:eastAsia="Calibri" w:hAnsi="Calibri"/>
          <w:b/>
          <w:bCs/>
          <w:color w:val="1B2A6B"/>
          <w:sz w:val="24"/>
          <w:szCs w:val="24"/>
        </w:rPr>
        <w:t xml:space="preserve">7.3 Before vs. After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20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Before</w:t>
            </w:r>
          </w:p>
        </w:tc>
        <w:tc>
          <w:tcPr>
            <w:tcW w:type="dxa" w:w="20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After</w:t>
            </w:r>
          </w:p>
        </w:tc>
        <w:tc>
          <w:tcPr>
            <w:tcW w:type="dxa" w:w="256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Delta</w:t>
            </w:r>
          </w:p>
        </w:tc>
      </w:tr>
      <w:tr>
        <w:tc>
          <w:tcPr>
            <w:tcW w:type="dxa" w:w="2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Avg End-to-End Cycle Time</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24 minutes</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13 minutes</w:t>
            </w:r>
          </w:p>
        </w:tc>
        <w:tc>
          <w:tcPr>
            <w:tcW w:type="dxa" w:w="2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−45%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Error / Rework Rate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1.2%</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−62%</w:t>
            </w:r>
          </w:p>
        </w:tc>
      </w:tr>
      <w:tr>
        <w:tc>
          <w:tcPr>
            <w:tcW w:type="dxa" w:w="2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Same-Day Settlement Rate</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89%</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97.5%</w:t>
            </w:r>
          </w:p>
        </w:tc>
        <w:tc>
          <w:tcPr>
            <w:tcW w:type="dxa" w:w="2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+8.5 percentage points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Monthly Rework Cost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$28,400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$8,500</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−$19,900/month</w:t>
            </w:r>
          </w:p>
        </w:tc>
      </w:tr>
      <w:tr>
        <w:tc>
          <w:tcPr>
            <w:tcW w:type="dxa" w:w="2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Process Sigma Level</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1.52σ</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3.2σ</w:t>
            </w:r>
          </w:p>
        </w:tc>
        <w:tc>
          <w:tcPr>
            <w:tcW w:type="dxa" w:w="2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+1.68σ</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Customer Escalations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~22/month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~10/month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−55%</w:t>
            </w:r>
          </w:p>
        </w:tc>
      </w:tr>
      <w:tr>
        <w:tc>
          <w:tcPr>
            <w:tcW w:type="dxa" w:w="2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DPMO</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32,000</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~7,000</w:t>
            </w:r>
          </w:p>
        </w:tc>
        <w:tc>
          <w:tcPr>
            <w:tcW w:type="dxa" w:w="2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−78%</w:t>
            </w:r>
          </w:p>
        </w:tc>
      </w:tr>
    </w:tbl>
    <w:p>
      <w:pPr>
        <w:spacing w:before="0" w:after="0"/>
      </w:pPr>
      <w:r>
        <w:br w:type="page"/>
      </w:r>
    </w:p>
    <w:p>
      <w:pPr>
        <w:pStyle w:val="Heading1"/>
        <w:pBdr>
          <w:bottom w:val="single" w:color="1B2A6B" w:sz="6" w:space="4"/>
        </w:pBdr>
        <w:spacing w:before="360" w:after="120"/>
      </w:pPr>
      <w:r>
        <w:rPr>
          <w:rFonts w:ascii="Calibri" w:cs="Calibri" w:eastAsia="Calibri" w:hAnsi="Calibri"/>
          <w:b/>
          <w:bCs/>
          <w:color w:val="1B2A6B"/>
          <w:sz w:val="30"/>
          <w:szCs w:val="30"/>
        </w:rPr>
        <w:t xml:space="preserve">8. IMPLEMENTATION TIMELINE</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8.1 Phase-by-Phase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800"/>
        <w:gridCol w:w="1860"/>
        <w:gridCol w:w="2000"/>
      </w:tblGrid>
      <w:tr>
        <w:trPr>
          <w:tblHeader/>
        </w:trPr>
        <w:tc>
          <w:tcPr>
            <w:tcW w:type="dxa" w:w="15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Phase</w:t>
            </w:r>
          </w:p>
        </w:tc>
        <w:tc>
          <w:tcPr>
            <w:tcW w:type="dxa" w:w="12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Timeline</w:t>
            </w:r>
          </w:p>
        </w:tc>
        <w:tc>
          <w:tcPr>
            <w:tcW w:type="dxa" w:w="28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Deliverables</w:t>
            </w:r>
          </w:p>
        </w:tc>
        <w:tc>
          <w:tcPr>
            <w:tcW w:type="dxa" w:w="186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Owner</w:t>
            </w:r>
          </w:p>
        </w:tc>
        <w:tc>
          <w:tcPr>
            <w:tcW w:type="dxa" w:w="20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Gates / Milestones</w:t>
            </w:r>
          </w:p>
        </w:tc>
      </w:tr>
      <w:tr>
        <w:tc>
          <w:tcPr>
            <w:tcW w:type="dxa" w:w="15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Define</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Wk 1–2</w:t>
            </w:r>
          </w:p>
        </w:tc>
        <w:tc>
          <w:tcPr>
            <w:tcW w:type="dxa" w:w="2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Project charter, SIPOC, stakeholder map, VOC synthesis, problem statement</w:t>
            </w:r>
          </w:p>
        </w:tc>
        <w:tc>
          <w:tcPr>
            <w:tcW w:type="dxa" w:w="18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Project Sponsor + BA</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Charter approved &amp; signed by Wk 2</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Measure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Wk 3–6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Current state VSM, 4-week data collection, baseline sigma, Pareto analysis, measurement system analysis</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BA + Ops Analyst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Baseline validated by Wk 6</w:t>
            </w:r>
          </w:p>
        </w:tc>
      </w:tr>
      <w:tr>
        <w:tc>
          <w:tcPr>
            <w:tcW w:type="dxa" w:w="15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Analyze</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Wk 7–10</w:t>
            </w:r>
          </w:p>
        </w:tc>
        <w:tc>
          <w:tcPr>
            <w:tcW w:type="dxa" w:w="2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Fishbone workshop, 5-Why root cause verification, regression analysis, failure mode ranking</w:t>
            </w:r>
          </w:p>
        </w:tc>
        <w:tc>
          <w:tcPr>
            <w:tcW w:type="dxa" w:w="18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BA + QA Lead + Core Team</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Root causes validated; top 3 confirmed by Wk 10</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Improve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Wk 11–16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Automation template build, risk-tier framework, SOP library v1.0, pilot execution, pilot results report</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Dev + BA + Ops + Compliance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Pilot results ≥ 80% of target improvement by Wk 16</w:t>
            </w:r>
          </w:p>
        </w:tc>
      </w:tr>
      <w:tr>
        <w:tc>
          <w:tcPr>
            <w:tcW w:type="dxa" w:w="15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Control</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Wk 17–20</w:t>
            </w:r>
          </w:p>
        </w:tc>
        <w:tc>
          <w:tcPr>
            <w:tcW w:type="dxa" w:w="28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Dashboard deployment, staff certification, control plan finalized, BAU transition, 30-day post-launch review</w:t>
            </w:r>
          </w:p>
        </w:tc>
        <w:tc>
          <w:tcPr>
            <w:tcW w:type="dxa" w:w="18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Ops Manager + BA</w:t>
            </w:r>
          </w:p>
        </w:tc>
        <w:tc>
          <w:tcPr>
            <w:tcW w:type="dxa" w:w="20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Full BAU handoff; 30-day review completed by Wk 24</w:t>
            </w:r>
          </w:p>
        </w:tc>
      </w:tr>
    </w:tbl>
    <w:p>
      <w:pPr>
        <w:spacing w:before="0" w:after="60"/>
      </w:pPr>
      <w:r>
        <w:t xml:space="preserve"/>
      </w:r>
    </w:p>
    <w:p>
      <w:pPr>
        <w:pStyle w:val="Heading2"/>
        <w:spacing w:before="240" w:after="80"/>
      </w:pPr>
      <w:r>
        <w:rPr>
          <w:rFonts w:ascii="Calibri" w:cs="Calibri" w:eastAsia="Calibri" w:hAnsi="Calibri"/>
          <w:b/>
          <w:bCs/>
          <w:color w:val="1B2A6B"/>
          <w:sz w:val="24"/>
          <w:szCs w:val="24"/>
        </w:rPr>
        <w:t xml:space="preserve">8.2 Key Assumptions &amp; Dependencies</w:t>
      </w:r>
    </w:p>
    <w:p>
      <w:pPr>
        <w:pStyle w:val="ListParagraph"/>
        <w:numPr>
          <w:ilvl w:val="0"/>
          <w:numId w:val="2"/>
        </w:numPr>
        <w:spacing w:before="40" w:after="60"/>
      </w:pPr>
      <w:r>
        <w:rPr>
          <w:rFonts w:ascii="Calibri" w:cs="Calibri" w:eastAsia="Calibri" w:hAnsi="Calibri"/>
          <w:color w:val="333333"/>
          <w:sz w:val="22"/>
          <w:szCs w:val="22"/>
        </w:rPr>
        <w:t xml:space="preserve">IT capacity allocated for automation development beginning Week 3</w:t>
      </w:r>
    </w:p>
    <w:p>
      <w:pPr>
        <w:pStyle w:val="ListParagraph"/>
        <w:numPr>
          <w:ilvl w:val="0"/>
          <w:numId w:val="2"/>
        </w:numPr>
        <w:spacing w:before="40" w:after="60"/>
      </w:pPr>
      <w:r>
        <w:rPr>
          <w:rFonts w:ascii="Calibri" w:cs="Calibri" w:eastAsia="Calibri" w:hAnsi="Calibri"/>
          <w:color w:val="333333"/>
          <w:sz w:val="22"/>
          <w:szCs w:val="22"/>
        </w:rPr>
        <w:t xml:space="preserve">Compliance sign-off on risk-tiered dual-control framework by Week 8</w:t>
      </w:r>
    </w:p>
    <w:p>
      <w:pPr>
        <w:pStyle w:val="ListParagraph"/>
        <w:numPr>
          <w:ilvl w:val="0"/>
          <w:numId w:val="2"/>
        </w:numPr>
        <w:spacing w:before="40" w:after="60"/>
      </w:pPr>
      <w:r>
        <w:rPr>
          <w:rFonts w:ascii="Calibri" w:cs="Calibri" w:eastAsia="Calibri" w:hAnsi="Calibri"/>
          <w:color w:val="333333"/>
          <w:sz w:val="22"/>
          <w:szCs w:val="22"/>
        </w:rPr>
        <w:t xml:space="preserve">Access to 4 weeks of historical transaction data for baseline analysis</w:t>
      </w:r>
    </w:p>
    <w:p>
      <w:pPr>
        <w:pStyle w:val="ListParagraph"/>
        <w:numPr>
          <w:ilvl w:val="0"/>
          <w:numId w:val="2"/>
        </w:numPr>
        <w:spacing w:before="40" w:after="60"/>
      </w:pPr>
      <w:r>
        <w:rPr>
          <w:rFonts w:ascii="Calibri" w:cs="Calibri" w:eastAsia="Calibri" w:hAnsi="Calibri"/>
          <w:color w:val="333333"/>
          <w:sz w:val="22"/>
          <w:szCs w:val="22"/>
        </w:rPr>
        <w:t xml:space="preserve">Core team SMEs available for kaizen workshop during Weeks 7–8 (minimum 12 person-hours each)</w:t>
      </w:r>
    </w:p>
    <w:p>
      <w:pPr>
        <w:pStyle w:val="ListParagraph"/>
        <w:numPr>
          <w:ilvl w:val="0"/>
          <w:numId w:val="2"/>
        </w:numPr>
        <w:spacing w:before="40" w:after="60"/>
      </w:pPr>
      <w:r>
        <w:rPr>
          <w:rFonts w:ascii="Calibri" w:cs="Calibri" w:eastAsia="Calibri" w:hAnsi="Calibri"/>
          <w:color w:val="333333"/>
          <w:sz w:val="22"/>
          <w:szCs w:val="22"/>
        </w:rPr>
        <w:t xml:space="preserve">LMS platform available for training module hosting</w:t>
      </w:r>
    </w:p>
    <w:p>
      <w:pPr>
        <w:pStyle w:val="ListParagraph"/>
        <w:numPr>
          <w:ilvl w:val="0"/>
          <w:numId w:val="2"/>
        </w:numPr>
        <w:spacing w:before="40" w:after="60"/>
      </w:pPr>
      <w:r>
        <w:rPr>
          <w:rFonts w:ascii="Calibri" w:cs="Calibri" w:eastAsia="Calibri" w:hAnsi="Calibri"/>
          <w:color w:val="333333"/>
          <w:sz w:val="22"/>
          <w:szCs w:val="22"/>
        </w:rPr>
        <w:t xml:space="preserve">Operations leadership commitment to daily stand-up governance model post-launch</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8.3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Risk</w:t>
            </w:r>
          </w:p>
        </w:tc>
        <w:tc>
          <w:tcPr>
            <w:tcW w:type="dxa" w:w="12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Likelihood</w:t>
            </w:r>
          </w:p>
        </w:tc>
        <w:tc>
          <w:tcPr>
            <w:tcW w:type="dxa" w:w="12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Impact</w:t>
            </w:r>
          </w:p>
        </w:tc>
        <w:tc>
          <w:tcPr>
            <w:tcW w:type="dxa" w:w="456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Mitigation</w:t>
            </w:r>
          </w:p>
        </w:tc>
      </w:tr>
      <w:tr>
        <w:tc>
          <w:tcPr>
            <w:tcW w:type="dxa" w:w="24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IT resource constraints delay automation build</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High</w:t>
            </w:r>
          </w:p>
        </w:tc>
        <w:tc>
          <w:tcPr>
            <w:tcW w:type="dxa" w:w="4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Lock in IT capacity commitment in project charter; escalate to sponsor if slippage detected by Wk 5</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Compliance does not approve tiered dual-control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High</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Engage Compliance Officer in kaizen workshop (Wk 7); present regulatory precedent from peer institutions</w:t>
            </w:r>
          </w:p>
        </w:tc>
      </w:tr>
      <w:tr>
        <w:tc>
          <w:tcPr>
            <w:tcW w:type="dxa" w:w="24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Staff resistance to new SOP/checklist system</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4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Change management plan; floor champion program; track adoption metrics week over week</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Pilot data insufficient due to volume variability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Extend pilot by 2 weeks if needed; use bootstrap statistical methods for smaller samples</w:t>
            </w:r>
          </w:p>
        </w:tc>
      </w:tr>
      <w:tr>
        <w:tc>
          <w:tcPr>
            <w:tcW w:type="dxa" w:w="24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Knowledge loss during project (attrition)</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12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Medium</w:t>
            </w:r>
          </w:p>
        </w:tc>
        <w:tc>
          <w:tcPr>
            <w:tcW w:type="dxa" w:w="456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Document all project decisions and findings in real time; maintain team RACI and backup owners</w:t>
            </w:r>
          </w:p>
        </w:tc>
      </w:tr>
    </w:tbl>
    <w:p>
      <w:pPr>
        <w:spacing w:before="0" w:after="0"/>
      </w:pPr>
      <w:r>
        <w:br w:type="page"/>
      </w:r>
    </w:p>
    <w:p>
      <w:pPr>
        <w:pStyle w:val="Heading1"/>
        <w:pBdr>
          <w:bottom w:val="single" w:color="1B2A6B" w:sz="6" w:space="4"/>
        </w:pBdr>
        <w:spacing w:before="360" w:after="120"/>
      </w:pPr>
      <w:r>
        <w:rPr>
          <w:rFonts w:ascii="Calibri" w:cs="Calibri" w:eastAsia="Calibri" w:hAnsi="Calibri"/>
          <w:b/>
          <w:bCs/>
          <w:color w:val="1B2A6B"/>
          <w:sz w:val="30"/>
          <w:szCs w:val="30"/>
        </w:rPr>
        <w:t xml:space="preserve">9. RECOMMENDATION &amp; REQUESTED ACTIONS</w:t>
      </w:r>
    </w:p>
    <w:p>
      <w:pPr>
        <w:spacing w:before="0" w:after="60"/>
      </w:pPr>
      <w:r>
        <w:t xml:space="preserve"/>
      </w:r>
    </w:p>
    <w:p>
      <w:pPr>
        <w:pBdr>
          <w:top w:val="single" w:color="BBCCEE" w:sz="4"/>
          <w:bottom w:val="single" w:color="BBCCEE" w:sz="4"/>
          <w:left w:val="single" w:color="BBCCEE" w:sz="4"/>
          <w:right w:val="single" w:color="BBCCEE" w:sz="4"/>
        </w:pBdr>
        <w:shd w:fill="E8F2FF" w:val="clear"/>
        <w:spacing w:before="40" w:after="40"/>
        <w:ind w:left="200" w:right="200"/>
      </w:pPr>
      <w:r>
        <w:rPr>
          <w:rFonts w:ascii="Calibri" w:cs="Calibri" w:eastAsia="Calibri" w:hAnsi="Calibri"/>
          <w:color w:val="1B2A6B"/>
          <w:sz w:val="21"/>
          <w:szCs w:val="21"/>
        </w:rPr>
        <w:t xml:space="preserve">RECOMMENDATION: Based on the evidence gathered, projected ROI, and strategic importance of wire operations to the Commercial Banking Division, this proposal recommends full approval and funding of the Wire Department Lean Six Sigma improvement initiative. A 20-week phased implementation, beginning in Q2 2025, is expected to deliver ~$340,000 in annual cost savings with a payback period of approximately four months.</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9.1 Requested Executive Actions</w:t>
      </w:r>
    </w:p>
    <w:p>
      <w:pPr>
        <w:pStyle w:val="ListParagraph"/>
        <w:numPr>
          <w:ilvl w:val="0"/>
          <w:numId w:val="2"/>
        </w:numPr>
        <w:spacing w:before="40" w:after="60"/>
      </w:pPr>
      <w:r>
        <w:rPr>
          <w:rFonts w:ascii="Calibri" w:cs="Calibri" w:eastAsia="Calibri" w:hAnsi="Calibri"/>
          <w:color w:val="333333"/>
          <w:sz w:val="22"/>
          <w:szCs w:val="22"/>
        </w:rPr>
        <w:t xml:space="preserve">Approve project charter and authorize budget of ~$105,000</w:t>
      </w:r>
    </w:p>
    <w:p>
      <w:pPr>
        <w:pStyle w:val="ListParagraph"/>
        <w:numPr>
          <w:ilvl w:val="0"/>
          <w:numId w:val="2"/>
        </w:numPr>
        <w:spacing w:before="40" w:after="60"/>
      </w:pPr>
      <w:r>
        <w:rPr>
          <w:rFonts w:ascii="Calibri" w:cs="Calibri" w:eastAsia="Calibri" w:hAnsi="Calibri"/>
          <w:color w:val="333333"/>
          <w:sz w:val="22"/>
          <w:szCs w:val="22"/>
        </w:rPr>
        <w:t xml:space="preserve">Confirm project sponsor and assign executive steering committee</w:t>
      </w:r>
    </w:p>
    <w:p>
      <w:pPr>
        <w:pStyle w:val="ListParagraph"/>
        <w:numPr>
          <w:ilvl w:val="0"/>
          <w:numId w:val="2"/>
        </w:numPr>
        <w:spacing w:before="40" w:after="60"/>
      </w:pPr>
      <w:r>
        <w:rPr>
          <w:rFonts w:ascii="Calibri" w:cs="Calibri" w:eastAsia="Calibri" w:hAnsi="Calibri"/>
          <w:color w:val="333333"/>
          <w:sz w:val="22"/>
          <w:szCs w:val="22"/>
        </w:rPr>
        <w:t xml:space="preserve">Authorize IT resource allocation for automation development (6–8 weeks)</w:t>
      </w:r>
    </w:p>
    <w:p>
      <w:pPr>
        <w:pStyle w:val="ListParagraph"/>
        <w:numPr>
          <w:ilvl w:val="0"/>
          <w:numId w:val="2"/>
        </w:numPr>
        <w:spacing w:before="40" w:after="60"/>
      </w:pPr>
      <w:r>
        <w:rPr>
          <w:rFonts w:ascii="Calibri" w:cs="Calibri" w:eastAsia="Calibri" w:hAnsi="Calibri"/>
          <w:color w:val="333333"/>
          <w:sz w:val="22"/>
          <w:szCs w:val="22"/>
        </w:rPr>
        <w:t xml:space="preserve">Direct Compliance to engage as project partner beginning Week 3</w:t>
      </w:r>
    </w:p>
    <w:p>
      <w:pPr>
        <w:pStyle w:val="ListParagraph"/>
        <w:numPr>
          <w:ilvl w:val="0"/>
          <w:numId w:val="2"/>
        </w:numPr>
        <w:spacing w:before="40" w:after="60"/>
      </w:pPr>
      <w:r>
        <w:rPr>
          <w:rFonts w:ascii="Calibri" w:cs="Calibri" w:eastAsia="Calibri" w:hAnsi="Calibri"/>
          <w:color w:val="333333"/>
          <w:sz w:val="22"/>
          <w:szCs w:val="22"/>
        </w:rPr>
        <w:t xml:space="preserve">Communicate project initiation to Wire Operations team and divisional leadership</w:t>
      </w:r>
    </w:p>
    <w:p>
      <w:pPr>
        <w:spacing w:before="0" w:after="60"/>
      </w:pPr>
      <w:r>
        <w:t xml:space="preserve"/>
      </w:r>
    </w:p>
    <w:p>
      <w:pPr>
        <w:pStyle w:val="Heading2"/>
        <w:spacing w:before="240" w:after="80"/>
      </w:pPr>
      <w:r>
        <w:rPr>
          <w:rFonts w:ascii="Calibri" w:cs="Calibri" w:eastAsia="Calibri" w:hAnsi="Calibri"/>
          <w:b/>
          <w:bCs/>
          <w:color w:val="1B2A6B"/>
          <w:sz w:val="24"/>
          <w:szCs w:val="24"/>
        </w:rPr>
        <w:t xml:space="preserve">9.2 Success Criteria for Executive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288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Target at Project Close</w:t>
            </w:r>
          </w:p>
        </w:tc>
        <w:tc>
          <w:tcPr>
            <w:tcW w:type="dxa" w:w="2880"/>
            <w:tcBorders>
              <w:top w:val="single" w:color="1B2A6B" w:sz="6"/>
              <w:left w:val="single" w:color="1B2A6B" w:sz="6"/>
              <w:bottom w:val="single" w:color="1B2A6B" w:sz="6"/>
              <w:right w:val="single" w:color="1B2A6B" w:sz="6"/>
            </w:tcBorders>
            <w:shd w:fill="1B2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Measurement Date</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Avg Cycle Time</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 14 minutes</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30-day post-launch avg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Error/Rework Rate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&lt; 1.5%</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30-day post-launch avg</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Same-Day Settlement</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 97%</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30-day post-launch avg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Process Sigma Level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 3.0σ</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333333"/>
                <w:sz w:val="20"/>
                <w:szCs w:val="20"/>
              </w:rPr>
              <w:t xml:space="preserve">Wk 24 capability study</w:t>
            </w:r>
          </w:p>
        </w:tc>
      </w:tr>
      <w:tr>
        <w:tc>
          <w:tcPr>
            <w:tcW w:type="dxa" w:w="360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Staff Certification Completion</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100% of wire processors</w:t>
            </w:r>
          </w:p>
        </w:tc>
        <w:tc>
          <w:tcPr>
            <w:tcW w:type="dxa" w:w="2880"/>
            <w:tcBorders>
              <w:top w:val="single" w:color="CCCCCC" w:sz="4"/>
              <w:left w:val="single" w:color="CCCCCC" w:sz="4"/>
              <w:bottom w:val="single" w:color="CCCCCC" w:sz="4"/>
              <w:right w:val="single" w:color="CCCCCC" w:sz="4"/>
            </w:tcBorders>
            <w:shd w:fill="F4F7FC" w:val="clear"/>
            <w:tcMar>
              <w:top w:type="dxa" w:w="80"/>
              <w:left w:type="dxa" w:w="120"/>
              <w:bottom w:type="dxa" w:w="80"/>
              <w:right w:type="dxa" w:w="120"/>
            </w:tcMar>
          </w:tcPr>
          <w:p>
            <w:r>
              <w:rPr>
                <w:rFonts w:ascii="Calibri" w:cs="Calibri" w:eastAsia="Calibri" w:hAnsi="Calibri"/>
                <w:color w:val="333333"/>
                <w:sz w:val="20"/>
                <w:szCs w:val="20"/>
              </w:rPr>
              <w:t xml:space="preserve">By project close (Wk 20)</w:t>
            </w:r>
          </w:p>
        </w:tc>
      </w:tr>
    </w:tbl>
    <w:p>
      <w:pPr>
        <w:spacing w:before="0" w:after="60"/>
      </w:pPr>
      <w:r>
        <w:t xml:space="preserve"/>
      </w:r>
    </w:p>
    <w:p>
      <w:pPr>
        <w:spacing w:before="60" w:after="120"/>
        <w:jc w:val="both"/>
      </w:pPr>
      <w:r>
        <w:rPr>
          <w:rFonts w:ascii="Calibri" w:cs="Calibri" w:eastAsia="Calibri" w:hAnsi="Calibri"/>
          <w:color w:val="333333"/>
          <w:sz w:val="22"/>
          <w:szCs w:val="22"/>
        </w:rPr>
        <w:t xml:space="preserve">This proposal was prepared with the objective of providing a rigorous, data-informed basis for executive decision-making. The project team is available to present findings and answer questions at the next Operations Steering Committee meeting.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6B" w:sz="4" w:space="4"/>
      </w:pBdr>
      <w:jc w:val="right"/>
    </w:pPr>
    <w:r>
      <w:rPr>
        <w:rFonts w:ascii="Calibri" w:cs="Calibri" w:eastAsia="Calibri" w:hAnsi="Calibri"/>
        <w:color w:val="888888"/>
        <w:sz w:val="18"/>
        <w:szCs w:val="18"/>
      </w:rPr>
      <w:t xml:space="preserve">Internal  |  Confidential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6B" w:sz="4" w:space="4"/>
      </w:pBdr>
    </w:pPr>
    <w:r>
      <w:rPr>
        <w:rFonts w:ascii="Calibri" w:cs="Calibri" w:eastAsia="Calibri" w:hAnsi="Calibri"/>
        <w:color w:val="888888"/>
        <w:sz w:val="18"/>
        <w:szCs w:val="18"/>
      </w:rPr>
      <w:t xml:space="preserve">Wire Department Process Improvement  |  Lean Six Sigma DMAIC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B2A6B"/>
      <w:sz w:val="30"/>
      <w:szCs w:val="30"/>
    </w:rPr>
  </w:style>
  <w:style w:type="paragraph" w:styleId="Heading2">
    <w:name w:val="Heading 2"/>
    <w:basedOn w:val="Normal"/>
    <w:next w:val="Normal"/>
    <w:qFormat/>
    <w:pPr>
      <w:spacing w:before="240" w:after="80"/>
      <w:outlineLvl w:val="1"/>
    </w:pPr>
    <w:rPr>
      <w:rFonts w:ascii="Calibri" w:cs="Calibri" w:eastAsia="Calibri" w:hAnsi="Calibri"/>
      <w:b/>
      <w:bCs/>
      <w:color w:val="1B2A6B"/>
      <w:sz w:val="24"/>
      <w:szCs w:val="24"/>
    </w:rPr>
  </w:style>
  <w:style w:type="paragraph" w:styleId="Heading3">
    <w:name w:val="Heading 3"/>
    <w:basedOn w:val="Normal"/>
    <w:next w:val="Normal"/>
    <w:qFormat/>
    <w:pPr>
      <w:spacing w:before="180" w:after="60"/>
      <w:outlineLvl w:val="2"/>
    </w:pPr>
    <w:rPr>
      <w:rFonts w:ascii="Calibri" w:cs="Calibri" w:eastAsia="Calibri" w:hAnsi="Calibri"/>
      <w:b/>
      <w:bCs/>
      <w:color w:val="0066C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2026-03-24T22:09:17.919Z</dcterms:created>
  <dcterms:modified xsi:type="dcterms:W3CDTF">2026-03-24T22:09:17.920Z</dcterms:modified>
</cp:coreProperties>
</file>

<file path=docProps/custom.xml><?xml version="1.0" encoding="utf-8"?>
<Properties xmlns="http://schemas.openxmlformats.org/officeDocument/2006/custom-properties" xmlns:vt="http://schemas.openxmlformats.org/officeDocument/2006/docPropsVTypes"/>
</file>