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55523" w14:textId="77777777" w:rsidR="00761C63" w:rsidRPr="0096533C" w:rsidRDefault="00761C63" w:rsidP="0096533C">
      <w:pPr>
        <w:rPr>
          <w:sz w:val="24"/>
          <w:szCs w:val="24"/>
        </w:rPr>
      </w:pPr>
      <w:r w:rsidRPr="00761C63">
        <w:rPr>
          <w:b/>
          <w:bCs/>
          <w:sz w:val="24"/>
          <w:szCs w:val="24"/>
        </w:rPr>
        <w:t>ESG Performance Analysis: Strategic Recommendations and Key Findings</w:t>
      </w:r>
    </w:p>
    <w:p w14:paraId="1EA54156" w14:textId="44C83B8C" w:rsidR="00761C63" w:rsidRPr="0096533C" w:rsidRDefault="00761C63" w:rsidP="0096533C">
      <w:pPr>
        <w:rPr>
          <w:sz w:val="24"/>
          <w:szCs w:val="24"/>
        </w:rPr>
      </w:pPr>
      <w:r w:rsidRPr="00761C63">
        <w:rPr>
          <w:sz w:val="24"/>
          <w:szCs w:val="24"/>
        </w:rPr>
        <w:br/>
        <w:t>This is a report of five companies (A-E) ESG (Environment, Social, and Governance) analysis </w:t>
      </w:r>
      <w:r w:rsidRPr="0096533C">
        <w:rPr>
          <w:sz w:val="24"/>
          <w:szCs w:val="24"/>
        </w:rPr>
        <w:t>to provide</w:t>
      </w:r>
      <w:r w:rsidRPr="00761C63">
        <w:rPr>
          <w:sz w:val="24"/>
          <w:szCs w:val="24"/>
        </w:rPr>
        <w:t> insights that will inform strategic recommendations.</w:t>
      </w:r>
    </w:p>
    <w:p w14:paraId="1A971D5A" w14:textId="77777777" w:rsidR="00761C63" w:rsidRPr="0096533C" w:rsidRDefault="00761C63" w:rsidP="0096533C">
      <w:pPr>
        <w:rPr>
          <w:sz w:val="24"/>
          <w:szCs w:val="24"/>
        </w:rPr>
      </w:pPr>
      <w:r w:rsidRPr="0096533C">
        <w:rPr>
          <w:sz w:val="24"/>
          <w:szCs w:val="24"/>
        </w:rPr>
        <w:br/>
      </w:r>
      <w:r w:rsidRPr="0096533C">
        <w:rPr>
          <w:b/>
          <w:bCs/>
          <w:sz w:val="24"/>
          <w:szCs w:val="24"/>
        </w:rPr>
        <w:t>Key Findings:</w:t>
      </w:r>
      <w:r w:rsidRPr="0096533C">
        <w:rPr>
          <w:sz w:val="24"/>
          <w:szCs w:val="24"/>
        </w:rPr>
        <w:br/>
        <w:t>Our analysis of the ESG measures indicates specific levels of performance </w:t>
      </w:r>
      <w:r w:rsidRPr="0096533C">
        <w:rPr>
          <w:sz w:val="24"/>
          <w:szCs w:val="24"/>
        </w:rPr>
        <w:t>across</w:t>
      </w:r>
      <w:r w:rsidRPr="0096533C">
        <w:rPr>
          <w:sz w:val="24"/>
          <w:szCs w:val="24"/>
        </w:rPr>
        <w:t> the companies.</w:t>
      </w:r>
      <w:r w:rsidRPr="0096533C">
        <w:rPr>
          <w:sz w:val="24"/>
          <w:szCs w:val="24"/>
        </w:rPr>
        <w:br/>
      </w:r>
    </w:p>
    <w:p w14:paraId="58BA19AC" w14:textId="77777777" w:rsidR="00761C63" w:rsidRPr="0096533C" w:rsidRDefault="00761C63" w:rsidP="0096533C">
      <w:pPr>
        <w:pStyle w:val="ListParagraph"/>
        <w:numPr>
          <w:ilvl w:val="0"/>
          <w:numId w:val="5"/>
        </w:numPr>
        <w:rPr>
          <w:sz w:val="24"/>
          <w:szCs w:val="24"/>
        </w:rPr>
      </w:pPr>
      <w:r w:rsidRPr="0096533C">
        <w:rPr>
          <w:sz w:val="24"/>
          <w:szCs w:val="24"/>
        </w:rPr>
        <w:t>Company D is the top performer with the highest overall ESG Score of 78. Its </w:t>
      </w:r>
      <w:r w:rsidRPr="0096533C">
        <w:rPr>
          <w:sz w:val="24"/>
          <w:szCs w:val="24"/>
        </w:rPr>
        <w:t>lead</w:t>
      </w:r>
      <w:r w:rsidRPr="0096533C">
        <w:rPr>
          <w:sz w:val="24"/>
          <w:szCs w:val="24"/>
        </w:rPr>
        <w:t> rank</w:t>
      </w:r>
      <w:r w:rsidRPr="0096533C">
        <w:rPr>
          <w:sz w:val="24"/>
          <w:szCs w:val="24"/>
        </w:rPr>
        <w:t>ing</w:t>
      </w:r>
      <w:r w:rsidRPr="0096533C">
        <w:rPr>
          <w:sz w:val="24"/>
          <w:szCs w:val="24"/>
        </w:rPr>
        <w:t> is also supported by its top rankings in Employee Diversity (55%) and Community Investment ($200k). On the other hand,</w:t>
      </w:r>
      <w:r w:rsidRPr="0096533C">
        <w:rPr>
          <w:sz w:val="24"/>
          <w:szCs w:val="24"/>
        </w:rPr>
        <w:t xml:space="preserve"> </w:t>
      </w:r>
    </w:p>
    <w:p w14:paraId="539ED512" w14:textId="77777777" w:rsidR="00761C63" w:rsidRPr="0096533C" w:rsidRDefault="00761C63" w:rsidP="0096533C">
      <w:pPr>
        <w:pStyle w:val="ListParagraph"/>
        <w:numPr>
          <w:ilvl w:val="0"/>
          <w:numId w:val="5"/>
        </w:numPr>
        <w:rPr>
          <w:sz w:val="24"/>
          <w:szCs w:val="24"/>
        </w:rPr>
      </w:pPr>
      <w:r w:rsidRPr="0096533C">
        <w:rPr>
          <w:sz w:val="24"/>
          <w:szCs w:val="24"/>
        </w:rPr>
        <w:t>Company C has the lowest total ESG Score of 62. It is mainly because it has the highest Carbon Emissions of 2,500 tons and Water Usage of 11,200 m³ among the companies under consideration.</w:t>
      </w:r>
    </w:p>
    <w:p w14:paraId="15D86465" w14:textId="77777777" w:rsidR="00761C63" w:rsidRPr="0096533C" w:rsidRDefault="00761C63" w:rsidP="0096533C">
      <w:pPr>
        <w:pStyle w:val="ListParagraph"/>
        <w:numPr>
          <w:ilvl w:val="0"/>
          <w:numId w:val="5"/>
        </w:numPr>
        <w:rPr>
          <w:sz w:val="24"/>
          <w:szCs w:val="24"/>
        </w:rPr>
      </w:pPr>
      <w:r w:rsidRPr="0096533C">
        <w:rPr>
          <w:sz w:val="24"/>
          <w:szCs w:val="24"/>
        </w:rPr>
        <w:t>One of the most significant results of the correlation analysis is</w:t>
      </w:r>
      <w:r w:rsidRPr="0096533C">
        <w:rPr>
          <w:sz w:val="24"/>
          <w:szCs w:val="24"/>
        </w:rPr>
        <w:t xml:space="preserve"> </w:t>
      </w:r>
      <w:r w:rsidRPr="0096533C">
        <w:rPr>
          <w:sz w:val="24"/>
          <w:szCs w:val="24"/>
        </w:rPr>
        <w:t>the strong negative correlation between environmental indicators and the total ESG Score. </w:t>
      </w:r>
    </w:p>
    <w:p w14:paraId="1B3E3ED4" w14:textId="77777777" w:rsidR="00761C63" w:rsidRPr="0096533C" w:rsidRDefault="00761C63" w:rsidP="0096533C">
      <w:pPr>
        <w:pStyle w:val="ListParagraph"/>
        <w:numPr>
          <w:ilvl w:val="0"/>
          <w:numId w:val="5"/>
        </w:numPr>
        <w:rPr>
          <w:sz w:val="24"/>
          <w:szCs w:val="24"/>
        </w:rPr>
      </w:pPr>
      <w:r w:rsidRPr="0096533C">
        <w:rPr>
          <w:sz w:val="24"/>
          <w:szCs w:val="24"/>
        </w:rPr>
        <w:t xml:space="preserve">Carbon Emissions, for instance, have a strong negative correlation with the ESG Score (r=−0.947), and Water Usage has an even stronger negative correlation with the ESG Score (r=−0.979). </w:t>
      </w:r>
    </w:p>
    <w:p w14:paraId="303735F9" w14:textId="77777777" w:rsidR="00761C63" w:rsidRPr="0096533C" w:rsidRDefault="00761C63" w:rsidP="0096533C">
      <w:pPr>
        <w:pStyle w:val="ListParagraph"/>
        <w:numPr>
          <w:ilvl w:val="0"/>
          <w:numId w:val="5"/>
        </w:numPr>
        <w:rPr>
          <w:sz w:val="24"/>
          <w:szCs w:val="24"/>
        </w:rPr>
      </w:pPr>
      <w:r w:rsidRPr="0096533C">
        <w:rPr>
          <w:sz w:val="24"/>
          <w:szCs w:val="24"/>
        </w:rPr>
        <w:t>This suggests that firms with less environmental impact score higher on the ESG score.</w:t>
      </w:r>
      <w:r w:rsidRPr="0096533C">
        <w:rPr>
          <w:sz w:val="24"/>
          <w:szCs w:val="24"/>
        </w:rPr>
        <w:br/>
        <w:t>The bar chart of 'Overall ESG performance per company</w:t>
      </w:r>
      <w:r w:rsidRPr="0096533C">
        <w:rPr>
          <w:sz w:val="24"/>
          <w:szCs w:val="24"/>
        </w:rPr>
        <w:t>’ clearly</w:t>
      </w:r>
      <w:r w:rsidRPr="0096533C">
        <w:rPr>
          <w:sz w:val="24"/>
          <w:szCs w:val="24"/>
        </w:rPr>
        <w:t> </w:t>
      </w:r>
      <w:r w:rsidRPr="0096533C">
        <w:rPr>
          <w:sz w:val="24"/>
          <w:szCs w:val="24"/>
        </w:rPr>
        <w:t>shows that</w:t>
      </w:r>
      <w:r w:rsidRPr="0096533C">
        <w:rPr>
          <w:sz w:val="24"/>
          <w:szCs w:val="24"/>
        </w:rPr>
        <w:t xml:space="preserve"> Company D has the highest score and Company C the worst score. </w:t>
      </w:r>
    </w:p>
    <w:p w14:paraId="7C13AFAF" w14:textId="77777777" w:rsidR="00761C63" w:rsidRPr="0096533C" w:rsidRDefault="00761C63" w:rsidP="0096533C">
      <w:pPr>
        <w:pStyle w:val="ListParagraph"/>
        <w:numPr>
          <w:ilvl w:val="0"/>
          <w:numId w:val="5"/>
        </w:numPr>
        <w:rPr>
          <w:sz w:val="24"/>
          <w:szCs w:val="24"/>
        </w:rPr>
      </w:pPr>
      <w:r w:rsidRPr="0096533C">
        <w:rPr>
          <w:sz w:val="24"/>
          <w:szCs w:val="24"/>
        </w:rPr>
        <w:t>Further, the trend is also supported by the scatter plot, in which the line</w:t>
      </w:r>
      <w:r w:rsidRPr="0096533C">
        <w:rPr>
          <w:sz w:val="24"/>
          <w:szCs w:val="24"/>
        </w:rPr>
        <w:t xml:space="preserve"> </w:t>
      </w:r>
      <w:r w:rsidRPr="0096533C">
        <w:rPr>
          <w:sz w:val="24"/>
          <w:szCs w:val="24"/>
        </w:rPr>
        <w:t>slopes downwards as greater carbon emissions correspond to worse ESG scores. </w:t>
      </w:r>
    </w:p>
    <w:p w14:paraId="5DF453D3" w14:textId="7BE7862F" w:rsidR="00761C63" w:rsidRPr="0096533C" w:rsidRDefault="00761C63" w:rsidP="0096533C">
      <w:pPr>
        <w:pStyle w:val="ListParagraph"/>
        <w:numPr>
          <w:ilvl w:val="0"/>
          <w:numId w:val="5"/>
        </w:numPr>
        <w:rPr>
          <w:sz w:val="24"/>
          <w:szCs w:val="24"/>
        </w:rPr>
      </w:pPr>
      <w:r w:rsidRPr="0096533C">
        <w:rPr>
          <w:sz w:val="24"/>
          <w:szCs w:val="24"/>
        </w:rPr>
        <w:t>The correlation factor between Board Independence and ESG Score, however, is very </w:t>
      </w:r>
      <w:r w:rsidRPr="0096533C">
        <w:rPr>
          <w:sz w:val="24"/>
          <w:szCs w:val="24"/>
        </w:rPr>
        <w:t>weak</w:t>
      </w:r>
      <w:r w:rsidRPr="0096533C">
        <w:rPr>
          <w:sz w:val="24"/>
          <w:szCs w:val="24"/>
        </w:rPr>
        <w:t> and negative (r=−0.158), which means that it is not a good predictor of overall ESG performance in this data set.</w:t>
      </w:r>
    </w:p>
    <w:p w14:paraId="4A291FE5" w14:textId="77777777" w:rsidR="00761C63" w:rsidRPr="0096533C" w:rsidRDefault="00761C63" w:rsidP="0096533C">
      <w:pPr>
        <w:rPr>
          <w:sz w:val="24"/>
          <w:szCs w:val="24"/>
        </w:rPr>
      </w:pPr>
      <w:r w:rsidRPr="00761C63">
        <w:rPr>
          <w:sz w:val="24"/>
          <w:szCs w:val="24"/>
        </w:rPr>
        <w:br/>
      </w:r>
      <w:r w:rsidRPr="00761C63">
        <w:rPr>
          <w:b/>
          <w:bCs/>
          <w:sz w:val="24"/>
          <w:szCs w:val="24"/>
        </w:rPr>
        <w:t>Strategic Recommendations:</w:t>
      </w:r>
      <w:r w:rsidRPr="00761C63">
        <w:rPr>
          <w:sz w:val="24"/>
          <w:szCs w:val="24"/>
        </w:rPr>
        <w:br/>
        <w:t>According to these results, the following are suggested enhancements for ESG performance:</w:t>
      </w:r>
    </w:p>
    <w:p w14:paraId="4C27CA2A" w14:textId="77777777" w:rsidR="0096533C" w:rsidRPr="0096533C" w:rsidRDefault="00761C63" w:rsidP="0096533C">
      <w:pPr>
        <w:pStyle w:val="ListParagraph"/>
        <w:numPr>
          <w:ilvl w:val="0"/>
          <w:numId w:val="6"/>
        </w:numPr>
        <w:rPr>
          <w:sz w:val="24"/>
          <w:szCs w:val="24"/>
        </w:rPr>
      </w:pPr>
      <w:r w:rsidRPr="0096533C">
        <w:rPr>
          <w:sz w:val="24"/>
          <w:szCs w:val="24"/>
        </w:rPr>
        <w:t>Minimize Environmental Footprint: Low ESG-rated companies, particularly Company C, must act quickly to minimize their carbon footprint and water consumption. These involve investing in green technology, maximizing efficiency levels in operations, and tapping renewable resources to offset environmental footprints.</w:t>
      </w:r>
    </w:p>
    <w:p w14:paraId="40FC77B1" w14:textId="77777777" w:rsidR="0096533C" w:rsidRPr="0096533C" w:rsidRDefault="00761C63" w:rsidP="0096533C">
      <w:pPr>
        <w:pStyle w:val="ListParagraph"/>
        <w:numPr>
          <w:ilvl w:val="0"/>
          <w:numId w:val="6"/>
        </w:numPr>
        <w:rPr>
          <w:sz w:val="24"/>
          <w:szCs w:val="24"/>
        </w:rPr>
      </w:pPr>
      <w:r w:rsidRPr="0096533C">
        <w:rPr>
          <w:sz w:val="24"/>
          <w:szCs w:val="24"/>
        </w:rPr>
        <w:t> Build Social Capital: Organizations must benchmark against top-performing organizations such as Company D </w:t>
      </w:r>
      <w:r w:rsidRPr="0096533C">
        <w:rPr>
          <w:sz w:val="24"/>
          <w:szCs w:val="24"/>
        </w:rPr>
        <w:t>to</w:t>
      </w:r>
      <w:r w:rsidRPr="0096533C">
        <w:rPr>
          <w:sz w:val="24"/>
          <w:szCs w:val="24"/>
        </w:rPr>
        <w:t xml:space="preserve"> build their social pillars. This involves building more heterogeneous workforces through equitable hiring </w:t>
      </w:r>
      <w:r w:rsidRPr="0096533C">
        <w:rPr>
          <w:sz w:val="24"/>
          <w:szCs w:val="24"/>
        </w:rPr>
        <w:lastRenderedPageBreak/>
        <w:t>practices and more active community engagement through committed initiatives and strategic investments.</w:t>
      </w:r>
    </w:p>
    <w:p w14:paraId="5E71DC0F" w14:textId="053B742A" w:rsidR="0096533C" w:rsidRPr="0096533C" w:rsidRDefault="0096533C" w:rsidP="0096533C">
      <w:pPr>
        <w:pStyle w:val="ListParagraph"/>
        <w:numPr>
          <w:ilvl w:val="0"/>
          <w:numId w:val="6"/>
        </w:numPr>
        <w:rPr>
          <w:sz w:val="24"/>
          <w:szCs w:val="24"/>
        </w:rPr>
      </w:pPr>
      <w:r w:rsidRPr="0096533C">
        <w:rPr>
          <w:sz w:val="24"/>
          <w:szCs w:val="24"/>
        </w:rPr>
        <w:t>Maintain Robust</w:t>
      </w:r>
      <w:r w:rsidR="00761C63" w:rsidRPr="0096533C">
        <w:rPr>
          <w:sz w:val="24"/>
          <w:szCs w:val="24"/>
        </w:rPr>
        <w:t> Governance: Although Board</w:t>
      </w:r>
      <w:r w:rsidRPr="0096533C">
        <w:rPr>
          <w:sz w:val="24"/>
          <w:szCs w:val="24"/>
        </w:rPr>
        <w:t xml:space="preserve"> </w:t>
      </w:r>
      <w:r w:rsidR="00761C63" w:rsidRPr="0096533C">
        <w:rPr>
          <w:sz w:val="24"/>
          <w:szCs w:val="24"/>
        </w:rPr>
        <w:t>Independence was not highly associated with aggregate ESG score in this particular dataset, </w:t>
      </w:r>
      <w:r w:rsidRPr="0096533C">
        <w:rPr>
          <w:sz w:val="24"/>
          <w:szCs w:val="24"/>
        </w:rPr>
        <w:t>strong</w:t>
      </w:r>
      <w:r w:rsidR="00761C63" w:rsidRPr="0096533C">
        <w:rPr>
          <w:sz w:val="24"/>
          <w:szCs w:val="24"/>
        </w:rPr>
        <w:t> governance is still the basis for long-term viability and risk management. Effective and transparent governance frameworks must be assured.</w:t>
      </w:r>
    </w:p>
    <w:p w14:paraId="3B64D438" w14:textId="629C7624" w:rsidR="00976A9F" w:rsidRDefault="00761C63" w:rsidP="0096533C">
      <w:pPr>
        <w:rPr>
          <w:sz w:val="24"/>
          <w:szCs w:val="24"/>
        </w:rPr>
      </w:pPr>
      <w:r w:rsidRPr="00761C63">
        <w:rPr>
          <w:sz w:val="24"/>
          <w:szCs w:val="24"/>
        </w:rPr>
        <w:br/>
        <w:t>Through coordinated efforts in these </w:t>
      </w:r>
      <w:r w:rsidR="0096533C" w:rsidRPr="0096533C">
        <w:rPr>
          <w:sz w:val="24"/>
          <w:szCs w:val="24"/>
        </w:rPr>
        <w:t>areas</w:t>
      </w:r>
      <w:r w:rsidRPr="00761C63">
        <w:rPr>
          <w:sz w:val="24"/>
          <w:szCs w:val="24"/>
        </w:rPr>
        <w:t>, companies can not only improve their ESG scores but also their reputation, their appeal to responsible investors,</w:t>
      </w:r>
      <w:r w:rsidR="0096533C" w:rsidRPr="0096533C">
        <w:rPr>
          <w:sz w:val="24"/>
          <w:szCs w:val="24"/>
        </w:rPr>
        <w:t xml:space="preserve"> </w:t>
      </w:r>
      <w:r w:rsidRPr="00761C63">
        <w:rPr>
          <w:sz w:val="24"/>
          <w:szCs w:val="24"/>
        </w:rPr>
        <w:t>and their more sustainable and resilient business.</w:t>
      </w:r>
    </w:p>
    <w:p w14:paraId="2281F7F2" w14:textId="77777777" w:rsidR="0096533C" w:rsidRDefault="0096533C" w:rsidP="0096533C">
      <w:pPr>
        <w:rPr>
          <w:sz w:val="24"/>
          <w:szCs w:val="24"/>
        </w:rPr>
      </w:pPr>
    </w:p>
    <w:p w14:paraId="19A9E1D1" w14:textId="62E28B62" w:rsidR="0096533C" w:rsidRDefault="0096533C" w:rsidP="0096533C">
      <w:pPr>
        <w:rPr>
          <w:sz w:val="24"/>
          <w:szCs w:val="24"/>
        </w:rPr>
      </w:pPr>
      <w:r>
        <w:rPr>
          <w:sz w:val="24"/>
          <w:szCs w:val="24"/>
        </w:rPr>
        <w:t>Report by:</w:t>
      </w:r>
    </w:p>
    <w:p w14:paraId="2462C3AE" w14:textId="79A6F280" w:rsidR="0096533C" w:rsidRDefault="0096533C" w:rsidP="0096533C">
      <w:pPr>
        <w:rPr>
          <w:sz w:val="24"/>
          <w:szCs w:val="24"/>
        </w:rPr>
      </w:pPr>
      <w:r>
        <w:rPr>
          <w:sz w:val="24"/>
          <w:szCs w:val="24"/>
        </w:rPr>
        <w:t>Avani Shaji Krishna</w:t>
      </w:r>
    </w:p>
    <w:p w14:paraId="0C768514" w14:textId="25BFEE35" w:rsidR="0096533C" w:rsidRPr="0096533C" w:rsidRDefault="0096533C" w:rsidP="0096533C">
      <w:pPr>
        <w:rPr>
          <w:sz w:val="24"/>
          <w:szCs w:val="24"/>
        </w:rPr>
      </w:pPr>
      <w:r>
        <w:rPr>
          <w:sz w:val="24"/>
          <w:szCs w:val="24"/>
        </w:rPr>
        <w:t>Data Analysis Intern</w:t>
      </w:r>
    </w:p>
    <w:sectPr w:rsidR="0096533C" w:rsidRPr="00965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B4753"/>
    <w:multiLevelType w:val="hybridMultilevel"/>
    <w:tmpl w:val="FC142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DC3D6A"/>
    <w:multiLevelType w:val="hybridMultilevel"/>
    <w:tmpl w:val="89701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A94AC5"/>
    <w:multiLevelType w:val="hybridMultilevel"/>
    <w:tmpl w:val="418CF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452DD8"/>
    <w:multiLevelType w:val="hybridMultilevel"/>
    <w:tmpl w:val="E6A02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935979"/>
    <w:multiLevelType w:val="hybridMultilevel"/>
    <w:tmpl w:val="954C23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0C2CA3"/>
    <w:multiLevelType w:val="hybridMultilevel"/>
    <w:tmpl w:val="260E3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139676">
    <w:abstractNumId w:val="3"/>
  </w:num>
  <w:num w:numId="2" w16cid:durableId="402264767">
    <w:abstractNumId w:val="5"/>
  </w:num>
  <w:num w:numId="3" w16cid:durableId="278142995">
    <w:abstractNumId w:val="1"/>
  </w:num>
  <w:num w:numId="4" w16cid:durableId="401877142">
    <w:abstractNumId w:val="2"/>
  </w:num>
  <w:num w:numId="5" w16cid:durableId="1294408561">
    <w:abstractNumId w:val="0"/>
  </w:num>
  <w:num w:numId="6" w16cid:durableId="17998325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C63"/>
    <w:rsid w:val="00632D11"/>
    <w:rsid w:val="00641656"/>
    <w:rsid w:val="00761C63"/>
    <w:rsid w:val="007B6162"/>
    <w:rsid w:val="009145BB"/>
    <w:rsid w:val="0096533C"/>
    <w:rsid w:val="00976A9F"/>
    <w:rsid w:val="00B73C07"/>
    <w:rsid w:val="00D41A41"/>
    <w:rsid w:val="00E66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196BDD"/>
  <w15:chartTrackingRefBased/>
  <w15:docId w15:val="{4ABDA367-D60C-4387-AD59-A1EC5D1C5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C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1C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1C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1C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1C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1C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C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C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C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C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1C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1C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1C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1C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1C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C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C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C63"/>
    <w:rPr>
      <w:rFonts w:eastAsiaTheme="majorEastAsia" w:cstheme="majorBidi"/>
      <w:color w:val="272727" w:themeColor="text1" w:themeTint="D8"/>
    </w:rPr>
  </w:style>
  <w:style w:type="paragraph" w:styleId="Title">
    <w:name w:val="Title"/>
    <w:basedOn w:val="Normal"/>
    <w:next w:val="Normal"/>
    <w:link w:val="TitleChar"/>
    <w:uiPriority w:val="10"/>
    <w:qFormat/>
    <w:rsid w:val="00761C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C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C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C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C63"/>
    <w:pPr>
      <w:spacing w:before="160"/>
      <w:jc w:val="center"/>
    </w:pPr>
    <w:rPr>
      <w:i/>
      <w:iCs/>
      <w:color w:val="404040" w:themeColor="text1" w:themeTint="BF"/>
    </w:rPr>
  </w:style>
  <w:style w:type="character" w:customStyle="1" w:styleId="QuoteChar">
    <w:name w:val="Quote Char"/>
    <w:basedOn w:val="DefaultParagraphFont"/>
    <w:link w:val="Quote"/>
    <w:uiPriority w:val="29"/>
    <w:rsid w:val="00761C63"/>
    <w:rPr>
      <w:i/>
      <w:iCs/>
      <w:color w:val="404040" w:themeColor="text1" w:themeTint="BF"/>
    </w:rPr>
  </w:style>
  <w:style w:type="paragraph" w:styleId="ListParagraph">
    <w:name w:val="List Paragraph"/>
    <w:basedOn w:val="Normal"/>
    <w:uiPriority w:val="34"/>
    <w:qFormat/>
    <w:rsid w:val="00761C63"/>
    <w:pPr>
      <w:ind w:left="720"/>
      <w:contextualSpacing/>
    </w:pPr>
  </w:style>
  <w:style w:type="character" w:styleId="IntenseEmphasis">
    <w:name w:val="Intense Emphasis"/>
    <w:basedOn w:val="DefaultParagraphFont"/>
    <w:uiPriority w:val="21"/>
    <w:qFormat/>
    <w:rsid w:val="00761C63"/>
    <w:rPr>
      <w:i/>
      <w:iCs/>
      <w:color w:val="2F5496" w:themeColor="accent1" w:themeShade="BF"/>
    </w:rPr>
  </w:style>
  <w:style w:type="paragraph" w:styleId="IntenseQuote">
    <w:name w:val="Intense Quote"/>
    <w:basedOn w:val="Normal"/>
    <w:next w:val="Normal"/>
    <w:link w:val="IntenseQuoteChar"/>
    <w:uiPriority w:val="30"/>
    <w:qFormat/>
    <w:rsid w:val="00761C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1C63"/>
    <w:rPr>
      <w:i/>
      <w:iCs/>
      <w:color w:val="2F5496" w:themeColor="accent1" w:themeShade="BF"/>
    </w:rPr>
  </w:style>
  <w:style w:type="character" w:styleId="IntenseReference">
    <w:name w:val="Intense Reference"/>
    <w:basedOn w:val="DefaultParagraphFont"/>
    <w:uiPriority w:val="32"/>
    <w:qFormat/>
    <w:rsid w:val="00761C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648254">
      <w:bodyDiv w:val="1"/>
      <w:marLeft w:val="0"/>
      <w:marRight w:val="0"/>
      <w:marTop w:val="0"/>
      <w:marBottom w:val="0"/>
      <w:divBdr>
        <w:top w:val="none" w:sz="0" w:space="0" w:color="auto"/>
        <w:left w:val="none" w:sz="0" w:space="0" w:color="auto"/>
        <w:bottom w:val="none" w:sz="0" w:space="0" w:color="auto"/>
        <w:right w:val="none" w:sz="0" w:space="0" w:color="auto"/>
      </w:divBdr>
      <w:divsChild>
        <w:div w:id="1013993010">
          <w:marLeft w:val="0"/>
          <w:marRight w:val="0"/>
          <w:marTop w:val="0"/>
          <w:marBottom w:val="0"/>
          <w:divBdr>
            <w:top w:val="none" w:sz="0" w:space="0" w:color="auto"/>
            <w:left w:val="none" w:sz="0" w:space="0" w:color="auto"/>
            <w:bottom w:val="none" w:sz="0" w:space="0" w:color="auto"/>
            <w:right w:val="none" w:sz="0" w:space="0" w:color="auto"/>
          </w:divBdr>
        </w:div>
        <w:div w:id="1832599528">
          <w:marLeft w:val="0"/>
          <w:marRight w:val="0"/>
          <w:marTop w:val="0"/>
          <w:marBottom w:val="0"/>
          <w:divBdr>
            <w:top w:val="none" w:sz="0" w:space="0" w:color="auto"/>
            <w:left w:val="none" w:sz="0" w:space="0" w:color="auto"/>
            <w:bottom w:val="none" w:sz="0" w:space="0" w:color="auto"/>
            <w:right w:val="none" w:sz="0" w:space="0" w:color="auto"/>
          </w:divBdr>
        </w:div>
        <w:div w:id="1071001882">
          <w:marLeft w:val="0"/>
          <w:marRight w:val="0"/>
          <w:marTop w:val="0"/>
          <w:marBottom w:val="0"/>
          <w:divBdr>
            <w:top w:val="none" w:sz="0" w:space="0" w:color="auto"/>
            <w:left w:val="none" w:sz="0" w:space="0" w:color="auto"/>
            <w:bottom w:val="none" w:sz="0" w:space="0" w:color="auto"/>
            <w:right w:val="none" w:sz="0" w:space="0" w:color="auto"/>
          </w:divBdr>
        </w:div>
      </w:divsChild>
    </w:div>
    <w:div w:id="1440250262">
      <w:bodyDiv w:val="1"/>
      <w:marLeft w:val="0"/>
      <w:marRight w:val="0"/>
      <w:marTop w:val="0"/>
      <w:marBottom w:val="0"/>
      <w:divBdr>
        <w:top w:val="none" w:sz="0" w:space="0" w:color="auto"/>
        <w:left w:val="none" w:sz="0" w:space="0" w:color="auto"/>
        <w:bottom w:val="none" w:sz="0" w:space="0" w:color="auto"/>
        <w:right w:val="none" w:sz="0" w:space="0" w:color="auto"/>
      </w:divBdr>
      <w:divsChild>
        <w:div w:id="450590354">
          <w:marLeft w:val="0"/>
          <w:marRight w:val="0"/>
          <w:marTop w:val="0"/>
          <w:marBottom w:val="0"/>
          <w:divBdr>
            <w:top w:val="none" w:sz="0" w:space="0" w:color="auto"/>
            <w:left w:val="none" w:sz="0" w:space="0" w:color="auto"/>
            <w:bottom w:val="none" w:sz="0" w:space="0" w:color="auto"/>
            <w:right w:val="none" w:sz="0" w:space="0" w:color="auto"/>
          </w:divBdr>
        </w:div>
        <w:div w:id="1484661265">
          <w:marLeft w:val="0"/>
          <w:marRight w:val="0"/>
          <w:marTop w:val="0"/>
          <w:marBottom w:val="0"/>
          <w:divBdr>
            <w:top w:val="none" w:sz="0" w:space="0" w:color="auto"/>
            <w:left w:val="none" w:sz="0" w:space="0" w:color="auto"/>
            <w:bottom w:val="none" w:sz="0" w:space="0" w:color="auto"/>
            <w:right w:val="none" w:sz="0" w:space="0" w:color="auto"/>
          </w:divBdr>
        </w:div>
        <w:div w:id="2093626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434</Words>
  <Characters>2531</Characters>
  <Application>Microsoft Office Word</Application>
  <DocSecurity>0</DocSecurity>
  <Lines>56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Avani Krishna</dc:creator>
  <cp:keywords/>
  <dc:description/>
  <cp:lastModifiedBy>Avani Krishna</cp:lastModifiedBy>
  <cp:revision>2</cp:revision>
  <dcterms:created xsi:type="dcterms:W3CDTF">2025-07-20T10:47:00Z</dcterms:created>
  <dcterms:modified xsi:type="dcterms:W3CDTF">2025-07-20T11:01:00Z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3ed0e853-c26e-4210-8d0c-afdc2c940cf0</vt:lpwstr>
  </property>
</Properties>
</file>