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AI-Powered MPLADS Anomaly, Fraud &amp; Inefficiency Detection Platform</w:t>
      </w:r>
    </w:p>
    <w:p>
      <w:pPr>
        <w:spacing w:after="60"/>
      </w:pPr>
      <w:r>
        <w:rPr>
          <w:color w:val="555555"/>
          <w:sz w:val="24"/>
          <w:szCs w:val="24"/>
        </w:rPr>
        <w:t xml:space="preserve">Technical Solution Document — SIH 2026, Problem Statement 26102</w:t>
      </w:r>
    </w:p>
    <w:p>
      <w:pPr>
        <w:spacing w:after="400"/>
      </w:pPr>
      <w:r>
        <w:rPr>
          <w:i/>
          <w:iCs/>
          <w:color w:val="777777"/>
          <w:sz w:val="20"/>
          <w:szCs w:val="20"/>
        </w:rPr>
        <w:t xml:space="preserve">Organization: MoSPI | Department: Data Informatics &amp; Innovation Division (DIID) | Category: Software | Theme: Smart Automation</w:t>
      </w:r>
    </w:p>
    <w:p>
      <w:pPr>
        <w:pStyle w:val="Heading1"/>
        <w:spacing w:after="160" w:before="320"/>
      </w:pPr>
      <w:r>
        <w:t xml:space="preserve">1. Executive Summary</w:t>
      </w:r>
    </w:p>
    <w:p>
      <w:pPr>
        <w:spacing w:after="160"/>
      </w:pPr>
      <w:r>
        <w:t xml:space="preserve">The proposed system is a layered detection platform that turns raw MPLADS operational data — allocation, recommendation, sanction, completion, expenditure and calamity-consent records — into prioritized, explainable risk signals for auditors, District Authorities, State Nodal Departments, MPs, and the Ministry. It combines four detection mechanisms rather than relying on a single model:</w:t>
      </w:r>
    </w:p>
    <w:p>
      <w:pPr>
        <w:pStyle w:val="ListParagraph"/>
        <w:numPr>
          <w:ilvl w:val="0"/>
          <w:numId w:val="2"/>
        </w:numPr>
        <w:spacing w:after="60"/>
      </w:pPr>
      <w:r>
        <w:t xml:space="preserve">Hard rule checks — deterministic violations of explicit MPLADS rules (1-year completion window, disallowed categories, allocation ceilings, SC/ST quotas).</w:t>
      </w:r>
    </w:p>
    <w:p>
      <w:pPr>
        <w:pStyle w:val="ListParagraph"/>
        <w:numPr>
          <w:ilvl w:val="0"/>
          <w:numId w:val="2"/>
        </w:numPr>
        <w:spacing w:after="60"/>
      </w:pPr>
      <w:r>
        <w:t xml:space="preserve">Statistical anomaly detection — unsupervised outlier scoring (Isolation Forest) on cost, timeline and vendor-concentration features.</w:t>
      </w:r>
    </w:p>
    <w:p>
      <w:pPr>
        <w:pStyle w:val="ListParagraph"/>
        <w:numPr>
          <w:ilvl w:val="0"/>
          <w:numId w:val="2"/>
        </w:numPr>
        <w:spacing w:after="60"/>
      </w:pPr>
      <w:r>
        <w:t xml:space="preserve">Supervised risk scoring — an XGBoost model trained on rule-flag and anomaly-score patterns, calibrated with SHAP explanations so every flag has a human-readable reason.</w:t>
      </w:r>
    </w:p>
    <w:p>
      <w:pPr>
        <w:pStyle w:val="ListParagraph"/>
        <w:numPr>
          <w:ilvl w:val="0"/>
          <w:numId w:val="2"/>
        </w:numPr>
        <w:spacing w:after="60"/>
      </w:pPr>
      <w:r>
        <w:t xml:space="preserve">Similarity detection — text similarity for duplicate/near-duplicate works and perceptual image hashing for reused completion photos.</w:t>
      </w:r>
    </w:p>
    <w:p>
      <w:pPr>
        <w:spacing w:after="160"/>
      </w:pPr>
      <w:r>
        <w:t xml:space="preserve">All four feed a single composite Risk Score (0–100) per work, surfaced through role-based dashboards, with an auditor feedback loop that improves the model over time.</w:t>
      </w:r>
    </w:p>
    <w:p>
      <w:pPr>
        <w:jc w:val="center"/>
      </w:pPr>
      <w:r>
        <w:drawing>
          <wp:inline xmlns:a="http://schemas.openxmlformats.org/drawingml/2006/main" xmlns:pic="http://schemas.openxmlformats.org/drawingml/2006/picture">
            <wp:extent cx="5760720" cy="2905476"/>
            <wp:docPr id="1" name="Picture 1"/>
            <wp:cNvGraphicFramePr>
              <a:graphicFrameLocks noChangeAspect="1"/>
            </wp:cNvGraphicFramePr>
            <a:graphic>
              <a:graphicData uri="http://schemas.openxmlformats.org/drawingml/2006/picture">
                <pic:pic>
                  <pic:nvPicPr>
                    <pic:cNvPr id="0" name="d1_exec_overview.png"/>
                    <pic:cNvPicPr/>
                  </pic:nvPicPr>
                  <pic:blipFill>
                    <a:blip r:embed="rId8"/>
                    <a:stretch>
                      <a:fillRect/>
                    </a:stretch>
                  </pic:blipFill>
                  <pic:spPr>
                    <a:xfrm>
                      <a:off x="0" y="0"/>
                      <a:ext cx="5760720" cy="2905476"/>
                    </a:xfrm>
                    <a:prstGeom prst="rect"/>
                  </pic:spPr>
                </pic:pic>
              </a:graphicData>
            </a:graphic>
          </wp:inline>
        </w:drawing>
      </w:r>
    </w:p>
    <w:p>
      <w:pPr>
        <w:jc w:val="center"/>
      </w:pPr>
      <w:r>
        <w:rPr>
          <w:i/>
          <w:color w:val="555555"/>
          <w:sz w:val="18"/>
        </w:rPr>
        <w:t>Figure 1: How the four detection mechanisms combine into one composite risk score.</w:t>
      </w:r>
    </w:p>
    <w:p>
      <w:pPr>
        <w:pStyle w:val="Heading1"/>
        <w:spacing w:after="160" w:before="320"/>
      </w:pPr>
      <w:r>
        <w:t xml:space="preserve">2. Problem Understanding</w:t>
      </w:r>
    </w:p>
    <w:p>
      <w:pPr>
        <w:spacing w:after="160"/>
      </w:pPr>
      <w:r>
        <w:t xml:space="preserve">PS 26102 asks for an AI/ML platform to detect anomalies, fraud and inefficiencies across MPLADS fund utilization and work execution. Based on the real portal data now available, the concrete problem categories this solution targets are: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4600"/>
      </w:tblGrid>
      <w:tr>
        <w:trPr>
          <w:tblHeader/>
        </w:trPr>
        <w:tc>
          <w:tcPr>
            <w:tcW w:type="dxa" w:w="700"/>
            <w:shd w:fill="D9D9D9" w:val="clear"/>
            <w:tcMar>
              <w:top w:type="dxa" w:w="80"/>
              <w:left w:type="dxa" w:w="100"/>
              <w:bottom w:type="dxa" w:w="80"/>
              <w:right w:type="dxa" w:w="100"/>
            </w:tcMar>
          </w:tcPr>
          <w:p>
            <w:r>
              <w:rPr>
                <w:b/>
                <w:bCs/>
                <w:sz w:val="20"/>
                <w:szCs w:val="20"/>
              </w:rPr>
              <w:t xml:space="preserve">#</w:t>
            </w:r>
          </w:p>
        </w:tc>
        <w:tc>
          <w:tcPr>
            <w:tcW w:type="dxa" w:w="4600"/>
            <w:shd w:fill="D9D9D9" w:val="clear"/>
            <w:tcMar>
              <w:top w:type="dxa" w:w="80"/>
              <w:left w:type="dxa" w:w="100"/>
              <w:bottom w:type="dxa" w:w="80"/>
              <w:right w:type="dxa" w:w="100"/>
            </w:tcMar>
          </w:tcPr>
          <w:p>
            <w:r>
              <w:rPr>
                <w:b/>
                <w:bCs/>
                <w:sz w:val="20"/>
                <w:szCs w:val="20"/>
              </w:rPr>
              <w:t xml:space="preserve">Problem</w:t>
            </w:r>
          </w:p>
        </w:tc>
        <w:tc>
          <w:tcPr>
            <w:tcW w:type="dxa" w:w="4600"/>
            <w:shd w:fill="D9D9D9" w:val="clear"/>
            <w:tcMar>
              <w:top w:type="dxa" w:w="80"/>
              <w:left w:type="dxa" w:w="100"/>
              <w:bottom w:type="dxa" w:w="80"/>
              <w:right w:type="dxa" w:w="100"/>
            </w:tcMar>
          </w:tcPr>
          <w:p>
            <w:r>
              <w:rPr>
                <w:b/>
                <w:bCs/>
                <w:sz w:val="20"/>
                <w:szCs w:val="20"/>
              </w:rPr>
              <w:t xml:space="preserve">Detection approach used</w:t>
            </w:r>
          </w:p>
        </w:tc>
      </w:tr>
      <w:tr>
        <w:tc>
          <w:tcPr>
            <w:tcW w:type="dxa" w:w="700"/>
            <w:tcMar>
              <w:top w:type="dxa" w:w="80"/>
              <w:left w:type="dxa" w:w="100"/>
              <w:bottom w:type="dxa" w:w="80"/>
              <w:right w:type="dxa" w:w="100"/>
            </w:tcMar>
          </w:tcPr>
          <w:p>
            <w:r>
              <w:rPr>
                <w:b w:val="false"/>
                <w:bCs w:val="false"/>
                <w:sz w:val="19"/>
                <w:szCs w:val="19"/>
              </w:rPr>
              <w:t xml:space="preserve">1</w:t>
            </w:r>
          </w:p>
        </w:tc>
        <w:tc>
          <w:tcPr>
            <w:tcW w:type="dxa" w:w="4600"/>
            <w:tcMar>
              <w:top w:type="dxa" w:w="80"/>
              <w:left w:type="dxa" w:w="100"/>
              <w:bottom w:type="dxa" w:w="80"/>
              <w:right w:type="dxa" w:w="100"/>
            </w:tcMar>
          </w:tcPr>
          <w:p>
            <w:r>
              <w:rPr>
                <w:b w:val="false"/>
                <w:bCs w:val="false"/>
                <w:sz w:val="19"/>
                <w:szCs w:val="19"/>
              </w:rPr>
              <w:t xml:space="preserve">Fake or duplicate works</w:t>
            </w:r>
          </w:p>
        </w:tc>
        <w:tc>
          <w:tcPr>
            <w:tcW w:type="dxa" w:w="4600"/>
            <w:tcMar>
              <w:top w:type="dxa" w:w="80"/>
              <w:left w:type="dxa" w:w="100"/>
              <w:bottom w:type="dxa" w:w="80"/>
              <w:right w:type="dxa" w:w="100"/>
            </w:tcMar>
          </w:tcPr>
          <w:p>
            <w:r>
              <w:rPr>
                <w:b w:val="false"/>
                <w:bCs w:val="false"/>
                <w:sz w:val="19"/>
                <w:szCs w:val="19"/>
              </w:rPr>
              <w:t xml:space="preserve">Work-ID exact match + text similarity on Work Description</w:t>
            </w:r>
          </w:p>
        </w:tc>
      </w:tr>
      <w:tr>
        <w:tc>
          <w:tcPr>
            <w:tcW w:type="dxa" w:w="700"/>
            <w:tcMar>
              <w:top w:type="dxa" w:w="80"/>
              <w:left w:type="dxa" w:w="100"/>
              <w:bottom w:type="dxa" w:w="80"/>
              <w:right w:type="dxa" w:w="100"/>
            </w:tcMar>
          </w:tcPr>
          <w:p>
            <w:r>
              <w:rPr>
                <w:b w:val="false"/>
                <w:bCs w:val="false"/>
                <w:sz w:val="19"/>
                <w:szCs w:val="19"/>
              </w:rPr>
              <w:t xml:space="preserve">2</w:t>
            </w:r>
          </w:p>
        </w:tc>
        <w:tc>
          <w:tcPr>
            <w:tcW w:type="dxa" w:w="4600"/>
            <w:tcMar>
              <w:top w:type="dxa" w:w="80"/>
              <w:left w:type="dxa" w:w="100"/>
              <w:bottom w:type="dxa" w:w="80"/>
              <w:right w:type="dxa" w:w="100"/>
            </w:tcMar>
          </w:tcPr>
          <w:p>
            <w:r>
              <w:rPr>
                <w:b w:val="false"/>
                <w:bCs w:val="false"/>
                <w:sz w:val="19"/>
                <w:szCs w:val="19"/>
              </w:rPr>
              <w:t xml:space="preserve">Cost overruns</w:t>
            </w:r>
          </w:p>
        </w:tc>
        <w:tc>
          <w:tcPr>
            <w:tcW w:type="dxa" w:w="4600"/>
            <w:tcMar>
              <w:top w:type="dxa" w:w="80"/>
              <w:left w:type="dxa" w:w="100"/>
              <w:bottom w:type="dxa" w:w="80"/>
              <w:right w:type="dxa" w:w="100"/>
            </w:tcMar>
          </w:tcPr>
          <w:p>
            <w:r>
              <w:rPr>
                <w:b w:val="false"/>
                <w:bCs w:val="false"/>
                <w:sz w:val="19"/>
                <w:szCs w:val="19"/>
              </w:rPr>
              <w:t xml:space="preserve">Sanctioned-vs-Disbursed ratio + category-wise Isolation Forest outlier score</w:t>
            </w:r>
          </w:p>
        </w:tc>
      </w:tr>
      <w:tr>
        <w:tc>
          <w:tcPr>
            <w:tcW w:type="dxa" w:w="700"/>
            <w:tcMar>
              <w:top w:type="dxa" w:w="80"/>
              <w:left w:type="dxa" w:w="100"/>
              <w:bottom w:type="dxa" w:w="80"/>
              <w:right w:type="dxa" w:w="100"/>
            </w:tcMar>
          </w:tcPr>
          <w:p>
            <w:r>
              <w:rPr>
                <w:b w:val="false"/>
                <w:bCs w:val="false"/>
                <w:sz w:val="19"/>
                <w:szCs w:val="19"/>
              </w:rPr>
              <w:t xml:space="preserve">3</w:t>
            </w:r>
          </w:p>
        </w:tc>
        <w:tc>
          <w:tcPr>
            <w:tcW w:type="dxa" w:w="4600"/>
            <w:tcMar>
              <w:top w:type="dxa" w:w="80"/>
              <w:left w:type="dxa" w:w="100"/>
              <w:bottom w:type="dxa" w:w="80"/>
              <w:right w:type="dxa" w:w="100"/>
            </w:tcMar>
          </w:tcPr>
          <w:p>
            <w:r>
              <w:rPr>
                <w:b w:val="false"/>
                <w:bCs w:val="false"/>
                <w:sz w:val="19"/>
                <w:szCs w:val="19"/>
              </w:rPr>
              <w:t xml:space="preserve">Stalled / delayed projects</w:t>
            </w:r>
          </w:p>
        </w:tc>
        <w:tc>
          <w:tcPr>
            <w:tcW w:type="dxa" w:w="4600"/>
            <w:tcMar>
              <w:top w:type="dxa" w:w="80"/>
              <w:left w:type="dxa" w:w="100"/>
              <w:bottom w:type="dxa" w:w="80"/>
              <w:right w:type="dxa" w:w="100"/>
            </w:tcMar>
          </w:tcPr>
          <w:p>
            <w:r>
              <w:rPr>
                <w:b w:val="false"/>
                <w:bCs w:val="false"/>
                <w:sz w:val="19"/>
                <w:szCs w:val="19"/>
              </w:rPr>
              <w:t xml:space="preserve">Work Status stage duration vs. the official 1-year sanction-to-completion rule</w:t>
            </w:r>
          </w:p>
        </w:tc>
      </w:tr>
      <w:tr>
        <w:tc>
          <w:tcPr>
            <w:tcW w:type="dxa" w:w="700"/>
            <w:tcMar>
              <w:top w:type="dxa" w:w="80"/>
              <w:left w:type="dxa" w:w="100"/>
              <w:bottom w:type="dxa" w:w="80"/>
              <w:right w:type="dxa" w:w="100"/>
            </w:tcMar>
          </w:tcPr>
          <w:p>
            <w:r>
              <w:rPr>
                <w:b w:val="false"/>
                <w:bCs w:val="false"/>
                <w:sz w:val="19"/>
                <w:szCs w:val="19"/>
              </w:rPr>
              <w:t xml:space="preserve">4</w:t>
            </w:r>
          </w:p>
        </w:tc>
        <w:tc>
          <w:tcPr>
            <w:tcW w:type="dxa" w:w="4600"/>
            <w:tcMar>
              <w:top w:type="dxa" w:w="80"/>
              <w:left w:type="dxa" w:w="100"/>
              <w:bottom w:type="dxa" w:w="80"/>
              <w:right w:type="dxa" w:w="100"/>
            </w:tcMar>
          </w:tcPr>
          <w:p>
            <w:r>
              <w:rPr>
                <w:b w:val="false"/>
                <w:bCs w:val="false"/>
                <w:sz w:val="19"/>
                <w:szCs w:val="19"/>
              </w:rPr>
              <w:t xml:space="preserve">Fund misuse (category drift)</w:t>
            </w:r>
          </w:p>
        </w:tc>
        <w:tc>
          <w:tcPr>
            <w:tcW w:type="dxa" w:w="4600"/>
            <w:tcMar>
              <w:top w:type="dxa" w:w="80"/>
              <w:left w:type="dxa" w:w="100"/>
              <w:bottom w:type="dxa" w:w="80"/>
              <w:right w:type="dxa" w:w="100"/>
            </w:tcMar>
          </w:tcPr>
          <w:p>
            <w:r>
              <w:rPr>
                <w:b w:val="false"/>
                <w:bCs w:val="false"/>
                <w:sz w:val="19"/>
                <w:szCs w:val="19"/>
              </w:rPr>
              <w:t xml:space="preserve">Category/description comparison between sanction stage and completion stage</w:t>
            </w:r>
          </w:p>
        </w:tc>
      </w:tr>
      <w:tr>
        <w:tc>
          <w:tcPr>
            <w:tcW w:type="dxa" w:w="700"/>
            <w:tcMar>
              <w:top w:type="dxa" w:w="80"/>
              <w:left w:type="dxa" w:w="100"/>
              <w:bottom w:type="dxa" w:w="80"/>
              <w:right w:type="dxa" w:w="100"/>
            </w:tcMar>
          </w:tcPr>
          <w:p>
            <w:r>
              <w:rPr>
                <w:b w:val="false"/>
                <w:bCs w:val="false"/>
                <w:sz w:val="19"/>
                <w:szCs w:val="19"/>
              </w:rPr>
              <w:t xml:space="preserve">5</w:t>
            </w:r>
          </w:p>
        </w:tc>
        <w:tc>
          <w:tcPr>
            <w:tcW w:type="dxa" w:w="4600"/>
            <w:tcMar>
              <w:top w:type="dxa" w:w="80"/>
              <w:left w:type="dxa" w:w="100"/>
              <w:bottom w:type="dxa" w:w="80"/>
              <w:right w:type="dxa" w:w="100"/>
            </w:tcMar>
          </w:tcPr>
          <w:p>
            <w:r>
              <w:rPr>
                <w:b w:val="false"/>
                <w:bCs w:val="false"/>
                <w:sz w:val="19"/>
                <w:szCs w:val="19"/>
              </w:rPr>
              <w:t xml:space="preserve">Weird approval / vendor patterns</w:t>
            </w:r>
          </w:p>
        </w:tc>
        <w:tc>
          <w:tcPr>
            <w:tcW w:type="dxa" w:w="4600"/>
            <w:tcMar>
              <w:top w:type="dxa" w:w="80"/>
              <w:left w:type="dxa" w:w="100"/>
              <w:bottom w:type="dxa" w:w="80"/>
              <w:right w:type="dxa" w:w="100"/>
            </w:tcMar>
          </w:tcPr>
          <w:p>
            <w:r>
              <w:rPr>
                <w:b w:val="false"/>
                <w:bCs w:val="false"/>
                <w:sz w:val="19"/>
                <w:szCs w:val="19"/>
              </w:rPr>
              <w:t xml:space="preserve">Vendor concentration across IDAs/MPs + individual-vs-company heuristic</w:t>
            </w:r>
          </w:p>
        </w:tc>
      </w:tr>
      <w:tr>
        <w:tc>
          <w:tcPr>
            <w:tcW w:type="dxa" w:w="700"/>
            <w:tcMar>
              <w:top w:type="dxa" w:w="80"/>
              <w:left w:type="dxa" w:w="100"/>
              <w:bottom w:type="dxa" w:w="80"/>
              <w:right w:type="dxa" w:w="100"/>
            </w:tcMar>
          </w:tcPr>
          <w:p>
            <w:r>
              <w:rPr>
                <w:b w:val="false"/>
                <w:bCs w:val="false"/>
                <w:sz w:val="19"/>
                <w:szCs w:val="19"/>
              </w:rPr>
              <w:t xml:space="preserve">6</w:t>
            </w:r>
          </w:p>
        </w:tc>
        <w:tc>
          <w:tcPr>
            <w:tcW w:type="dxa" w:w="4600"/>
            <w:tcMar>
              <w:top w:type="dxa" w:w="80"/>
              <w:left w:type="dxa" w:w="100"/>
              <w:bottom w:type="dxa" w:w="80"/>
              <w:right w:type="dxa" w:w="100"/>
            </w:tcMar>
          </w:tcPr>
          <w:p>
            <w:r>
              <w:rPr>
                <w:b w:val="false"/>
                <w:bCs w:val="false"/>
                <w:sz w:val="19"/>
                <w:szCs w:val="19"/>
              </w:rPr>
              <w:t xml:space="preserve">Image / geo-tag verification</w:t>
            </w:r>
          </w:p>
        </w:tc>
        <w:tc>
          <w:tcPr>
            <w:tcW w:type="dxa" w:w="4600"/>
            <w:tcMar>
              <w:top w:type="dxa" w:w="80"/>
              <w:left w:type="dxa" w:w="100"/>
              <w:bottom w:type="dxa" w:w="80"/>
              <w:right w:type="dxa" w:w="100"/>
            </w:tcMar>
          </w:tcPr>
          <w:p>
            <w:r>
              <w:rPr>
                <w:b w:val="false"/>
                <w:bCs w:val="false"/>
                <w:sz w:val="19"/>
                <w:szCs w:val="19"/>
              </w:rPr>
              <w:t xml:space="preserve">Perceptual hash duplicate-image detection; CV plausibility check (stretch goal)</w:t>
            </w:r>
          </w:p>
        </w:tc>
      </w:tr>
      <w:tr>
        <w:tc>
          <w:tcPr>
            <w:tcW w:type="dxa" w:w="700"/>
            <w:tcMar>
              <w:top w:type="dxa" w:w="80"/>
              <w:left w:type="dxa" w:w="100"/>
              <w:bottom w:type="dxa" w:w="80"/>
              <w:right w:type="dxa" w:w="100"/>
            </w:tcMar>
          </w:tcPr>
          <w:p>
            <w:r>
              <w:rPr>
                <w:b w:val="false"/>
                <w:bCs w:val="false"/>
                <w:sz w:val="19"/>
                <w:szCs w:val="19"/>
              </w:rPr>
              <w:t xml:space="preserve">7</w:t>
            </w:r>
          </w:p>
        </w:tc>
        <w:tc>
          <w:tcPr>
            <w:tcW w:type="dxa" w:w="4600"/>
            <w:tcMar>
              <w:top w:type="dxa" w:w="80"/>
              <w:left w:type="dxa" w:w="100"/>
              <w:bottom w:type="dxa" w:w="80"/>
              <w:right w:type="dxa" w:w="100"/>
            </w:tcMar>
          </w:tcPr>
          <w:p>
            <w:r>
              <w:rPr>
                <w:b w:val="false"/>
                <w:bCs w:val="false"/>
                <w:sz w:val="19"/>
                <w:szCs w:val="19"/>
              </w:rPr>
              <w:t xml:space="preserve">Disallowed spend (religious sites, trusts, non-durable assets)</w:t>
            </w:r>
          </w:p>
        </w:tc>
        <w:tc>
          <w:tcPr>
            <w:tcW w:type="dxa" w:w="4600"/>
            <w:tcMar>
              <w:top w:type="dxa" w:w="80"/>
              <w:left w:type="dxa" w:w="100"/>
              <w:bottom w:type="dxa" w:w="80"/>
              <w:right w:type="dxa" w:w="100"/>
            </w:tcMar>
          </w:tcPr>
          <w:p>
            <w:r>
              <w:rPr>
                <w:b w:val="false"/>
                <w:bCs w:val="false"/>
                <w:sz w:val="19"/>
                <w:szCs w:val="19"/>
              </w:rPr>
              <w:t xml:space="preserve">Keyword / classifier rule check on Work Description &amp; Category</w:t>
            </w:r>
          </w:p>
        </w:tc>
      </w:tr>
      <w:tr>
        <w:tc>
          <w:tcPr>
            <w:tcW w:type="dxa" w:w="700"/>
            <w:tcMar>
              <w:top w:type="dxa" w:w="80"/>
              <w:left w:type="dxa" w:w="100"/>
              <w:bottom w:type="dxa" w:w="80"/>
              <w:right w:type="dxa" w:w="100"/>
            </w:tcMar>
          </w:tcPr>
          <w:p>
            <w:r>
              <w:rPr>
                <w:b w:val="false"/>
                <w:bCs w:val="false"/>
                <w:sz w:val="19"/>
                <w:szCs w:val="19"/>
              </w:rPr>
              <w:t xml:space="preserve">8</w:t>
            </w:r>
          </w:p>
        </w:tc>
        <w:tc>
          <w:tcPr>
            <w:tcW w:type="dxa" w:w="4600"/>
            <w:tcMar>
              <w:top w:type="dxa" w:w="80"/>
              <w:left w:type="dxa" w:w="100"/>
              <w:bottom w:type="dxa" w:w="80"/>
              <w:right w:type="dxa" w:w="100"/>
            </w:tcMar>
          </w:tcPr>
          <w:p>
            <w:r>
              <w:rPr>
                <w:b w:val="false"/>
                <w:bCs w:val="false"/>
                <w:sz w:val="19"/>
                <w:szCs w:val="19"/>
              </w:rPr>
              <w:t xml:space="preserve">Equity compliance (SC/ST, differently-abled provisions)</w:t>
            </w:r>
          </w:p>
        </w:tc>
        <w:tc>
          <w:tcPr>
            <w:tcW w:type="dxa" w:w="4600"/>
            <w:tcMar>
              <w:top w:type="dxa" w:w="80"/>
              <w:left w:type="dxa" w:w="100"/>
              <w:bottom w:type="dxa" w:w="80"/>
              <w:right w:type="dxa" w:w="100"/>
            </w:tcMar>
          </w:tcPr>
          <w:p>
            <w:r>
              <w:rPr>
                <w:b w:val="false"/>
                <w:bCs w:val="false"/>
                <w:sz w:val="19"/>
                <w:szCs w:val="19"/>
              </w:rPr>
              <w:t xml:space="preserve">Portfolio-level compliance ratio per MP against mandated quotas</w:t>
            </w:r>
          </w:p>
        </w:tc>
      </w:tr>
    </w:tbl>
    <w:p>
      <w:pPr>
        <w:pStyle w:val="Heading1"/>
        <w:spacing w:after="160" w:before="320"/>
      </w:pPr>
      <w:r>
        <w:t xml:space="preserve">3. Data Assets</w:t>
      </w:r>
    </w:p>
    <w:p>
      <w:pPr>
        <w:spacing w:after="160"/>
      </w:pPr>
      <w:r>
        <w:t xml:space="preserve">Six linked tables were exported from the eSAKSHI/MPLADS dashboard. Together they cover the full lifecycle of a work — recommendation, sanction, completion and expenditure — plus MP-level allocation and calamity consent.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600"/>
        <w:gridCol w:w="900"/>
        <w:gridCol w:w="1800"/>
        <w:gridCol w:w="3600"/>
      </w:tblGrid>
      <w:tr>
        <w:trPr>
          <w:tblHeader/>
        </w:trPr>
        <w:tc>
          <w:tcPr>
            <w:tcW w:type="dxa" w:w="3600"/>
            <w:shd w:fill="D9D9D9" w:val="clear"/>
            <w:tcMar>
              <w:top w:type="dxa" w:w="80"/>
              <w:left w:type="dxa" w:w="100"/>
              <w:bottom w:type="dxa" w:w="80"/>
              <w:right w:type="dxa" w:w="100"/>
            </w:tcMar>
          </w:tcPr>
          <w:p>
            <w:r>
              <w:rPr>
                <w:b/>
                <w:bCs/>
                <w:sz w:val="20"/>
                <w:szCs w:val="20"/>
              </w:rPr>
              <w:t xml:space="preserve">Table</w:t>
            </w:r>
          </w:p>
        </w:tc>
        <w:tc>
          <w:tcPr>
            <w:tcW w:type="dxa" w:w="900"/>
            <w:shd w:fill="D9D9D9" w:val="clear"/>
            <w:tcMar>
              <w:top w:type="dxa" w:w="80"/>
              <w:left w:type="dxa" w:w="100"/>
              <w:bottom w:type="dxa" w:w="80"/>
              <w:right w:type="dxa" w:w="100"/>
            </w:tcMar>
          </w:tcPr>
          <w:p>
            <w:r>
              <w:rPr>
                <w:b/>
                <w:bCs/>
                <w:sz w:val="20"/>
                <w:szCs w:val="20"/>
              </w:rPr>
              <w:t xml:space="preserve">Rows</w:t>
            </w:r>
          </w:p>
        </w:tc>
        <w:tc>
          <w:tcPr>
            <w:tcW w:type="dxa" w:w="1800"/>
            <w:shd w:fill="D9D9D9" w:val="clear"/>
            <w:tcMar>
              <w:top w:type="dxa" w:w="80"/>
              <w:left w:type="dxa" w:w="100"/>
              <w:bottom w:type="dxa" w:w="80"/>
              <w:right w:type="dxa" w:w="100"/>
            </w:tcMar>
          </w:tcPr>
          <w:p>
            <w:r>
              <w:rPr>
                <w:b/>
                <w:bCs/>
                <w:sz w:val="20"/>
                <w:szCs w:val="20"/>
              </w:rPr>
              <w:t xml:space="preserve">Grain</w:t>
            </w:r>
          </w:p>
        </w:tc>
        <w:tc>
          <w:tcPr>
            <w:tcW w:type="dxa" w:w="3600"/>
            <w:shd w:fill="D9D9D9" w:val="clear"/>
            <w:tcMar>
              <w:top w:type="dxa" w:w="80"/>
              <w:left w:type="dxa" w:w="100"/>
              <w:bottom w:type="dxa" w:w="80"/>
              <w:right w:type="dxa" w:w="100"/>
            </w:tcMar>
          </w:tcPr>
          <w:p>
            <w:r>
              <w:rPr>
                <w:b/>
                <w:bCs/>
                <w:sz w:val="20"/>
                <w:szCs w:val="20"/>
              </w:rPr>
              <w:t xml:space="preserve">Key fields</w:t>
            </w:r>
          </w:p>
        </w:tc>
      </w:tr>
      <w:tr>
        <w:tc>
          <w:tcPr>
            <w:tcW w:type="dxa" w:w="3600"/>
            <w:tcMar>
              <w:top w:type="dxa" w:w="80"/>
              <w:left w:type="dxa" w:w="100"/>
              <w:bottom w:type="dxa" w:w="80"/>
              <w:right w:type="dxa" w:w="100"/>
            </w:tcMar>
          </w:tcPr>
          <w:p>
            <w:r>
              <w:rPr>
                <w:b w:val="false"/>
                <w:bCs w:val="false"/>
                <w:sz w:val="19"/>
                <w:szCs w:val="19"/>
              </w:rPr>
              <w:t xml:space="preserve">Allocated_Limit_for_Honble_MPs</w:t>
            </w:r>
          </w:p>
        </w:tc>
        <w:tc>
          <w:tcPr>
            <w:tcW w:type="dxa" w:w="900"/>
            <w:tcMar>
              <w:top w:type="dxa" w:w="80"/>
              <w:left w:type="dxa" w:w="100"/>
              <w:bottom w:type="dxa" w:w="80"/>
              <w:right w:type="dxa" w:w="100"/>
            </w:tcMar>
          </w:tcPr>
          <w:p>
            <w:r>
              <w:rPr>
                <w:b w:val="false"/>
                <w:bCs w:val="false"/>
                <w:sz w:val="19"/>
                <w:szCs w:val="19"/>
              </w:rPr>
              <w:t xml:space="preserve">544</w:t>
            </w:r>
          </w:p>
        </w:tc>
        <w:tc>
          <w:tcPr>
            <w:tcW w:type="dxa" w:w="1800"/>
            <w:tcMar>
              <w:top w:type="dxa" w:w="80"/>
              <w:left w:type="dxa" w:w="100"/>
              <w:bottom w:type="dxa" w:w="80"/>
              <w:right w:type="dxa" w:w="100"/>
            </w:tcMar>
          </w:tcPr>
          <w:p>
            <w:r>
              <w:rPr>
                <w:b w:val="false"/>
                <w:bCs w:val="false"/>
                <w:sz w:val="19"/>
                <w:szCs w:val="19"/>
              </w:rPr>
              <w:t xml:space="preserve">1 row / MP</w:t>
            </w:r>
          </w:p>
        </w:tc>
        <w:tc>
          <w:tcPr>
            <w:tcW w:type="dxa" w:w="3600"/>
            <w:tcMar>
              <w:top w:type="dxa" w:w="80"/>
              <w:left w:type="dxa" w:w="100"/>
              <w:bottom w:type="dxa" w:w="80"/>
              <w:right w:type="dxa" w:w="100"/>
            </w:tcMar>
          </w:tcPr>
          <w:p>
            <w:r>
              <w:rPr>
                <w:b w:val="false"/>
                <w:bCs w:val="false"/>
                <w:sz w:val="19"/>
                <w:szCs w:val="19"/>
              </w:rPr>
              <w:t xml:space="preserve">State, MP, Constituency, Allocated Amount</w:t>
            </w:r>
          </w:p>
        </w:tc>
      </w:tr>
      <w:tr>
        <w:tc>
          <w:tcPr>
            <w:tcW w:type="dxa" w:w="3600"/>
            <w:tcMar>
              <w:top w:type="dxa" w:w="80"/>
              <w:left w:type="dxa" w:w="100"/>
              <w:bottom w:type="dxa" w:w="80"/>
              <w:right w:type="dxa" w:w="100"/>
            </w:tcMar>
          </w:tcPr>
          <w:p>
            <w:r>
              <w:rPr>
                <w:b w:val="false"/>
                <w:bCs w:val="false"/>
                <w:sz w:val="19"/>
                <w:szCs w:val="19"/>
              </w:rPr>
              <w:t xml:space="preserve">Amount_consented_for_Calamity</w:t>
            </w:r>
          </w:p>
        </w:tc>
        <w:tc>
          <w:tcPr>
            <w:tcW w:type="dxa" w:w="900"/>
            <w:tcMar>
              <w:top w:type="dxa" w:w="80"/>
              <w:left w:type="dxa" w:w="100"/>
              <w:bottom w:type="dxa" w:w="80"/>
              <w:right w:type="dxa" w:w="100"/>
            </w:tcMar>
          </w:tcPr>
          <w:p>
            <w:r>
              <w:rPr>
                <w:b w:val="false"/>
                <w:bCs w:val="false"/>
                <w:sz w:val="19"/>
                <w:szCs w:val="19"/>
              </w:rPr>
              <w:t xml:space="preserve">13</w:t>
            </w:r>
          </w:p>
        </w:tc>
        <w:tc>
          <w:tcPr>
            <w:tcW w:type="dxa" w:w="1800"/>
            <w:tcMar>
              <w:top w:type="dxa" w:w="80"/>
              <w:left w:type="dxa" w:w="100"/>
              <w:bottom w:type="dxa" w:w="80"/>
              <w:right w:type="dxa" w:w="100"/>
            </w:tcMar>
          </w:tcPr>
          <w:p>
            <w:r>
              <w:rPr>
                <w:b w:val="false"/>
                <w:bCs w:val="false"/>
                <w:sz w:val="19"/>
                <w:szCs w:val="19"/>
              </w:rPr>
              <w:t xml:space="preserve">1 row / consent event</w:t>
            </w:r>
          </w:p>
        </w:tc>
        <w:tc>
          <w:tcPr>
            <w:tcW w:type="dxa" w:w="3600"/>
            <w:tcMar>
              <w:top w:type="dxa" w:w="80"/>
              <w:left w:type="dxa" w:w="100"/>
              <w:bottom w:type="dxa" w:w="80"/>
              <w:right w:type="dxa" w:w="100"/>
            </w:tcMar>
          </w:tcPr>
          <w:p>
            <w:r>
              <w:rPr>
                <w:b w:val="false"/>
                <w:bCs w:val="false"/>
                <w:sz w:val="19"/>
                <w:szCs w:val="19"/>
              </w:rPr>
              <w:t xml:space="preserve">Calamity Type/Name, MP, Date, Consent Amount</w:t>
            </w:r>
          </w:p>
        </w:tc>
      </w:tr>
      <w:tr>
        <w:tc>
          <w:tcPr>
            <w:tcW w:type="dxa" w:w="3600"/>
            <w:tcMar>
              <w:top w:type="dxa" w:w="80"/>
              <w:left w:type="dxa" w:w="100"/>
              <w:bottom w:type="dxa" w:w="80"/>
              <w:right w:type="dxa" w:w="100"/>
            </w:tcMar>
          </w:tcPr>
          <w:p>
            <w:r>
              <w:rPr>
                <w:b w:val="false"/>
                <w:bCs w:val="false"/>
                <w:sz w:val="19"/>
                <w:szCs w:val="19"/>
              </w:rPr>
              <w:t xml:space="preserve">Works_Recommended</w:t>
            </w:r>
          </w:p>
        </w:tc>
        <w:tc>
          <w:tcPr>
            <w:tcW w:type="dxa" w:w="900"/>
            <w:tcMar>
              <w:top w:type="dxa" w:w="80"/>
              <w:left w:type="dxa" w:w="100"/>
              <w:bottom w:type="dxa" w:w="80"/>
              <w:right w:type="dxa" w:w="100"/>
            </w:tcMar>
          </w:tcPr>
          <w:p>
            <w:r>
              <w:rPr>
                <w:b w:val="false"/>
                <w:bCs w:val="false"/>
                <w:sz w:val="19"/>
                <w:szCs w:val="19"/>
              </w:rPr>
              <w:t xml:space="preserve">8,001</w:t>
            </w:r>
          </w:p>
        </w:tc>
        <w:tc>
          <w:tcPr>
            <w:tcW w:type="dxa" w:w="1800"/>
            <w:tcMar>
              <w:top w:type="dxa" w:w="80"/>
              <w:left w:type="dxa" w:w="100"/>
              <w:bottom w:type="dxa" w:w="80"/>
              <w:right w:type="dxa" w:w="100"/>
            </w:tcMar>
          </w:tcPr>
          <w:p>
            <w:r>
              <w:rPr>
                <w:b w:val="false"/>
                <w:bCs w:val="false"/>
                <w:sz w:val="19"/>
                <w:szCs w:val="19"/>
              </w:rPr>
              <w:t xml:space="preserve">1 row / recommended work</w:t>
            </w:r>
          </w:p>
        </w:tc>
        <w:tc>
          <w:tcPr>
            <w:tcW w:type="dxa" w:w="3600"/>
            <w:tcMar>
              <w:top w:type="dxa" w:w="80"/>
              <w:left w:type="dxa" w:w="100"/>
              <w:bottom w:type="dxa" w:w="80"/>
              <w:right w:type="dxa" w:w="100"/>
            </w:tcMar>
          </w:tcPr>
          <w:p>
            <w:r>
              <w:rPr>
                <w:b w:val="false"/>
                <w:bCs w:val="false"/>
                <w:sz w:val="19"/>
                <w:szCs w:val="19"/>
              </w:rPr>
              <w:t xml:space="preserve">Work (embeds Work ID), Category, MP, IDA, Recommended Date/Amount, Sanction Date</w:t>
            </w:r>
          </w:p>
        </w:tc>
      </w:tr>
      <w:tr>
        <w:tc>
          <w:tcPr>
            <w:tcW w:type="dxa" w:w="3600"/>
            <w:tcMar>
              <w:top w:type="dxa" w:w="80"/>
              <w:left w:type="dxa" w:w="100"/>
              <w:bottom w:type="dxa" w:w="80"/>
              <w:right w:type="dxa" w:w="100"/>
            </w:tcMar>
          </w:tcPr>
          <w:p>
            <w:r>
              <w:rPr>
                <w:b w:val="false"/>
                <w:bCs w:val="false"/>
                <w:sz w:val="19"/>
                <w:szCs w:val="19"/>
              </w:rPr>
              <w:t xml:space="preserve">Works_Sanctioned</w:t>
            </w:r>
          </w:p>
        </w:tc>
        <w:tc>
          <w:tcPr>
            <w:tcW w:type="dxa" w:w="900"/>
            <w:tcMar>
              <w:top w:type="dxa" w:w="80"/>
              <w:left w:type="dxa" w:w="100"/>
              <w:bottom w:type="dxa" w:w="80"/>
              <w:right w:type="dxa" w:w="100"/>
            </w:tcMar>
          </w:tcPr>
          <w:p>
            <w:r>
              <w:rPr>
                <w:b w:val="false"/>
                <w:bCs w:val="false"/>
                <w:sz w:val="19"/>
                <w:szCs w:val="19"/>
              </w:rPr>
              <w:t xml:space="preserve">9,001</w:t>
            </w:r>
          </w:p>
        </w:tc>
        <w:tc>
          <w:tcPr>
            <w:tcW w:type="dxa" w:w="1800"/>
            <w:tcMar>
              <w:top w:type="dxa" w:w="80"/>
              <w:left w:type="dxa" w:w="100"/>
              <w:bottom w:type="dxa" w:w="80"/>
              <w:right w:type="dxa" w:w="100"/>
            </w:tcMar>
          </w:tcPr>
          <w:p>
            <w:r>
              <w:rPr>
                <w:b w:val="false"/>
                <w:bCs w:val="false"/>
                <w:sz w:val="19"/>
                <w:szCs w:val="19"/>
              </w:rPr>
              <w:t xml:space="preserve">1 row / sanctioned work</w:t>
            </w:r>
          </w:p>
        </w:tc>
        <w:tc>
          <w:tcPr>
            <w:tcW w:type="dxa" w:w="3600"/>
            <w:tcMar>
              <w:top w:type="dxa" w:w="80"/>
              <w:left w:type="dxa" w:w="100"/>
              <w:bottom w:type="dxa" w:w="80"/>
              <w:right w:type="dxa" w:w="100"/>
            </w:tcMar>
          </w:tcPr>
          <w:p>
            <w:r>
              <w:rPr>
                <w:b w:val="false"/>
                <w:bCs w:val="false"/>
                <w:sz w:val="19"/>
                <w:szCs w:val="19"/>
              </w:rPr>
              <w:t xml:space="preserve">Work, Sanction Date/Amount, Work Status (pipeline stage)</w:t>
            </w:r>
          </w:p>
        </w:tc>
      </w:tr>
      <w:tr>
        <w:tc>
          <w:tcPr>
            <w:tcW w:type="dxa" w:w="3600"/>
            <w:tcMar>
              <w:top w:type="dxa" w:w="80"/>
              <w:left w:type="dxa" w:w="100"/>
              <w:bottom w:type="dxa" w:w="80"/>
              <w:right w:type="dxa" w:w="100"/>
            </w:tcMar>
          </w:tcPr>
          <w:p>
            <w:r>
              <w:rPr>
                <w:b w:val="false"/>
                <w:bCs w:val="false"/>
                <w:sz w:val="19"/>
                <w:szCs w:val="19"/>
              </w:rPr>
              <w:t xml:space="preserve">Works_Completed</w:t>
            </w:r>
          </w:p>
        </w:tc>
        <w:tc>
          <w:tcPr>
            <w:tcW w:type="dxa" w:w="900"/>
            <w:tcMar>
              <w:top w:type="dxa" w:w="80"/>
              <w:left w:type="dxa" w:w="100"/>
              <w:bottom w:type="dxa" w:w="80"/>
              <w:right w:type="dxa" w:w="100"/>
            </w:tcMar>
          </w:tcPr>
          <w:p>
            <w:r>
              <w:rPr>
                <w:b w:val="false"/>
                <w:bCs w:val="false"/>
                <w:sz w:val="19"/>
                <w:szCs w:val="19"/>
              </w:rPr>
              <w:t xml:space="preserve">35,200</w:t>
            </w:r>
          </w:p>
        </w:tc>
        <w:tc>
          <w:tcPr>
            <w:tcW w:type="dxa" w:w="1800"/>
            <w:tcMar>
              <w:top w:type="dxa" w:w="80"/>
              <w:left w:type="dxa" w:w="100"/>
              <w:bottom w:type="dxa" w:w="80"/>
              <w:right w:type="dxa" w:w="100"/>
            </w:tcMar>
          </w:tcPr>
          <w:p>
            <w:r>
              <w:rPr>
                <w:b w:val="false"/>
                <w:bCs w:val="false"/>
                <w:sz w:val="19"/>
                <w:szCs w:val="19"/>
              </w:rPr>
              <w:t xml:space="preserve">1 row / completed work</w:t>
            </w:r>
          </w:p>
        </w:tc>
        <w:tc>
          <w:tcPr>
            <w:tcW w:type="dxa" w:w="3600"/>
            <w:tcMar>
              <w:top w:type="dxa" w:w="80"/>
              <w:left w:type="dxa" w:w="100"/>
              <w:bottom w:type="dxa" w:w="80"/>
              <w:right w:type="dxa" w:w="100"/>
            </w:tcMar>
          </w:tcPr>
          <w:p>
            <w:r>
              <w:rPr>
                <w:b w:val="false"/>
                <w:bCs w:val="false"/>
                <w:sz w:val="19"/>
                <w:szCs w:val="19"/>
              </w:rPr>
              <w:t xml:space="preserve">Work, Description, Image, Completion Date, Amount Disbursed</w:t>
            </w:r>
          </w:p>
        </w:tc>
      </w:tr>
      <w:tr>
        <w:tc>
          <w:tcPr>
            <w:tcW w:type="dxa" w:w="3600"/>
            <w:tcMar>
              <w:top w:type="dxa" w:w="80"/>
              <w:left w:type="dxa" w:w="100"/>
              <w:bottom w:type="dxa" w:w="80"/>
              <w:right w:type="dxa" w:w="100"/>
            </w:tcMar>
          </w:tcPr>
          <w:p>
            <w:r>
              <w:rPr>
                <w:b w:val="false"/>
                <w:bCs w:val="false"/>
                <w:sz w:val="19"/>
                <w:szCs w:val="19"/>
              </w:rPr>
              <w:t xml:space="preserve">Expenditure_on_Completed_and_On-going_Works</w:t>
            </w:r>
          </w:p>
        </w:tc>
        <w:tc>
          <w:tcPr>
            <w:tcW w:type="dxa" w:w="900"/>
            <w:tcMar>
              <w:top w:type="dxa" w:w="80"/>
              <w:left w:type="dxa" w:w="100"/>
              <w:bottom w:type="dxa" w:w="80"/>
              <w:right w:type="dxa" w:w="100"/>
            </w:tcMar>
          </w:tcPr>
          <w:p>
            <w:r>
              <w:rPr>
                <w:b w:val="false"/>
                <w:bCs w:val="false"/>
                <w:sz w:val="19"/>
                <w:szCs w:val="19"/>
              </w:rPr>
              <w:t xml:space="preserve">85,120</w:t>
            </w:r>
          </w:p>
        </w:tc>
        <w:tc>
          <w:tcPr>
            <w:tcW w:type="dxa" w:w="1800"/>
            <w:tcMar>
              <w:top w:type="dxa" w:w="80"/>
              <w:left w:type="dxa" w:w="100"/>
              <w:bottom w:type="dxa" w:w="80"/>
              <w:right w:type="dxa" w:w="100"/>
            </w:tcMar>
          </w:tcPr>
          <w:p>
            <w:r>
              <w:rPr>
                <w:b w:val="false"/>
                <w:bCs w:val="false"/>
                <w:sz w:val="19"/>
                <w:szCs w:val="19"/>
              </w:rPr>
              <w:t xml:space="preserve">1 row / payment</w:t>
            </w:r>
          </w:p>
        </w:tc>
        <w:tc>
          <w:tcPr>
            <w:tcW w:type="dxa" w:w="3600"/>
            <w:tcMar>
              <w:top w:type="dxa" w:w="80"/>
              <w:left w:type="dxa" w:w="100"/>
              <w:bottom w:type="dxa" w:w="80"/>
              <w:right w:type="dxa" w:w="100"/>
            </w:tcMar>
          </w:tcPr>
          <w:p>
            <w:r>
              <w:rPr>
                <w:b w:val="false"/>
                <w:bCs w:val="false"/>
                <w:sz w:val="19"/>
                <w:szCs w:val="19"/>
              </w:rPr>
              <w:t xml:space="preserve">Work ID, IDA, Vendor Name, Expenditure Date, Payment Status, Fund Disbursed</w:t>
            </w:r>
          </w:p>
        </w:tc>
      </w:tr>
    </w:tbl>
    <w:p>
      <w:pPr>
        <w:pStyle w:val="Heading2"/>
        <w:spacing w:after="120" w:before="240"/>
      </w:pPr>
      <w:r>
        <w:t xml:space="preserve">3.1 Join key &amp; master lifecycle table</w:t>
      </w:r>
    </w:p>
    <w:p>
      <w:pPr>
        <w:spacing w:after="160"/>
      </w:pPr>
      <w:r>
        <w:t xml:space="preserve">Every work carries an identifier of the form WS/MP&lt;id&gt;/&lt;year&gt;-&lt;year&gt;/&lt;serial&gt; embedded as a prefix inside the “Work” field. Extracting this via regex into a clean work_id column makes all six tables joinable. The pipeline builds one master table, one row per work:</w:t>
      </w:r>
    </w:p>
    <w:p>
      <w:pPr>
        <w:spacing w:after="160"/>
      </w:pPr>
      <w:r>
        <w:rPr>
          <w:i/>
          <w:iCs/>
        </w:rPr>
        <w:t xml:space="preserve">Recommended Amount → Sanction Amount → Σ(Expenditure Fund Disbursed) → Completion Date → Work Status</w:t>
      </w:r>
    </w:p>
    <w:p>
      <w:pPr>
        <w:spacing w:after="160"/>
      </w:pPr>
      <w:r>
        <w:t xml:space="preserve">This master table is what every downstream feature and model operates on.</w:t>
      </w:r>
    </w:p>
    <w:p>
      <w:pPr>
        <w:jc w:val="center"/>
      </w:pPr>
      <w:r>
        <w:drawing>
          <wp:inline xmlns:a="http://schemas.openxmlformats.org/drawingml/2006/main" xmlns:pic="http://schemas.openxmlformats.org/drawingml/2006/picture">
            <wp:extent cx="5486400" cy="3169976"/>
            <wp:docPr id="2" name="Picture 2"/>
            <wp:cNvGraphicFramePr>
              <a:graphicFrameLocks noChangeAspect="1"/>
            </wp:cNvGraphicFramePr>
            <a:graphic>
              <a:graphicData uri="http://schemas.openxmlformats.org/drawingml/2006/picture">
                <pic:pic>
                  <pic:nvPicPr>
                    <pic:cNvPr id="0" name="d2_data_join.png"/>
                    <pic:cNvPicPr/>
                  </pic:nvPicPr>
                  <pic:blipFill>
                    <a:blip r:embed="rId9"/>
                    <a:stretch>
                      <a:fillRect/>
                    </a:stretch>
                  </pic:blipFill>
                  <pic:spPr>
                    <a:xfrm>
                      <a:off x="0" y="0"/>
                      <a:ext cx="5486400" cy="3169976"/>
                    </a:xfrm>
                    <a:prstGeom prst="rect"/>
                  </pic:spPr>
                </pic:pic>
              </a:graphicData>
            </a:graphic>
          </wp:inline>
        </w:drawing>
      </w:r>
    </w:p>
    <w:p>
      <w:pPr>
        <w:jc w:val="center"/>
      </w:pPr>
      <w:r>
        <w:rPr>
          <w:i/>
          <w:color w:val="555555"/>
          <w:sz w:val="18"/>
        </w:rPr>
        <w:t>Figure 2: The six source tables joined via work_id into the master lifecycle table.</w:t>
      </w:r>
    </w:p>
    <w:p>
      <w:pPr>
        <w:pStyle w:val="Heading2"/>
        <w:spacing w:after="120" w:before="240"/>
      </w:pPr>
      <w:r>
        <w:t xml:space="preserve">3.2 Data quality handling</w:t>
      </w:r>
    </w:p>
    <w:p>
      <w:pPr>
        <w:pStyle w:val="ListParagraph"/>
        <w:numPr>
          <w:ilvl w:val="0"/>
          <w:numId w:val="2"/>
        </w:numPr>
        <w:spacing w:after="60"/>
      </w:pPr>
      <w:r>
        <w:t xml:space="preserve">Strip footer/summary rows (e.g. a “Grand Total” row was found sitting inside Works_Sanctioned).</w:t>
      </w:r>
    </w:p>
    <w:p>
      <w:pPr>
        <w:pStyle w:val="ListParagraph"/>
        <w:numPr>
          <w:ilvl w:val="0"/>
          <w:numId w:val="2"/>
        </w:numPr>
        <w:spacing w:after="60"/>
      </w:pPr>
      <w:r>
        <w:t xml:space="preserve">Normalize Indian comma-formatted numbers (“17,35,60,04,099.87”) before casting to numeric.</w:t>
      </w:r>
    </w:p>
    <w:p>
      <w:pPr>
        <w:pStyle w:val="ListParagraph"/>
        <w:numPr>
          <w:ilvl w:val="0"/>
          <w:numId w:val="2"/>
        </w:numPr>
        <w:spacing w:after="60"/>
      </w:pPr>
      <w:r>
        <w:t xml:space="preserve">Treat “Image” values of literal N/A or the non-descriptive placeholder “Images” as missing until actual image files/URLs are confirmed available from the portal.</w:t>
      </w:r>
    </w:p>
    <w:p>
      <w:pPr>
        <w:pStyle w:val="ListParagraph"/>
        <w:numPr>
          <w:ilvl w:val="0"/>
          <w:numId w:val="2"/>
        </w:numPr>
        <w:spacing w:after="60"/>
      </w:pPr>
      <w:r>
        <w:t xml:space="preserve">Handle garbled/mis-encoded regional-language text in Work Description with a language-aware cleaning step rather than dropping those rows.</w:t>
      </w:r>
    </w:p>
    <w:p>
      <w:pPr>
        <w:pStyle w:val="Heading1"/>
        <w:spacing w:after="160" w:before="320"/>
      </w:pPr>
      <w:r>
        <w:t xml:space="preserve">4. System Architecture</w:t>
      </w:r>
    </w:p>
    <w:p>
      <w:pPr>
        <w:spacing w:after="160"/>
      </w:pPr>
      <w:r>
        <w:t xml:space="preserve">The platform is organized into eight layers, designed so each can be built, tested and scaled independently.</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400"/>
        <w:gridCol w:w="5800"/>
        <w:gridCol w:w="1900"/>
      </w:tblGrid>
      <w:tr>
        <w:trPr>
          <w:tblHeader/>
        </w:trPr>
        <w:tc>
          <w:tcPr>
            <w:tcW w:type="dxa" w:w="2400"/>
            <w:shd w:fill="D9D9D9" w:val="clear"/>
            <w:tcMar>
              <w:top w:type="dxa" w:w="80"/>
              <w:left w:type="dxa" w:w="100"/>
              <w:bottom w:type="dxa" w:w="80"/>
              <w:right w:type="dxa" w:w="100"/>
            </w:tcMar>
          </w:tcPr>
          <w:p>
            <w:r>
              <w:rPr>
                <w:b/>
                <w:bCs/>
                <w:sz w:val="20"/>
                <w:szCs w:val="20"/>
              </w:rPr>
              <w:t xml:space="preserve">Layer</w:t>
            </w:r>
          </w:p>
        </w:tc>
        <w:tc>
          <w:tcPr>
            <w:tcW w:type="dxa" w:w="5800"/>
            <w:shd w:fill="D9D9D9" w:val="clear"/>
            <w:tcMar>
              <w:top w:type="dxa" w:w="80"/>
              <w:left w:type="dxa" w:w="100"/>
              <w:bottom w:type="dxa" w:w="80"/>
              <w:right w:type="dxa" w:w="100"/>
            </w:tcMar>
          </w:tcPr>
          <w:p>
            <w:r>
              <w:rPr>
                <w:b/>
                <w:bCs/>
                <w:sz w:val="20"/>
                <w:szCs w:val="20"/>
              </w:rPr>
              <w:t xml:space="preserve">Responsibility</w:t>
            </w:r>
          </w:p>
        </w:tc>
        <w:tc>
          <w:tcPr>
            <w:tcW w:type="dxa" w:w="1900"/>
            <w:shd w:fill="D9D9D9" w:val="clear"/>
            <w:tcMar>
              <w:top w:type="dxa" w:w="80"/>
              <w:left w:type="dxa" w:w="100"/>
              <w:bottom w:type="dxa" w:w="80"/>
              <w:right w:type="dxa" w:w="100"/>
            </w:tcMar>
          </w:tcPr>
          <w:p>
            <w:r>
              <w:rPr>
                <w:b/>
                <w:bCs/>
                <w:sz w:val="20"/>
                <w:szCs w:val="20"/>
              </w:rPr>
              <w:t xml:space="preserve">Key technology</w:t>
            </w:r>
          </w:p>
        </w:tc>
      </w:tr>
      <w:tr>
        <w:tc>
          <w:tcPr>
            <w:tcW w:type="dxa" w:w="2400"/>
            <w:tcMar>
              <w:top w:type="dxa" w:w="80"/>
              <w:left w:type="dxa" w:w="100"/>
              <w:bottom w:type="dxa" w:w="80"/>
              <w:right w:type="dxa" w:w="100"/>
            </w:tcMar>
          </w:tcPr>
          <w:p>
            <w:r>
              <w:rPr>
                <w:b w:val="false"/>
                <w:bCs w:val="false"/>
                <w:sz w:val="19"/>
                <w:szCs w:val="19"/>
              </w:rPr>
              <w:t xml:space="preserve">1. Ingestion</w:t>
            </w:r>
          </w:p>
        </w:tc>
        <w:tc>
          <w:tcPr>
            <w:tcW w:type="dxa" w:w="5800"/>
            <w:tcMar>
              <w:top w:type="dxa" w:w="80"/>
              <w:left w:type="dxa" w:w="100"/>
              <w:bottom w:type="dxa" w:w="80"/>
              <w:right w:type="dxa" w:w="100"/>
            </w:tcMar>
          </w:tcPr>
          <w:p>
            <w:r>
              <w:rPr>
                <w:b w:val="false"/>
                <w:bCs w:val="false"/>
                <w:sz w:val="19"/>
                <w:szCs w:val="19"/>
              </w:rPr>
              <w:t xml:space="preserve">Pull/receive the six source tables (manual export today; scheduled API pull once MoSPI exposes one)</w:t>
            </w:r>
          </w:p>
        </w:tc>
        <w:tc>
          <w:tcPr>
            <w:tcW w:type="dxa" w:w="1900"/>
            <w:tcMar>
              <w:top w:type="dxa" w:w="80"/>
              <w:left w:type="dxa" w:w="100"/>
              <w:bottom w:type="dxa" w:w="80"/>
              <w:right w:type="dxa" w:w="100"/>
            </w:tcMar>
          </w:tcPr>
          <w:p>
            <w:r>
              <w:rPr>
                <w:b w:val="false"/>
                <w:bCs w:val="false"/>
                <w:sz w:val="19"/>
                <w:szCs w:val="19"/>
              </w:rPr>
              <w:t xml:space="preserve">Python, pandas, cron / Airflow</w:t>
            </w:r>
          </w:p>
        </w:tc>
      </w:tr>
      <w:tr>
        <w:tc>
          <w:tcPr>
            <w:tcW w:type="dxa" w:w="2400"/>
            <w:tcMar>
              <w:top w:type="dxa" w:w="80"/>
              <w:left w:type="dxa" w:w="100"/>
              <w:bottom w:type="dxa" w:w="80"/>
              <w:right w:type="dxa" w:w="100"/>
            </w:tcMar>
          </w:tcPr>
          <w:p>
            <w:r>
              <w:rPr>
                <w:b w:val="false"/>
                <w:bCs w:val="false"/>
                <w:sz w:val="19"/>
                <w:szCs w:val="19"/>
              </w:rPr>
              <w:t xml:space="preserve">2. Cleaning &amp; Normalization</w:t>
            </w:r>
          </w:p>
        </w:tc>
        <w:tc>
          <w:tcPr>
            <w:tcW w:type="dxa" w:w="5800"/>
            <w:tcMar>
              <w:top w:type="dxa" w:w="80"/>
              <w:left w:type="dxa" w:w="100"/>
              <w:bottom w:type="dxa" w:w="80"/>
              <w:right w:type="dxa" w:w="100"/>
            </w:tcMar>
          </w:tcPr>
          <w:p>
            <w:r>
              <w:rPr>
                <w:b w:val="false"/>
                <w:bCs w:val="false"/>
                <w:sz w:val="19"/>
                <w:szCs w:val="19"/>
              </w:rPr>
              <w:t xml:space="preserve">Footer removal, numeric/date normalization, text cleanup, work_id extraction</w:t>
            </w:r>
          </w:p>
        </w:tc>
        <w:tc>
          <w:tcPr>
            <w:tcW w:type="dxa" w:w="1900"/>
            <w:tcMar>
              <w:top w:type="dxa" w:w="80"/>
              <w:left w:type="dxa" w:w="100"/>
              <w:bottom w:type="dxa" w:w="80"/>
              <w:right w:type="dxa" w:w="100"/>
            </w:tcMar>
          </w:tcPr>
          <w:p>
            <w:r>
              <w:rPr>
                <w:b w:val="false"/>
                <w:bCs w:val="false"/>
                <w:sz w:val="19"/>
                <w:szCs w:val="19"/>
              </w:rPr>
              <w:t xml:space="preserve">pandas, regex</w:t>
            </w:r>
          </w:p>
        </w:tc>
      </w:tr>
      <w:tr>
        <w:tc>
          <w:tcPr>
            <w:tcW w:type="dxa" w:w="2400"/>
            <w:tcMar>
              <w:top w:type="dxa" w:w="80"/>
              <w:left w:type="dxa" w:w="100"/>
              <w:bottom w:type="dxa" w:w="80"/>
              <w:right w:type="dxa" w:w="100"/>
            </w:tcMar>
          </w:tcPr>
          <w:p>
            <w:r>
              <w:rPr>
                <w:b w:val="false"/>
                <w:bCs w:val="false"/>
                <w:sz w:val="19"/>
                <w:szCs w:val="19"/>
              </w:rPr>
              <w:t xml:space="preserve">3. Entity Resolution</w:t>
            </w:r>
          </w:p>
        </w:tc>
        <w:tc>
          <w:tcPr>
            <w:tcW w:type="dxa" w:w="5800"/>
            <w:tcMar>
              <w:top w:type="dxa" w:w="80"/>
              <w:left w:type="dxa" w:w="100"/>
              <w:bottom w:type="dxa" w:w="80"/>
              <w:right w:type="dxa" w:w="100"/>
            </w:tcMar>
          </w:tcPr>
          <w:p>
            <w:r>
              <w:rPr>
                <w:b w:val="false"/>
                <w:bCs w:val="false"/>
                <w:sz w:val="19"/>
                <w:szCs w:val="19"/>
              </w:rPr>
              <w:t xml:space="preserve">Join all tables into the master work-lifecycle table; resolve MP/IDA/vendor name variants</w:t>
            </w:r>
          </w:p>
        </w:tc>
        <w:tc>
          <w:tcPr>
            <w:tcW w:type="dxa" w:w="1900"/>
            <w:tcMar>
              <w:top w:type="dxa" w:w="80"/>
              <w:left w:type="dxa" w:w="100"/>
              <w:bottom w:type="dxa" w:w="80"/>
              <w:right w:type="dxa" w:w="100"/>
            </w:tcMar>
          </w:tcPr>
          <w:p>
            <w:r>
              <w:rPr>
                <w:b w:val="false"/>
                <w:bCs w:val="false"/>
                <w:sz w:val="19"/>
                <w:szCs w:val="19"/>
              </w:rPr>
              <w:t xml:space="preserve">pandas merge, fuzzy matching (rapidfuzz)</w:t>
            </w:r>
          </w:p>
        </w:tc>
      </w:tr>
      <w:tr>
        <w:tc>
          <w:tcPr>
            <w:tcW w:type="dxa" w:w="2400"/>
            <w:tcMar>
              <w:top w:type="dxa" w:w="80"/>
              <w:left w:type="dxa" w:w="100"/>
              <w:bottom w:type="dxa" w:w="80"/>
              <w:right w:type="dxa" w:w="100"/>
            </w:tcMar>
          </w:tcPr>
          <w:p>
            <w:r>
              <w:rPr>
                <w:b w:val="false"/>
                <w:bCs w:val="false"/>
                <w:sz w:val="19"/>
                <w:szCs w:val="19"/>
              </w:rPr>
              <w:t xml:space="preserve">4. Feature Engineering</w:t>
            </w:r>
          </w:p>
        </w:tc>
        <w:tc>
          <w:tcPr>
            <w:tcW w:type="dxa" w:w="5800"/>
            <w:tcMar>
              <w:top w:type="dxa" w:w="80"/>
              <w:left w:type="dxa" w:w="100"/>
              <w:bottom w:type="dxa" w:w="80"/>
              <w:right w:type="dxa" w:w="100"/>
            </w:tcMar>
          </w:tcPr>
          <w:p>
            <w:r>
              <w:rPr>
                <w:b w:val="false"/>
                <w:bCs w:val="false"/>
                <w:sz w:val="19"/>
                <w:szCs w:val="19"/>
              </w:rPr>
              <w:t xml:space="preserve">Compute ratios, durations, concentration scores, similarity scores (see Section 6)</w:t>
            </w:r>
          </w:p>
        </w:tc>
        <w:tc>
          <w:tcPr>
            <w:tcW w:type="dxa" w:w="1900"/>
            <w:tcMar>
              <w:top w:type="dxa" w:w="80"/>
              <w:left w:type="dxa" w:w="100"/>
              <w:bottom w:type="dxa" w:w="80"/>
              <w:right w:type="dxa" w:w="100"/>
            </w:tcMar>
          </w:tcPr>
          <w:p>
            <w:r>
              <w:rPr>
                <w:b w:val="false"/>
                <w:bCs w:val="false"/>
                <w:sz w:val="19"/>
                <w:szCs w:val="19"/>
              </w:rPr>
              <w:t xml:space="preserve">pandas, numpy, scikit-learn</w:t>
            </w:r>
          </w:p>
        </w:tc>
      </w:tr>
      <w:tr>
        <w:tc>
          <w:tcPr>
            <w:tcW w:type="dxa" w:w="2400"/>
            <w:tcMar>
              <w:top w:type="dxa" w:w="80"/>
              <w:left w:type="dxa" w:w="100"/>
              <w:bottom w:type="dxa" w:w="80"/>
              <w:right w:type="dxa" w:w="100"/>
            </w:tcMar>
          </w:tcPr>
          <w:p>
            <w:r>
              <w:rPr>
                <w:b w:val="false"/>
                <w:bCs w:val="false"/>
                <w:sz w:val="19"/>
                <w:szCs w:val="19"/>
              </w:rPr>
              <w:t xml:space="preserve">5. Detection Engine</w:t>
            </w:r>
          </w:p>
        </w:tc>
        <w:tc>
          <w:tcPr>
            <w:tcW w:type="dxa" w:w="5800"/>
            <w:tcMar>
              <w:top w:type="dxa" w:w="80"/>
              <w:left w:type="dxa" w:w="100"/>
              <w:bottom w:type="dxa" w:w="80"/>
              <w:right w:type="dxa" w:w="100"/>
            </w:tcMar>
          </w:tcPr>
          <w:p>
            <w:r>
              <w:rPr>
                <w:b w:val="false"/>
                <w:bCs w:val="false"/>
                <w:sz w:val="19"/>
                <w:szCs w:val="19"/>
              </w:rPr>
              <w:t xml:space="preserve">Rule engine + Isolation Forest + XGBoost + SHAP + text/image similarity</w:t>
            </w:r>
          </w:p>
        </w:tc>
        <w:tc>
          <w:tcPr>
            <w:tcW w:type="dxa" w:w="1900"/>
            <w:tcMar>
              <w:top w:type="dxa" w:w="80"/>
              <w:left w:type="dxa" w:w="100"/>
              <w:bottom w:type="dxa" w:w="80"/>
              <w:right w:type="dxa" w:w="100"/>
            </w:tcMar>
          </w:tcPr>
          <w:p>
            <w:r>
              <w:rPr>
                <w:b w:val="false"/>
                <w:bCs w:val="false"/>
                <w:sz w:val="19"/>
                <w:szCs w:val="19"/>
              </w:rPr>
              <w:t xml:space="preserve">scikit-learn, XGBoost, SHAP, imagehash</w:t>
            </w:r>
          </w:p>
        </w:tc>
      </w:tr>
      <w:tr>
        <w:tc>
          <w:tcPr>
            <w:tcW w:type="dxa" w:w="2400"/>
            <w:tcMar>
              <w:top w:type="dxa" w:w="80"/>
              <w:left w:type="dxa" w:w="100"/>
              <w:bottom w:type="dxa" w:w="80"/>
              <w:right w:type="dxa" w:w="100"/>
            </w:tcMar>
          </w:tcPr>
          <w:p>
            <w:r>
              <w:rPr>
                <w:b w:val="false"/>
                <w:bCs w:val="false"/>
                <w:sz w:val="19"/>
                <w:szCs w:val="19"/>
              </w:rPr>
              <w:t xml:space="preserve">6. Risk Aggregation</w:t>
            </w:r>
          </w:p>
        </w:tc>
        <w:tc>
          <w:tcPr>
            <w:tcW w:type="dxa" w:w="5800"/>
            <w:tcMar>
              <w:top w:type="dxa" w:w="80"/>
              <w:left w:type="dxa" w:w="100"/>
              <w:bottom w:type="dxa" w:w="80"/>
              <w:right w:type="dxa" w:w="100"/>
            </w:tcMar>
          </w:tcPr>
          <w:p>
            <w:r>
              <w:rPr>
                <w:b w:val="false"/>
                <w:bCs w:val="false"/>
                <w:sz w:val="19"/>
                <w:szCs w:val="19"/>
              </w:rPr>
              <w:t xml:space="preserve">Combine rule flags + model scores into one 0–100 Risk Score per work, with reason codes</w:t>
            </w:r>
          </w:p>
        </w:tc>
        <w:tc>
          <w:tcPr>
            <w:tcW w:type="dxa" w:w="1900"/>
            <w:tcMar>
              <w:top w:type="dxa" w:w="80"/>
              <w:left w:type="dxa" w:w="100"/>
              <w:bottom w:type="dxa" w:w="80"/>
              <w:right w:type="dxa" w:w="100"/>
            </w:tcMar>
          </w:tcPr>
          <w:p>
            <w:r>
              <w:rPr>
                <w:b w:val="false"/>
                <w:bCs w:val="false"/>
                <w:sz w:val="19"/>
                <w:szCs w:val="19"/>
              </w:rPr>
              <w:t xml:space="preserve">Python scoring service</w:t>
            </w:r>
          </w:p>
        </w:tc>
      </w:tr>
      <w:tr>
        <w:tc>
          <w:tcPr>
            <w:tcW w:type="dxa" w:w="2400"/>
            <w:tcMar>
              <w:top w:type="dxa" w:w="80"/>
              <w:left w:type="dxa" w:w="100"/>
              <w:bottom w:type="dxa" w:w="80"/>
              <w:right w:type="dxa" w:w="100"/>
            </w:tcMar>
          </w:tcPr>
          <w:p>
            <w:r>
              <w:rPr>
                <w:b w:val="false"/>
                <w:bCs w:val="false"/>
                <w:sz w:val="19"/>
                <w:szCs w:val="19"/>
              </w:rPr>
              <w:t xml:space="preserve">7. Storage &amp; API</w:t>
            </w:r>
          </w:p>
        </w:tc>
        <w:tc>
          <w:tcPr>
            <w:tcW w:type="dxa" w:w="5800"/>
            <w:tcMar>
              <w:top w:type="dxa" w:w="80"/>
              <w:left w:type="dxa" w:w="100"/>
              <w:bottom w:type="dxa" w:w="80"/>
              <w:right w:type="dxa" w:w="100"/>
            </w:tcMar>
          </w:tcPr>
          <w:p>
            <w:r>
              <w:rPr>
                <w:b w:val="false"/>
                <w:bCs w:val="false"/>
                <w:sz w:val="19"/>
                <w:szCs w:val="19"/>
              </w:rPr>
              <w:t xml:space="preserve">Persist scored works, alerts, case actions; serve REST endpoints</w:t>
            </w:r>
          </w:p>
        </w:tc>
        <w:tc>
          <w:tcPr>
            <w:tcW w:type="dxa" w:w="1900"/>
            <w:tcMar>
              <w:top w:type="dxa" w:w="80"/>
              <w:left w:type="dxa" w:w="100"/>
              <w:bottom w:type="dxa" w:w="80"/>
              <w:right w:type="dxa" w:w="100"/>
            </w:tcMar>
          </w:tcPr>
          <w:p>
            <w:r>
              <w:rPr>
                <w:b w:val="false"/>
                <w:bCs w:val="false"/>
                <w:sz w:val="19"/>
                <w:szCs w:val="19"/>
              </w:rPr>
              <w:t xml:space="preserve">PostgreSQL, SQLAlchemy, FastAPI</w:t>
            </w:r>
          </w:p>
        </w:tc>
      </w:tr>
      <w:tr>
        <w:tc>
          <w:tcPr>
            <w:tcW w:type="dxa" w:w="2400"/>
            <w:tcMar>
              <w:top w:type="dxa" w:w="80"/>
              <w:left w:type="dxa" w:w="100"/>
              <w:bottom w:type="dxa" w:w="80"/>
              <w:right w:type="dxa" w:w="100"/>
            </w:tcMar>
          </w:tcPr>
          <w:p>
            <w:r>
              <w:rPr>
                <w:b w:val="false"/>
                <w:bCs w:val="false"/>
                <w:sz w:val="19"/>
                <w:szCs w:val="19"/>
              </w:rPr>
              <w:t xml:space="preserve">8. Presentation</w:t>
            </w:r>
          </w:p>
        </w:tc>
        <w:tc>
          <w:tcPr>
            <w:tcW w:type="dxa" w:w="5800"/>
            <w:tcMar>
              <w:top w:type="dxa" w:w="80"/>
              <w:left w:type="dxa" w:w="100"/>
              <w:bottom w:type="dxa" w:w="80"/>
              <w:right w:type="dxa" w:w="100"/>
            </w:tcMar>
          </w:tcPr>
          <w:p>
            <w:r>
              <w:rPr>
                <w:b w:val="false"/>
                <w:bCs w:val="false"/>
                <w:sz w:val="19"/>
                <w:szCs w:val="19"/>
              </w:rPr>
              <w:t xml:space="preserve">Role-based dashboards (MP / District / State / Ministry) with drill-down and SHAP explanations</w:t>
            </w:r>
          </w:p>
        </w:tc>
        <w:tc>
          <w:tcPr>
            <w:tcW w:type="dxa" w:w="1900"/>
            <w:tcMar>
              <w:top w:type="dxa" w:w="80"/>
              <w:left w:type="dxa" w:w="100"/>
              <w:bottom w:type="dxa" w:w="80"/>
              <w:right w:type="dxa" w:w="100"/>
            </w:tcMar>
          </w:tcPr>
          <w:p>
            <w:r>
              <w:rPr>
                <w:b w:val="false"/>
                <w:bCs w:val="false"/>
                <w:sz w:val="19"/>
                <w:szCs w:val="19"/>
              </w:rPr>
              <w:t xml:space="preserve">React, Recharts, D3.js</w:t>
            </w:r>
          </w:p>
        </w:tc>
      </w:tr>
    </w:tbl>
    <w:p>
      <w:pPr>
        <w:jc w:val="center"/>
      </w:pPr>
      <w:r>
        <w:drawing>
          <wp:inline xmlns:a="http://schemas.openxmlformats.org/drawingml/2006/main" xmlns:pic="http://schemas.openxmlformats.org/drawingml/2006/picture">
            <wp:extent cx="4206240" cy="4206240"/>
            <wp:docPr id="3" name="Picture 3"/>
            <wp:cNvGraphicFramePr>
              <a:graphicFrameLocks noChangeAspect="1"/>
            </wp:cNvGraphicFramePr>
            <a:graphic>
              <a:graphicData uri="http://schemas.openxmlformats.org/drawingml/2006/picture">
                <pic:pic>
                  <pic:nvPicPr>
                    <pic:cNvPr id="0" name="d3_architecture.png"/>
                    <pic:cNvPicPr/>
                  </pic:nvPicPr>
                  <pic:blipFill>
                    <a:blip r:embed="rId10"/>
                    <a:stretch>
                      <a:fillRect/>
                    </a:stretch>
                  </pic:blipFill>
                  <pic:spPr>
                    <a:xfrm>
                      <a:off x="0" y="0"/>
                      <a:ext cx="4206240" cy="4206240"/>
                    </a:xfrm>
                    <a:prstGeom prst="rect"/>
                  </pic:spPr>
                </pic:pic>
              </a:graphicData>
            </a:graphic>
          </wp:inline>
        </w:drawing>
      </w:r>
    </w:p>
    <w:p>
      <w:pPr>
        <w:jc w:val="center"/>
      </w:pPr>
      <w:r>
        <w:rPr>
          <w:i/>
          <w:color w:val="555555"/>
          <w:sz w:val="18"/>
        </w:rPr>
        <w:t>Figure 3: The eight-layer system architecture, from ingestion to presentation.</w:t>
      </w:r>
    </w:p>
    <w:p>
      <w:pPr>
        <w:pStyle w:val="Heading2"/>
        <w:spacing w:after="120" w:before="240"/>
      </w:pPr>
      <w:r>
        <w:t xml:space="preserve">4.1 High-level data flow</w:t>
      </w:r>
    </w:p>
    <w:p>
      <w:pPr>
        <w:spacing w:after="160"/>
      </w:pPr>
      <w:r>
        <w:rPr>
          <w:i/>
          <w:iCs/>
        </w:rPr>
        <w:t xml:space="preserve">Source Tables  →  Cleaning &amp; Join  →  Feature Engineering  →  Rule Engine (hard flags)  →  Isolation Forest (anomaly score)  →  XGBoost + SMOTE (risk probability)  →  SHAP (explanation)  →  Composite Risk Score  →  PostgreSQL  →  FastAPI  →  React Dashboards  →  Auditor Action (clear / escalate / investigate)  →  feedback stored  →  periodic model retraining.</w:t>
      </w:r>
    </w:p>
    <w:p>
      <w:pPr>
        <w:jc w:val="center"/>
      </w:pPr>
      <w:r>
        <w:drawing>
          <wp:inline xmlns:a="http://schemas.openxmlformats.org/drawingml/2006/main" xmlns:pic="http://schemas.openxmlformats.org/drawingml/2006/picture">
            <wp:extent cx="5760720" cy="3791610"/>
            <wp:docPr id="4" name="Picture 4"/>
            <wp:cNvGraphicFramePr>
              <a:graphicFrameLocks noChangeAspect="1"/>
            </wp:cNvGraphicFramePr>
            <a:graphic>
              <a:graphicData uri="http://schemas.openxmlformats.org/drawingml/2006/picture">
                <pic:pic>
                  <pic:nvPicPr>
                    <pic:cNvPr id="0" name="d4_data_flow.png"/>
                    <pic:cNvPicPr/>
                  </pic:nvPicPr>
                  <pic:blipFill>
                    <a:blip r:embed="rId11"/>
                    <a:stretch>
                      <a:fillRect/>
                    </a:stretch>
                  </pic:blipFill>
                  <pic:spPr>
                    <a:xfrm>
                      <a:off x="0" y="0"/>
                      <a:ext cx="5760720" cy="3791610"/>
                    </a:xfrm>
                    <a:prstGeom prst="rect"/>
                  </pic:spPr>
                </pic:pic>
              </a:graphicData>
            </a:graphic>
          </wp:inline>
        </w:drawing>
      </w:r>
    </w:p>
    <w:p>
      <w:pPr>
        <w:jc w:val="center"/>
      </w:pPr>
      <w:r>
        <w:rPr>
          <w:i/>
          <w:color w:val="555555"/>
          <w:sz w:val="18"/>
        </w:rPr>
        <w:t>Figure 4: The high-level data flow, from source tables to auditor feedback and retraining.</w:t>
      </w:r>
    </w:p>
    <w:p>
      <w:pPr>
        <w:pStyle w:val="Heading1"/>
        <w:spacing w:after="160" w:before="320"/>
      </w:pPr>
      <w:r>
        <w:t xml:space="preserve">5. End-to-End Workflow</w:t>
      </w:r>
    </w:p>
    <w:p>
      <w:pPr>
        <w:pStyle w:val="ListParagraph"/>
        <w:numPr>
          <w:ilvl w:val="0"/>
          <w:numId w:val="3"/>
        </w:numPr>
        <w:spacing w:after="60"/>
      </w:pPr>
      <w:r>
        <w:t xml:space="preserve">Extract the six source tables (batch export today; direct DB/API connection in production).</w:t>
      </w:r>
    </w:p>
    <w:p>
      <w:pPr>
        <w:pStyle w:val="ListParagraph"/>
        <w:numPr>
          <w:ilvl w:val="0"/>
          <w:numId w:val="3"/>
        </w:numPr>
        <w:spacing w:after="60"/>
      </w:pPr>
      <w:r>
        <w:t xml:space="preserve">Clean: drop footer rows, normalize currency/date fields, extract work_id, normalize entity names (MP, IDA, Vendor).</w:t>
      </w:r>
    </w:p>
    <w:p>
      <w:pPr>
        <w:pStyle w:val="ListParagraph"/>
        <w:numPr>
          <w:ilvl w:val="0"/>
          <w:numId w:val="3"/>
        </w:numPr>
        <w:spacing w:after="60"/>
      </w:pPr>
      <w:r>
        <w:t xml:space="preserve">Join into the master lifecycle table (Recommended → Sanctioned → Completed → Expenditure, keyed on work_id).</w:t>
      </w:r>
    </w:p>
    <w:p>
      <w:pPr>
        <w:pStyle w:val="ListParagraph"/>
        <w:numPr>
          <w:ilvl w:val="0"/>
          <w:numId w:val="3"/>
        </w:numPr>
        <w:spacing w:after="60"/>
      </w:pPr>
      <w:r>
        <w:t xml:space="preserve">Compute engineered features (Section 6) at work-level, vendor-level and MP-level granularity.</w:t>
      </w:r>
    </w:p>
    <w:p>
      <w:pPr>
        <w:pStyle w:val="ListParagraph"/>
        <w:numPr>
          <w:ilvl w:val="0"/>
          <w:numId w:val="3"/>
        </w:numPr>
        <w:spacing w:after="60"/>
      </w:pPr>
      <w:r>
        <w:t xml:space="preserve">Apply the deterministic rule engine — any hard violation is auto-flagged regardless of ML score.</w:t>
      </w:r>
    </w:p>
    <w:p>
      <w:pPr>
        <w:pStyle w:val="ListParagraph"/>
        <w:numPr>
          <w:ilvl w:val="0"/>
          <w:numId w:val="3"/>
        </w:numPr>
        <w:spacing w:after="60"/>
      </w:pPr>
      <w:r>
        <w:t xml:space="preserve">Run Isolation Forest on continuous features to produce an unsupervised anomaly score per work.</w:t>
      </w:r>
    </w:p>
    <w:p>
      <w:pPr>
        <w:pStyle w:val="ListParagraph"/>
        <w:numPr>
          <w:ilvl w:val="0"/>
          <w:numId w:val="3"/>
        </w:numPr>
        <w:spacing w:after="60"/>
      </w:pPr>
      <w:r>
        <w:t xml:space="preserve">Run the XGBoost classifier (trained on rule-flag patterns + anomaly scores + validated CAG-report cases) to produce a calibrated risk probability.</w:t>
      </w:r>
    </w:p>
    <w:p>
      <w:pPr>
        <w:pStyle w:val="ListParagraph"/>
        <w:numPr>
          <w:ilvl w:val="0"/>
          <w:numId w:val="3"/>
        </w:numPr>
        <w:spacing w:after="60"/>
      </w:pPr>
      <w:r>
        <w:t xml:space="preserve">Run SHAP on the XGBoost output to generate a human-readable reason string per flagged work.</w:t>
      </w:r>
    </w:p>
    <w:p>
      <w:pPr>
        <w:pStyle w:val="ListParagraph"/>
        <w:numPr>
          <w:ilvl w:val="0"/>
          <w:numId w:val="3"/>
        </w:numPr>
        <w:spacing w:after="60"/>
      </w:pPr>
      <w:r>
        <w:t xml:space="preserve">Combine rule flags + Isolation Forest score + XGBoost probability into one composite Risk Score (Section 8) and store it.</w:t>
      </w:r>
    </w:p>
    <w:p>
      <w:pPr>
        <w:pStyle w:val="ListParagraph"/>
        <w:numPr>
          <w:ilvl w:val="0"/>
          <w:numId w:val="3"/>
        </w:numPr>
        <w:spacing w:after="60"/>
      </w:pPr>
      <w:r>
        <w:t xml:space="preserve">Serve the results via FastAPI to role-based React dashboards; auditors mark cases cleared / escalated / under investigation.</w:t>
      </w:r>
    </w:p>
    <w:p>
      <w:pPr>
        <w:pStyle w:val="ListParagraph"/>
        <w:numPr>
          <w:ilvl w:val="0"/>
          <w:numId w:val="3"/>
        </w:numPr>
        <w:spacing w:after="60"/>
      </w:pPr>
      <w:r>
        <w:t xml:space="preserve">Feed auditor decisions back as labels for the next training cycle (active learning loop).</w:t>
      </w:r>
    </w:p>
    <w:p>
      <w:pPr>
        <w:jc w:val="center"/>
      </w:pPr>
      <w:r>
        <w:drawing>
          <wp:inline xmlns:a="http://schemas.openxmlformats.org/drawingml/2006/main" xmlns:pic="http://schemas.openxmlformats.org/drawingml/2006/picture">
            <wp:extent cx="4572000" cy="6031925"/>
            <wp:docPr id="5" name="Picture 5"/>
            <wp:cNvGraphicFramePr>
              <a:graphicFrameLocks noChangeAspect="1"/>
            </wp:cNvGraphicFramePr>
            <a:graphic>
              <a:graphicData uri="http://schemas.openxmlformats.org/drawingml/2006/picture">
                <pic:pic>
                  <pic:nvPicPr>
                    <pic:cNvPr id="0" name="d5_workflow.png"/>
                    <pic:cNvPicPr/>
                  </pic:nvPicPr>
                  <pic:blipFill>
                    <a:blip r:embed="rId12"/>
                    <a:stretch>
                      <a:fillRect/>
                    </a:stretch>
                  </pic:blipFill>
                  <pic:spPr>
                    <a:xfrm>
                      <a:off x="0" y="0"/>
                      <a:ext cx="4572000" cy="6031925"/>
                    </a:xfrm>
                    <a:prstGeom prst="rect"/>
                  </pic:spPr>
                </pic:pic>
              </a:graphicData>
            </a:graphic>
          </wp:inline>
        </w:drawing>
      </w:r>
    </w:p>
    <w:p>
      <w:pPr>
        <w:jc w:val="center"/>
      </w:pPr>
      <w:r>
        <w:rPr>
          <w:i/>
          <w:color w:val="555555"/>
          <w:sz w:val="18"/>
        </w:rPr>
        <w:t>Figure 5: The end-to-end workflow, steps 1 through 11.</w:t>
      </w:r>
    </w:p>
    <w:p>
      <w:pPr>
        <w:pStyle w:val="Heading1"/>
        <w:spacing w:after="160" w:before="320"/>
      </w:pPr>
      <w:r>
        <w:t xml:space="preserve">6. Feature Engineering</w:t>
      </w:r>
    </w:p>
    <w:p>
      <w:pPr>
        <w:spacing w:after="160"/>
      </w:pPr>
      <w:r>
        <w:t xml:space="preserve">Features are computed at three granularities — per work, per vendor, and per MP — since fraud patterns show up differently at each level.</w:t>
      </w:r>
    </w:p>
    <w:p>
      <w:pPr>
        <w:jc w:val="center"/>
      </w:pPr>
      <w:r>
        <w:drawing>
          <wp:inline xmlns:a="http://schemas.openxmlformats.org/drawingml/2006/main" xmlns:pic="http://schemas.openxmlformats.org/drawingml/2006/picture">
            <wp:extent cx="5760720" cy="3436868"/>
            <wp:docPr id="6" name="Picture 6"/>
            <wp:cNvGraphicFramePr>
              <a:graphicFrameLocks noChangeAspect="1"/>
            </wp:cNvGraphicFramePr>
            <a:graphic>
              <a:graphicData uri="http://schemas.openxmlformats.org/drawingml/2006/picture">
                <pic:pic>
                  <pic:nvPicPr>
                    <pic:cNvPr id="0" name="d6_feature_map.png"/>
                    <pic:cNvPicPr/>
                  </pic:nvPicPr>
                  <pic:blipFill>
                    <a:blip r:embed="rId13"/>
                    <a:stretch>
                      <a:fillRect/>
                    </a:stretch>
                  </pic:blipFill>
                  <pic:spPr>
                    <a:xfrm>
                      <a:off x="0" y="0"/>
                      <a:ext cx="5760720" cy="3436868"/>
                    </a:xfrm>
                    <a:prstGeom prst="rect"/>
                  </pic:spPr>
                </pic:pic>
              </a:graphicData>
            </a:graphic>
          </wp:inline>
        </w:drawing>
      </w:r>
    </w:p>
    <w:p>
      <w:pPr>
        <w:jc w:val="center"/>
      </w:pPr>
      <w:r>
        <w:rPr>
          <w:i/>
          <w:color w:val="555555"/>
          <w:sz w:val="18"/>
        </w:rPr>
        <w:t>Figure 6: Engineered features grouped by granularity — work, vendor, and MP level.</w:t>
      </w:r>
    </w:p>
    <w:p>
      <w:pPr>
        <w:pStyle w:val="Heading2"/>
        <w:spacing w:after="120" w:before="240"/>
      </w:pPr>
      <w:r>
        <w:t xml:space="preserve">6.1 Work-level features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200"/>
        <w:gridCol w:w="5000"/>
        <w:gridCol w:w="1900"/>
      </w:tblGrid>
      <w:tr>
        <w:trPr>
          <w:tblHeader/>
        </w:trPr>
        <w:tc>
          <w:tcPr>
            <w:tcW w:type="dxa" w:w="3200"/>
            <w:shd w:fill="D9D9D9" w:val="clear"/>
            <w:tcMar>
              <w:top w:type="dxa" w:w="80"/>
              <w:left w:type="dxa" w:w="100"/>
              <w:bottom w:type="dxa" w:w="80"/>
              <w:right w:type="dxa" w:w="100"/>
            </w:tcMar>
          </w:tcPr>
          <w:p>
            <w:r>
              <w:rPr>
                <w:b/>
                <w:bCs/>
                <w:sz w:val="20"/>
                <w:szCs w:val="20"/>
              </w:rPr>
              <w:t xml:space="preserve">Feature</w:t>
            </w:r>
          </w:p>
        </w:tc>
        <w:tc>
          <w:tcPr>
            <w:tcW w:type="dxa" w:w="5000"/>
            <w:shd w:fill="D9D9D9" w:val="clear"/>
            <w:tcMar>
              <w:top w:type="dxa" w:w="80"/>
              <w:left w:type="dxa" w:w="100"/>
              <w:bottom w:type="dxa" w:w="80"/>
              <w:right w:type="dxa" w:w="100"/>
            </w:tcMar>
          </w:tcPr>
          <w:p>
            <w:r>
              <w:rPr>
                <w:b/>
                <w:bCs/>
                <w:sz w:val="20"/>
                <w:szCs w:val="20"/>
              </w:rPr>
              <w:t xml:space="preserve">Description</w:t>
            </w:r>
          </w:p>
        </w:tc>
        <w:tc>
          <w:tcPr>
            <w:tcW w:type="dxa" w:w="1900"/>
            <w:shd w:fill="D9D9D9" w:val="clear"/>
            <w:tcMar>
              <w:top w:type="dxa" w:w="80"/>
              <w:left w:type="dxa" w:w="100"/>
              <w:bottom w:type="dxa" w:w="80"/>
              <w:right w:type="dxa" w:w="100"/>
            </w:tcMar>
          </w:tcPr>
          <w:p>
            <w:r>
              <w:rPr>
                <w:b/>
                <w:bCs/>
                <w:sz w:val="20"/>
                <w:szCs w:val="20"/>
              </w:rPr>
              <w:t xml:space="preserve">Detects</w:t>
            </w:r>
          </w:p>
        </w:tc>
      </w:tr>
      <w:tr>
        <w:tc>
          <w:tcPr>
            <w:tcW w:type="dxa" w:w="3200"/>
            <w:tcMar>
              <w:top w:type="dxa" w:w="80"/>
              <w:left w:type="dxa" w:w="100"/>
              <w:bottom w:type="dxa" w:w="80"/>
              <w:right w:type="dxa" w:w="100"/>
            </w:tcMar>
          </w:tcPr>
          <w:p>
            <w:r>
              <w:rPr>
                <w:b w:val="false"/>
                <w:bCs w:val="false"/>
                <w:sz w:val="19"/>
                <w:szCs w:val="19"/>
              </w:rPr>
              <w:t xml:space="preserve">disbursed_vs_sanctioned_ratio</w:t>
            </w:r>
          </w:p>
        </w:tc>
        <w:tc>
          <w:tcPr>
            <w:tcW w:type="dxa" w:w="5000"/>
            <w:tcMar>
              <w:top w:type="dxa" w:w="80"/>
              <w:left w:type="dxa" w:w="100"/>
              <w:bottom w:type="dxa" w:w="80"/>
              <w:right w:type="dxa" w:w="100"/>
            </w:tcMar>
          </w:tcPr>
          <w:p>
            <w:r>
              <w:rPr>
                <w:b w:val="false"/>
                <w:bCs w:val="false"/>
                <w:sz w:val="19"/>
                <w:szCs w:val="19"/>
              </w:rPr>
              <w:t xml:space="preserve">Total expenditure disbursed ÷ sanctioned amount for the work</w:t>
            </w:r>
          </w:p>
        </w:tc>
        <w:tc>
          <w:tcPr>
            <w:tcW w:type="dxa" w:w="1900"/>
            <w:tcMar>
              <w:top w:type="dxa" w:w="80"/>
              <w:left w:type="dxa" w:w="100"/>
              <w:bottom w:type="dxa" w:w="80"/>
              <w:right w:type="dxa" w:w="100"/>
            </w:tcMar>
          </w:tcPr>
          <w:p>
            <w:r>
              <w:rPr>
                <w:b w:val="false"/>
                <w:bCs w:val="false"/>
                <w:sz w:val="19"/>
                <w:szCs w:val="19"/>
              </w:rPr>
              <w:t xml:space="preserve">Cost overrun</w:t>
            </w:r>
          </w:p>
        </w:tc>
      </w:tr>
      <w:tr>
        <w:tc>
          <w:tcPr>
            <w:tcW w:type="dxa" w:w="3200"/>
            <w:tcMar>
              <w:top w:type="dxa" w:w="80"/>
              <w:left w:type="dxa" w:w="100"/>
              <w:bottom w:type="dxa" w:w="80"/>
              <w:right w:type="dxa" w:w="100"/>
            </w:tcMar>
          </w:tcPr>
          <w:p>
            <w:r>
              <w:rPr>
                <w:b w:val="false"/>
                <w:bCs w:val="false"/>
                <w:sz w:val="19"/>
                <w:szCs w:val="19"/>
              </w:rPr>
              <w:t xml:space="preserve">sanction_vs_recommended_diff_pct</w:t>
            </w:r>
          </w:p>
        </w:tc>
        <w:tc>
          <w:tcPr>
            <w:tcW w:type="dxa" w:w="5000"/>
            <w:tcMar>
              <w:top w:type="dxa" w:w="80"/>
              <w:left w:type="dxa" w:w="100"/>
              <w:bottom w:type="dxa" w:w="80"/>
              <w:right w:type="dxa" w:w="100"/>
            </w:tcMar>
          </w:tcPr>
          <w:p>
            <w:r>
              <w:rPr>
                <w:b w:val="false"/>
                <w:bCs w:val="false"/>
                <w:sz w:val="19"/>
                <w:szCs w:val="19"/>
              </w:rPr>
              <w:t xml:space="preserve">% change between MP-recommended amount and district-sanctioned amount</w:t>
            </w:r>
          </w:p>
        </w:tc>
        <w:tc>
          <w:tcPr>
            <w:tcW w:type="dxa" w:w="1900"/>
            <w:tcMar>
              <w:top w:type="dxa" w:w="80"/>
              <w:left w:type="dxa" w:w="100"/>
              <w:bottom w:type="dxa" w:w="80"/>
              <w:right w:type="dxa" w:w="100"/>
            </w:tcMar>
          </w:tcPr>
          <w:p>
            <w:r>
              <w:rPr>
                <w:b w:val="false"/>
                <w:bCs w:val="false"/>
                <w:sz w:val="19"/>
                <w:szCs w:val="19"/>
              </w:rPr>
              <w:t xml:space="preserve">Approval-stage irregularity</w:t>
            </w:r>
          </w:p>
        </w:tc>
      </w:tr>
      <w:tr>
        <w:tc>
          <w:tcPr>
            <w:tcW w:type="dxa" w:w="3200"/>
            <w:tcMar>
              <w:top w:type="dxa" w:w="80"/>
              <w:left w:type="dxa" w:w="100"/>
              <w:bottom w:type="dxa" w:w="80"/>
              <w:right w:type="dxa" w:w="100"/>
            </w:tcMar>
          </w:tcPr>
          <w:p>
            <w:r>
              <w:rPr>
                <w:b w:val="false"/>
                <w:bCs w:val="false"/>
                <w:sz w:val="19"/>
                <w:szCs w:val="19"/>
              </w:rPr>
              <w:t xml:space="preserve">amount_zscore_in_category</w:t>
            </w:r>
          </w:p>
        </w:tc>
        <w:tc>
          <w:tcPr>
            <w:tcW w:type="dxa" w:w="5000"/>
            <w:tcMar>
              <w:top w:type="dxa" w:w="80"/>
              <w:left w:type="dxa" w:w="100"/>
              <w:bottom w:type="dxa" w:w="80"/>
              <w:right w:type="dxa" w:w="100"/>
            </w:tcMar>
          </w:tcPr>
          <w:p>
            <w:r>
              <w:rPr>
                <w:b w:val="false"/>
                <w:bCs w:val="false"/>
                <w:sz w:val="19"/>
                <w:szCs w:val="19"/>
              </w:rPr>
              <w:t xml:space="preserve">Isolation Forest / z-score of Amount Disbursed within the same Work Category nationally</w:t>
            </w:r>
          </w:p>
        </w:tc>
        <w:tc>
          <w:tcPr>
            <w:tcW w:type="dxa" w:w="1900"/>
            <w:tcMar>
              <w:top w:type="dxa" w:w="80"/>
              <w:left w:type="dxa" w:w="100"/>
              <w:bottom w:type="dxa" w:w="80"/>
              <w:right w:type="dxa" w:w="100"/>
            </w:tcMar>
          </w:tcPr>
          <w:p>
            <w:r>
              <w:rPr>
                <w:b w:val="false"/>
                <w:bCs w:val="false"/>
                <w:sz w:val="19"/>
                <w:szCs w:val="19"/>
              </w:rPr>
              <w:t xml:space="preserve">Category-relative cost outliers</w:t>
            </w:r>
          </w:p>
        </w:tc>
      </w:tr>
      <w:tr>
        <w:tc>
          <w:tcPr>
            <w:tcW w:type="dxa" w:w="3200"/>
            <w:tcMar>
              <w:top w:type="dxa" w:w="80"/>
              <w:left w:type="dxa" w:w="100"/>
              <w:bottom w:type="dxa" w:w="80"/>
              <w:right w:type="dxa" w:w="100"/>
            </w:tcMar>
          </w:tcPr>
          <w:p>
            <w:r>
              <w:rPr>
                <w:b w:val="false"/>
                <w:bCs w:val="false"/>
                <w:sz w:val="19"/>
                <w:szCs w:val="19"/>
              </w:rPr>
              <w:t xml:space="preserve">days_sanctioned_to_completion</w:t>
            </w:r>
          </w:p>
        </w:tc>
        <w:tc>
          <w:tcPr>
            <w:tcW w:type="dxa" w:w="5000"/>
            <w:tcMar>
              <w:top w:type="dxa" w:w="80"/>
              <w:left w:type="dxa" w:w="100"/>
              <w:bottom w:type="dxa" w:w="80"/>
              <w:right w:type="dxa" w:w="100"/>
            </w:tcMar>
          </w:tcPr>
          <w:p>
            <w:r>
              <w:rPr>
                <w:b w:val="false"/>
                <w:bCs w:val="false"/>
                <w:sz w:val="19"/>
                <w:szCs w:val="19"/>
              </w:rPr>
              <w:t xml:space="preserve">Days between Sanction Date and Completion Date</w:t>
            </w:r>
          </w:p>
        </w:tc>
        <w:tc>
          <w:tcPr>
            <w:tcW w:type="dxa" w:w="1900"/>
            <w:tcMar>
              <w:top w:type="dxa" w:w="80"/>
              <w:left w:type="dxa" w:w="100"/>
              <w:bottom w:type="dxa" w:w="80"/>
              <w:right w:type="dxa" w:w="100"/>
            </w:tcMar>
          </w:tcPr>
          <w:p>
            <w:r>
              <w:rPr>
                <w:b w:val="false"/>
                <w:bCs w:val="false"/>
                <w:sz w:val="19"/>
                <w:szCs w:val="19"/>
              </w:rPr>
              <w:t xml:space="preserve">Delay / stalled work</w:t>
            </w:r>
          </w:p>
        </w:tc>
      </w:tr>
      <w:tr>
        <w:tc>
          <w:tcPr>
            <w:tcW w:type="dxa" w:w="3200"/>
            <w:tcMar>
              <w:top w:type="dxa" w:w="80"/>
              <w:left w:type="dxa" w:w="100"/>
              <w:bottom w:type="dxa" w:w="80"/>
              <w:right w:type="dxa" w:w="100"/>
            </w:tcMar>
          </w:tcPr>
          <w:p>
            <w:r>
              <w:rPr>
                <w:b w:val="false"/>
                <w:bCs w:val="false"/>
                <w:sz w:val="19"/>
                <w:szCs w:val="19"/>
              </w:rPr>
              <w:t xml:space="preserve">is_overdue_1yr_rule</w:t>
            </w:r>
          </w:p>
        </w:tc>
        <w:tc>
          <w:tcPr>
            <w:tcW w:type="dxa" w:w="5000"/>
            <w:tcMar>
              <w:top w:type="dxa" w:w="80"/>
              <w:left w:type="dxa" w:w="100"/>
              <w:bottom w:type="dxa" w:w="80"/>
              <w:right w:type="dxa" w:w="100"/>
            </w:tcMar>
          </w:tcPr>
          <w:p>
            <w:r>
              <w:rPr>
                <w:b w:val="false"/>
                <w:bCs w:val="false"/>
                <w:sz w:val="19"/>
                <w:szCs w:val="19"/>
              </w:rPr>
              <w:t xml:space="preserve">Boolean: still open 365+ days after sanction</w:t>
            </w:r>
          </w:p>
        </w:tc>
        <w:tc>
          <w:tcPr>
            <w:tcW w:type="dxa" w:w="1900"/>
            <w:tcMar>
              <w:top w:type="dxa" w:w="80"/>
              <w:left w:type="dxa" w:w="100"/>
              <w:bottom w:type="dxa" w:w="80"/>
              <w:right w:type="dxa" w:w="100"/>
            </w:tcMar>
          </w:tcPr>
          <w:p>
            <w:r>
              <w:rPr>
                <w:b w:val="false"/>
                <w:bCs w:val="false"/>
                <w:sz w:val="19"/>
                <w:szCs w:val="19"/>
              </w:rPr>
              <w:t xml:space="preserve">Hard rule violation (stalled)</w:t>
            </w:r>
          </w:p>
        </w:tc>
      </w:tr>
      <w:tr>
        <w:tc>
          <w:tcPr>
            <w:tcW w:type="dxa" w:w="3200"/>
            <w:tcMar>
              <w:top w:type="dxa" w:w="80"/>
              <w:left w:type="dxa" w:w="100"/>
              <w:bottom w:type="dxa" w:w="80"/>
              <w:right w:type="dxa" w:w="100"/>
            </w:tcMar>
          </w:tcPr>
          <w:p>
            <w:r>
              <w:rPr>
                <w:b w:val="false"/>
                <w:bCs w:val="false"/>
                <w:sz w:val="19"/>
                <w:szCs w:val="19"/>
              </w:rPr>
              <w:t xml:space="preserve">work_status_stage_duration</w:t>
            </w:r>
          </w:p>
        </w:tc>
        <w:tc>
          <w:tcPr>
            <w:tcW w:type="dxa" w:w="5000"/>
            <w:tcMar>
              <w:top w:type="dxa" w:w="80"/>
              <w:left w:type="dxa" w:w="100"/>
              <w:bottom w:type="dxa" w:w="80"/>
              <w:right w:type="dxa" w:w="100"/>
            </w:tcMar>
          </w:tcPr>
          <w:p>
            <w:r>
              <w:rPr>
                <w:b w:val="false"/>
                <w:bCs w:val="false"/>
                <w:sz w:val="19"/>
                <w:szCs w:val="19"/>
              </w:rPr>
              <w:t xml:space="preserve">Days spent in current Work Status stage (Vendor ID / Physical Inspection / etc.)</w:t>
            </w:r>
          </w:p>
        </w:tc>
        <w:tc>
          <w:tcPr>
            <w:tcW w:type="dxa" w:w="1900"/>
            <w:tcMar>
              <w:top w:type="dxa" w:w="80"/>
              <w:left w:type="dxa" w:w="100"/>
              <w:bottom w:type="dxa" w:w="80"/>
              <w:right w:type="dxa" w:w="100"/>
            </w:tcMar>
          </w:tcPr>
          <w:p>
            <w:r>
              <w:rPr>
                <w:b w:val="false"/>
                <w:bCs w:val="false"/>
                <w:sz w:val="19"/>
                <w:szCs w:val="19"/>
              </w:rPr>
              <w:t xml:space="preserve">Bottleneck / stalling</w:t>
            </w:r>
          </w:p>
        </w:tc>
      </w:tr>
      <w:tr>
        <w:tc>
          <w:tcPr>
            <w:tcW w:type="dxa" w:w="3200"/>
            <w:tcMar>
              <w:top w:type="dxa" w:w="80"/>
              <w:left w:type="dxa" w:w="100"/>
              <w:bottom w:type="dxa" w:w="80"/>
              <w:right w:type="dxa" w:w="100"/>
            </w:tcMar>
          </w:tcPr>
          <w:p>
            <w:r>
              <w:rPr>
                <w:b w:val="false"/>
                <w:bCs w:val="false"/>
                <w:sz w:val="19"/>
                <w:szCs w:val="19"/>
              </w:rPr>
              <w:t xml:space="preserve">duplicate_work_id_flag</w:t>
            </w:r>
          </w:p>
        </w:tc>
        <w:tc>
          <w:tcPr>
            <w:tcW w:type="dxa" w:w="5000"/>
            <w:tcMar>
              <w:top w:type="dxa" w:w="80"/>
              <w:left w:type="dxa" w:w="100"/>
              <w:bottom w:type="dxa" w:w="80"/>
              <w:right w:type="dxa" w:w="100"/>
            </w:tcMar>
          </w:tcPr>
          <w:p>
            <w:r>
              <w:rPr>
                <w:b w:val="false"/>
                <w:bCs w:val="false"/>
                <w:sz w:val="19"/>
                <w:szCs w:val="19"/>
              </w:rPr>
              <w:t xml:space="preserve">Exact work_id collision across records</w:t>
            </w:r>
          </w:p>
        </w:tc>
        <w:tc>
          <w:tcPr>
            <w:tcW w:type="dxa" w:w="1900"/>
            <w:tcMar>
              <w:top w:type="dxa" w:w="80"/>
              <w:left w:type="dxa" w:w="100"/>
              <w:bottom w:type="dxa" w:w="80"/>
              <w:right w:type="dxa" w:w="100"/>
            </w:tcMar>
          </w:tcPr>
          <w:p>
            <w:r>
              <w:rPr>
                <w:b w:val="false"/>
                <w:bCs w:val="false"/>
                <w:sz w:val="19"/>
                <w:szCs w:val="19"/>
              </w:rPr>
              <w:t xml:space="preserve">Duplicate/fake entry</w:t>
            </w:r>
          </w:p>
        </w:tc>
      </w:tr>
      <w:tr>
        <w:tc>
          <w:tcPr>
            <w:tcW w:type="dxa" w:w="3200"/>
            <w:tcMar>
              <w:top w:type="dxa" w:w="80"/>
              <w:left w:type="dxa" w:w="100"/>
              <w:bottom w:type="dxa" w:w="80"/>
              <w:right w:type="dxa" w:w="100"/>
            </w:tcMar>
          </w:tcPr>
          <w:p>
            <w:r>
              <w:rPr>
                <w:b w:val="false"/>
                <w:bCs w:val="false"/>
                <w:sz w:val="19"/>
                <w:szCs w:val="19"/>
              </w:rPr>
              <w:t xml:space="preserve">desc_similarity_max_score</w:t>
            </w:r>
          </w:p>
        </w:tc>
        <w:tc>
          <w:tcPr>
            <w:tcW w:type="dxa" w:w="5000"/>
            <w:tcMar>
              <w:top w:type="dxa" w:w="80"/>
              <w:left w:type="dxa" w:w="100"/>
              <w:bottom w:type="dxa" w:w="80"/>
              <w:right w:type="dxa" w:w="100"/>
            </w:tcMar>
          </w:tcPr>
          <w:p>
            <w:r>
              <w:rPr>
                <w:b w:val="false"/>
                <w:bCs w:val="false"/>
                <w:sz w:val="19"/>
                <w:szCs w:val="19"/>
              </w:rPr>
              <w:t xml:space="preserve">Highest TF-IDF/cosine similarity of this work's description to any other work nationally</w:t>
            </w:r>
          </w:p>
        </w:tc>
        <w:tc>
          <w:tcPr>
            <w:tcW w:type="dxa" w:w="1900"/>
            <w:tcMar>
              <w:top w:type="dxa" w:w="80"/>
              <w:left w:type="dxa" w:w="100"/>
              <w:bottom w:type="dxa" w:w="80"/>
              <w:right w:type="dxa" w:w="100"/>
            </w:tcMar>
          </w:tcPr>
          <w:p>
            <w:r>
              <w:rPr>
                <w:b w:val="false"/>
                <w:bCs w:val="false"/>
                <w:sz w:val="19"/>
                <w:szCs w:val="19"/>
              </w:rPr>
              <w:t xml:space="preserve">Near-duplicate / fake work</w:t>
            </w:r>
          </w:p>
        </w:tc>
      </w:tr>
      <w:tr>
        <w:tc>
          <w:tcPr>
            <w:tcW w:type="dxa" w:w="3200"/>
            <w:tcMar>
              <w:top w:type="dxa" w:w="80"/>
              <w:left w:type="dxa" w:w="100"/>
              <w:bottom w:type="dxa" w:w="80"/>
              <w:right w:type="dxa" w:w="100"/>
            </w:tcMar>
          </w:tcPr>
          <w:p>
            <w:r>
              <w:rPr>
                <w:b w:val="false"/>
                <w:bCs w:val="false"/>
                <w:sz w:val="19"/>
                <w:szCs w:val="19"/>
              </w:rPr>
              <w:t xml:space="preserve">image_duplicate_flag</w:t>
            </w:r>
          </w:p>
        </w:tc>
        <w:tc>
          <w:tcPr>
            <w:tcW w:type="dxa" w:w="5000"/>
            <w:tcMar>
              <w:top w:type="dxa" w:w="80"/>
              <w:left w:type="dxa" w:w="100"/>
              <w:bottom w:type="dxa" w:w="80"/>
              <w:right w:type="dxa" w:w="100"/>
            </w:tcMar>
          </w:tcPr>
          <w:p>
            <w:r>
              <w:rPr>
                <w:b w:val="false"/>
                <w:bCs w:val="false"/>
                <w:sz w:val="19"/>
                <w:szCs w:val="19"/>
              </w:rPr>
              <w:t xml:space="preserve">Perceptual hash match to another work's completion image</w:t>
            </w:r>
          </w:p>
        </w:tc>
        <w:tc>
          <w:tcPr>
            <w:tcW w:type="dxa" w:w="1900"/>
            <w:tcMar>
              <w:top w:type="dxa" w:w="80"/>
              <w:left w:type="dxa" w:w="100"/>
              <w:bottom w:type="dxa" w:w="80"/>
              <w:right w:type="dxa" w:w="100"/>
            </w:tcMar>
          </w:tcPr>
          <w:p>
            <w:r>
              <w:rPr>
                <w:b w:val="false"/>
                <w:bCs w:val="false"/>
                <w:sz w:val="19"/>
                <w:szCs w:val="19"/>
              </w:rPr>
              <w:t xml:space="preserve">Reused/fake completion photo</w:t>
            </w:r>
          </w:p>
        </w:tc>
      </w:tr>
      <w:tr>
        <w:tc>
          <w:tcPr>
            <w:tcW w:type="dxa" w:w="3200"/>
            <w:tcMar>
              <w:top w:type="dxa" w:w="80"/>
              <w:left w:type="dxa" w:w="100"/>
              <w:bottom w:type="dxa" w:w="80"/>
              <w:right w:type="dxa" w:w="100"/>
            </w:tcMar>
          </w:tcPr>
          <w:p>
            <w:r>
              <w:rPr>
                <w:b w:val="false"/>
                <w:bCs w:val="false"/>
                <w:sz w:val="19"/>
                <w:szCs w:val="19"/>
              </w:rPr>
              <w:t xml:space="preserve">image_missing_flag</w:t>
            </w:r>
          </w:p>
        </w:tc>
        <w:tc>
          <w:tcPr>
            <w:tcW w:type="dxa" w:w="5000"/>
            <w:tcMar>
              <w:top w:type="dxa" w:w="80"/>
              <w:left w:type="dxa" w:w="100"/>
              <w:bottom w:type="dxa" w:w="80"/>
              <w:right w:type="dxa" w:w="100"/>
            </w:tcMar>
          </w:tcPr>
          <w:p>
            <w:r>
              <w:rPr>
                <w:b w:val="false"/>
                <w:bCs w:val="false"/>
                <w:sz w:val="19"/>
                <w:szCs w:val="19"/>
              </w:rPr>
              <w:t xml:space="preserve">No valid completion image on record</w:t>
            </w:r>
          </w:p>
        </w:tc>
        <w:tc>
          <w:tcPr>
            <w:tcW w:type="dxa" w:w="1900"/>
            <w:tcMar>
              <w:top w:type="dxa" w:w="80"/>
              <w:left w:type="dxa" w:w="100"/>
              <w:bottom w:type="dxa" w:w="80"/>
              <w:right w:type="dxa" w:w="100"/>
            </w:tcMar>
          </w:tcPr>
          <w:p>
            <w:r>
              <w:rPr>
                <w:b w:val="false"/>
                <w:bCs w:val="false"/>
                <w:sz w:val="19"/>
                <w:szCs w:val="19"/>
              </w:rPr>
              <w:t xml:space="preserve">Unverifiable completion</w:t>
            </w:r>
          </w:p>
        </w:tc>
      </w:tr>
      <w:tr>
        <w:tc>
          <w:tcPr>
            <w:tcW w:type="dxa" w:w="3200"/>
            <w:tcMar>
              <w:top w:type="dxa" w:w="80"/>
              <w:left w:type="dxa" w:w="100"/>
              <w:bottom w:type="dxa" w:w="80"/>
              <w:right w:type="dxa" w:w="100"/>
            </w:tcMar>
          </w:tcPr>
          <w:p>
            <w:r>
              <w:rPr>
                <w:b w:val="false"/>
                <w:bCs w:val="false"/>
                <w:sz w:val="19"/>
                <w:szCs w:val="19"/>
              </w:rPr>
              <w:t xml:space="preserve">disallowed_category_keyword_flag</w:t>
            </w:r>
          </w:p>
        </w:tc>
        <w:tc>
          <w:tcPr>
            <w:tcW w:type="dxa" w:w="5000"/>
            <w:tcMar>
              <w:top w:type="dxa" w:w="80"/>
              <w:left w:type="dxa" w:w="100"/>
              <w:bottom w:type="dxa" w:w="80"/>
              <w:right w:type="dxa" w:w="100"/>
            </w:tcMar>
          </w:tcPr>
          <w:p>
            <w:r>
              <w:rPr>
                <w:b w:val="false"/>
                <w:bCs w:val="false"/>
                <w:sz w:val="19"/>
                <w:szCs w:val="19"/>
              </w:rPr>
              <w:t xml:space="preserve">Description/category matches religious-site, private-trust or non-durable-asset terms</w:t>
            </w:r>
          </w:p>
        </w:tc>
        <w:tc>
          <w:tcPr>
            <w:tcW w:type="dxa" w:w="1900"/>
            <w:tcMar>
              <w:top w:type="dxa" w:w="80"/>
              <w:left w:type="dxa" w:w="100"/>
              <w:bottom w:type="dxa" w:w="80"/>
              <w:right w:type="dxa" w:w="100"/>
            </w:tcMar>
          </w:tcPr>
          <w:p>
            <w:r>
              <w:rPr>
                <w:b w:val="false"/>
                <w:bCs w:val="false"/>
                <w:sz w:val="19"/>
                <w:szCs w:val="19"/>
              </w:rPr>
              <w:t xml:space="preserve">Rule violation (disallowed spend)</w:t>
            </w:r>
          </w:p>
        </w:tc>
      </w:tr>
    </w:tbl>
    <w:p>
      <w:pPr>
        <w:pStyle w:val="Heading2"/>
        <w:spacing w:after="120" w:before="240"/>
      </w:pPr>
      <w:r>
        <w:t xml:space="preserve">6.2 Vendor-level features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00"/>
        <w:gridCol w:w="5500"/>
        <w:gridCol w:w="2000"/>
      </w:tblGrid>
      <w:tr>
        <w:trPr>
          <w:tblHeader/>
        </w:trPr>
        <w:tc>
          <w:tcPr>
            <w:tcW w:type="dxa" w:w="2600"/>
            <w:shd w:fill="D9D9D9" w:val="clear"/>
            <w:tcMar>
              <w:top w:type="dxa" w:w="80"/>
              <w:left w:type="dxa" w:w="100"/>
              <w:bottom w:type="dxa" w:w="80"/>
              <w:right w:type="dxa" w:w="100"/>
            </w:tcMar>
          </w:tcPr>
          <w:p>
            <w:r>
              <w:rPr>
                <w:b/>
                <w:bCs/>
                <w:sz w:val="20"/>
                <w:szCs w:val="20"/>
              </w:rPr>
              <w:t xml:space="preserve">Feature</w:t>
            </w:r>
          </w:p>
        </w:tc>
        <w:tc>
          <w:tcPr>
            <w:tcW w:type="dxa" w:w="5500"/>
            <w:shd w:fill="D9D9D9" w:val="clear"/>
            <w:tcMar>
              <w:top w:type="dxa" w:w="80"/>
              <w:left w:type="dxa" w:w="100"/>
              <w:bottom w:type="dxa" w:w="80"/>
              <w:right w:type="dxa" w:w="100"/>
            </w:tcMar>
          </w:tcPr>
          <w:p>
            <w:r>
              <w:rPr>
                <w:b/>
                <w:bCs/>
                <w:sz w:val="20"/>
                <w:szCs w:val="20"/>
              </w:rPr>
              <w:t xml:space="preserve">Description</w:t>
            </w:r>
          </w:p>
        </w:tc>
        <w:tc>
          <w:tcPr>
            <w:tcW w:type="dxa" w:w="2000"/>
            <w:shd w:fill="D9D9D9" w:val="clear"/>
            <w:tcMar>
              <w:top w:type="dxa" w:w="80"/>
              <w:left w:type="dxa" w:w="100"/>
              <w:bottom w:type="dxa" w:w="80"/>
              <w:right w:type="dxa" w:w="100"/>
            </w:tcMar>
          </w:tcPr>
          <w:p>
            <w:r>
              <w:rPr>
                <w:b/>
                <w:bCs/>
                <w:sz w:val="20"/>
                <w:szCs w:val="20"/>
              </w:rPr>
              <w:t xml:space="preserve">Detects</w:t>
            </w:r>
          </w:p>
        </w:tc>
      </w:tr>
      <w:tr>
        <w:tc>
          <w:tcPr>
            <w:tcW w:type="dxa" w:w="2600"/>
            <w:tcMar>
              <w:top w:type="dxa" w:w="80"/>
              <w:left w:type="dxa" w:w="100"/>
              <w:bottom w:type="dxa" w:w="80"/>
              <w:right w:type="dxa" w:w="100"/>
            </w:tcMar>
          </w:tcPr>
          <w:p>
            <w:r>
              <w:rPr>
                <w:b w:val="false"/>
                <w:bCs w:val="false"/>
                <w:sz w:val="19"/>
                <w:szCs w:val="19"/>
              </w:rPr>
              <w:t xml:space="preserve">vendor_ida_count</w:t>
            </w:r>
          </w:p>
        </w:tc>
        <w:tc>
          <w:tcPr>
            <w:tcW w:type="dxa" w:w="5500"/>
            <w:tcMar>
              <w:top w:type="dxa" w:w="80"/>
              <w:left w:type="dxa" w:w="100"/>
              <w:bottom w:type="dxa" w:w="80"/>
              <w:right w:type="dxa" w:w="100"/>
            </w:tcMar>
          </w:tcPr>
          <w:p>
            <w:r>
              <w:rPr>
                <w:b w:val="false"/>
                <w:bCs w:val="false"/>
                <w:sz w:val="19"/>
                <w:szCs w:val="19"/>
              </w:rPr>
              <w:t xml:space="preserve">Number of distinct districts (IDAs) a vendor is paid under</w:t>
            </w:r>
          </w:p>
        </w:tc>
        <w:tc>
          <w:tcPr>
            <w:tcW w:type="dxa" w:w="2000"/>
            <w:tcMar>
              <w:top w:type="dxa" w:w="80"/>
              <w:left w:type="dxa" w:w="100"/>
              <w:bottom w:type="dxa" w:w="80"/>
              <w:right w:type="dxa" w:w="100"/>
            </w:tcMar>
          </w:tcPr>
          <w:p>
            <w:r>
              <w:rPr>
                <w:b w:val="false"/>
                <w:bCs w:val="false"/>
                <w:sz w:val="19"/>
                <w:szCs w:val="19"/>
              </w:rPr>
              <w:t xml:space="preserve">Suspicious contractor spread</w:t>
            </w:r>
          </w:p>
        </w:tc>
      </w:tr>
      <w:tr>
        <w:tc>
          <w:tcPr>
            <w:tcW w:type="dxa" w:w="2600"/>
            <w:tcMar>
              <w:top w:type="dxa" w:w="80"/>
              <w:left w:type="dxa" w:w="100"/>
              <w:bottom w:type="dxa" w:w="80"/>
              <w:right w:type="dxa" w:w="100"/>
            </w:tcMar>
          </w:tcPr>
          <w:p>
            <w:r>
              <w:rPr>
                <w:b w:val="false"/>
                <w:bCs w:val="false"/>
                <w:sz w:val="19"/>
                <w:szCs w:val="19"/>
              </w:rPr>
              <w:t xml:space="preserve">vendor_mp_count</w:t>
            </w:r>
          </w:p>
        </w:tc>
        <w:tc>
          <w:tcPr>
            <w:tcW w:type="dxa" w:w="5500"/>
            <w:tcMar>
              <w:top w:type="dxa" w:w="80"/>
              <w:left w:type="dxa" w:w="100"/>
              <w:bottom w:type="dxa" w:w="80"/>
              <w:right w:type="dxa" w:w="100"/>
            </w:tcMar>
          </w:tcPr>
          <w:p>
            <w:r>
              <w:rPr>
                <w:b w:val="false"/>
                <w:bCs w:val="false"/>
                <w:sz w:val="19"/>
                <w:szCs w:val="19"/>
              </w:rPr>
              <w:t xml:space="preserve">Number of distinct MPs a vendor is paid under</w:t>
            </w:r>
          </w:p>
        </w:tc>
        <w:tc>
          <w:tcPr>
            <w:tcW w:type="dxa" w:w="2000"/>
            <w:tcMar>
              <w:top w:type="dxa" w:w="80"/>
              <w:left w:type="dxa" w:w="100"/>
              <w:bottom w:type="dxa" w:w="80"/>
              <w:right w:type="dxa" w:w="100"/>
            </w:tcMar>
          </w:tcPr>
          <w:p>
            <w:r>
              <w:rPr>
                <w:b w:val="false"/>
                <w:bCs w:val="false"/>
                <w:sz w:val="19"/>
                <w:szCs w:val="19"/>
              </w:rPr>
              <w:t xml:space="preserve">Cross-constituency favoritism</w:t>
            </w:r>
          </w:p>
        </w:tc>
      </w:tr>
      <w:tr>
        <w:tc>
          <w:tcPr>
            <w:tcW w:type="dxa" w:w="2600"/>
            <w:tcMar>
              <w:top w:type="dxa" w:w="80"/>
              <w:left w:type="dxa" w:w="100"/>
              <w:bottom w:type="dxa" w:w="80"/>
              <w:right w:type="dxa" w:w="100"/>
            </w:tcMar>
          </w:tcPr>
          <w:p>
            <w:r>
              <w:rPr>
                <w:b w:val="false"/>
                <w:bCs w:val="false"/>
                <w:sz w:val="19"/>
                <w:szCs w:val="19"/>
              </w:rPr>
              <w:t xml:space="preserve">vendor_is_individual_flag</w:t>
            </w:r>
          </w:p>
        </w:tc>
        <w:tc>
          <w:tcPr>
            <w:tcW w:type="dxa" w:w="5500"/>
            <w:tcMar>
              <w:top w:type="dxa" w:w="80"/>
              <w:left w:type="dxa" w:w="100"/>
              <w:bottom w:type="dxa" w:w="80"/>
              <w:right w:type="dxa" w:w="100"/>
            </w:tcMar>
          </w:tcPr>
          <w:p>
            <w:r>
              <w:rPr>
                <w:b w:val="false"/>
                <w:bCs w:val="false"/>
                <w:sz w:val="19"/>
                <w:szCs w:val="19"/>
              </w:rPr>
              <w:t xml:space="preserve">Heuristic: vendor name has no company suffix (Ltd/Pvt/Enterprises/Co.)</w:t>
            </w:r>
          </w:p>
        </w:tc>
        <w:tc>
          <w:tcPr>
            <w:tcW w:type="dxa" w:w="2000"/>
            <w:tcMar>
              <w:top w:type="dxa" w:w="80"/>
              <w:left w:type="dxa" w:w="100"/>
              <w:bottom w:type="dxa" w:w="80"/>
              <w:right w:type="dxa" w:w="100"/>
            </w:tcMar>
          </w:tcPr>
          <w:p>
            <w:r>
              <w:rPr>
                <w:b w:val="false"/>
                <w:bCs w:val="false"/>
                <w:sz w:val="19"/>
                <w:szCs w:val="19"/>
              </w:rPr>
              <w:t xml:space="preserve">Distinguishes shell/individual from legitimate large suppliers</w:t>
            </w:r>
          </w:p>
        </w:tc>
      </w:tr>
      <w:tr>
        <w:tc>
          <w:tcPr>
            <w:tcW w:type="dxa" w:w="2600"/>
            <w:tcMar>
              <w:top w:type="dxa" w:w="80"/>
              <w:left w:type="dxa" w:w="100"/>
              <w:bottom w:type="dxa" w:w="80"/>
              <w:right w:type="dxa" w:w="100"/>
            </w:tcMar>
          </w:tcPr>
          <w:p>
            <w:r>
              <w:rPr>
                <w:b w:val="false"/>
                <w:bCs w:val="false"/>
                <w:sz w:val="19"/>
                <w:szCs w:val="19"/>
              </w:rPr>
              <w:t xml:space="preserve">vendor_concentration_score</w:t>
            </w:r>
          </w:p>
        </w:tc>
        <w:tc>
          <w:tcPr>
            <w:tcW w:type="dxa" w:w="5500"/>
            <w:tcMar>
              <w:top w:type="dxa" w:w="80"/>
              <w:left w:type="dxa" w:w="100"/>
              <w:bottom w:type="dxa" w:w="80"/>
              <w:right w:type="dxa" w:w="100"/>
            </w:tcMar>
          </w:tcPr>
          <w:p>
            <w:r>
              <w:rPr>
                <w:b w:val="false"/>
                <w:bCs w:val="false"/>
                <w:sz w:val="19"/>
                <w:szCs w:val="19"/>
              </w:rPr>
              <w:t xml:space="preserve">Combines the above three into one 0–1 score; large legitimate manufacturers (e.g. vehicle makers) are excluded via a known-company allow-list</w:t>
            </w:r>
          </w:p>
        </w:tc>
        <w:tc>
          <w:tcPr>
            <w:tcW w:type="dxa" w:w="2000"/>
            <w:tcMar>
              <w:top w:type="dxa" w:w="80"/>
              <w:left w:type="dxa" w:w="100"/>
              <w:bottom w:type="dxa" w:w="80"/>
              <w:right w:type="dxa" w:w="100"/>
            </w:tcMar>
          </w:tcPr>
          <w:p>
            <w:r>
              <w:rPr>
                <w:b w:val="false"/>
                <w:bCs w:val="false"/>
                <w:sz w:val="19"/>
                <w:szCs w:val="19"/>
              </w:rPr>
              <w:t xml:space="preserve">Weird approval / repeat-contractor patterns</w:t>
            </w:r>
          </w:p>
        </w:tc>
      </w:tr>
    </w:tbl>
    <w:p>
      <w:pPr>
        <w:pStyle w:val="Heading2"/>
        <w:spacing w:after="120" w:before="240"/>
      </w:pPr>
      <w:r>
        <w:t xml:space="preserve">6.3 MP / scheme-level features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200"/>
        <w:gridCol w:w="5300"/>
        <w:gridCol w:w="1600"/>
      </w:tblGrid>
      <w:tr>
        <w:trPr>
          <w:tblHeader/>
        </w:trPr>
        <w:tc>
          <w:tcPr>
            <w:tcW w:type="dxa" w:w="3200"/>
            <w:shd w:fill="D9D9D9" w:val="clear"/>
            <w:tcMar>
              <w:top w:type="dxa" w:w="80"/>
              <w:left w:type="dxa" w:w="100"/>
              <w:bottom w:type="dxa" w:w="80"/>
              <w:right w:type="dxa" w:w="100"/>
            </w:tcMar>
          </w:tcPr>
          <w:p>
            <w:r>
              <w:rPr>
                <w:b/>
                <w:bCs/>
                <w:sz w:val="20"/>
                <w:szCs w:val="20"/>
              </w:rPr>
              <w:t xml:space="preserve">Feature</w:t>
            </w:r>
          </w:p>
        </w:tc>
        <w:tc>
          <w:tcPr>
            <w:tcW w:type="dxa" w:w="5300"/>
            <w:shd w:fill="D9D9D9" w:val="clear"/>
            <w:tcMar>
              <w:top w:type="dxa" w:w="80"/>
              <w:left w:type="dxa" w:w="100"/>
              <w:bottom w:type="dxa" w:w="80"/>
              <w:right w:type="dxa" w:w="100"/>
            </w:tcMar>
          </w:tcPr>
          <w:p>
            <w:r>
              <w:rPr>
                <w:b/>
                <w:bCs/>
                <w:sz w:val="20"/>
                <w:szCs w:val="20"/>
              </w:rPr>
              <w:t xml:space="preserve">Description</w:t>
            </w:r>
          </w:p>
        </w:tc>
        <w:tc>
          <w:tcPr>
            <w:tcW w:type="dxa" w:w="1600"/>
            <w:shd w:fill="D9D9D9" w:val="clear"/>
            <w:tcMar>
              <w:top w:type="dxa" w:w="80"/>
              <w:left w:type="dxa" w:w="100"/>
              <w:bottom w:type="dxa" w:w="80"/>
              <w:right w:type="dxa" w:w="100"/>
            </w:tcMar>
          </w:tcPr>
          <w:p>
            <w:r>
              <w:rPr>
                <w:b/>
                <w:bCs/>
                <w:sz w:val="20"/>
                <w:szCs w:val="20"/>
              </w:rPr>
              <w:t xml:space="preserve">Detects</w:t>
            </w:r>
          </w:p>
        </w:tc>
      </w:tr>
      <w:tr>
        <w:tc>
          <w:tcPr>
            <w:tcW w:type="dxa" w:w="3200"/>
            <w:tcMar>
              <w:top w:type="dxa" w:w="80"/>
              <w:left w:type="dxa" w:w="100"/>
              <w:bottom w:type="dxa" w:w="80"/>
              <w:right w:type="dxa" w:w="100"/>
            </w:tcMar>
          </w:tcPr>
          <w:p>
            <w:r>
              <w:rPr>
                <w:b w:val="false"/>
                <w:bCs w:val="false"/>
                <w:sz w:val="19"/>
                <w:szCs w:val="19"/>
              </w:rPr>
              <w:t xml:space="preserve">allocation_utilization_ratio</w:t>
            </w:r>
          </w:p>
        </w:tc>
        <w:tc>
          <w:tcPr>
            <w:tcW w:type="dxa" w:w="5300"/>
            <w:tcMar>
              <w:top w:type="dxa" w:w="80"/>
              <w:left w:type="dxa" w:w="100"/>
              <w:bottom w:type="dxa" w:w="80"/>
              <w:right w:type="dxa" w:w="100"/>
            </w:tcMar>
          </w:tcPr>
          <w:p>
            <w:r>
              <w:rPr>
                <w:b w:val="false"/>
                <w:bCs w:val="false"/>
                <w:sz w:val="19"/>
                <w:szCs w:val="19"/>
              </w:rPr>
              <w:t xml:space="preserve">Σ Disbursed ÷ Allocated Amount, per MP</w:t>
            </w:r>
          </w:p>
        </w:tc>
        <w:tc>
          <w:tcPr>
            <w:tcW w:type="dxa" w:w="1600"/>
            <w:tcMar>
              <w:top w:type="dxa" w:w="80"/>
              <w:left w:type="dxa" w:w="100"/>
              <w:bottom w:type="dxa" w:w="80"/>
              <w:right w:type="dxa" w:w="100"/>
            </w:tcMar>
          </w:tcPr>
          <w:p>
            <w:r>
              <w:rPr>
                <w:b w:val="false"/>
                <w:bCs w:val="false"/>
                <w:sz w:val="19"/>
                <w:szCs w:val="19"/>
              </w:rPr>
              <w:t xml:space="preserve">Under- or over-utilization of entitlement</w:t>
            </w:r>
          </w:p>
        </w:tc>
      </w:tr>
      <w:tr>
        <w:tc>
          <w:tcPr>
            <w:tcW w:type="dxa" w:w="3200"/>
            <w:tcMar>
              <w:top w:type="dxa" w:w="80"/>
              <w:left w:type="dxa" w:w="100"/>
              <w:bottom w:type="dxa" w:w="80"/>
              <w:right w:type="dxa" w:w="100"/>
            </w:tcMar>
          </w:tcPr>
          <w:p>
            <w:r>
              <w:rPr>
                <w:b w:val="false"/>
                <w:bCs w:val="false"/>
                <w:sz w:val="19"/>
                <w:szCs w:val="19"/>
              </w:rPr>
              <w:t xml:space="preserve">calamity_vs_allocation_check</w:t>
            </w:r>
          </w:p>
        </w:tc>
        <w:tc>
          <w:tcPr>
            <w:tcW w:type="dxa" w:w="5300"/>
            <w:tcMar>
              <w:top w:type="dxa" w:w="80"/>
              <w:left w:type="dxa" w:w="100"/>
              <w:bottom w:type="dxa" w:w="80"/>
              <w:right w:type="dxa" w:w="100"/>
            </w:tcMar>
          </w:tcPr>
          <w:p>
            <w:r>
              <w:rPr>
                <w:b w:val="false"/>
                <w:bCs w:val="false"/>
                <w:sz w:val="19"/>
                <w:szCs w:val="19"/>
              </w:rPr>
              <w:t xml:space="preserve">Consent Amount + Disbursed ≤ Allocated Amount</w:t>
            </w:r>
          </w:p>
        </w:tc>
        <w:tc>
          <w:tcPr>
            <w:tcW w:type="dxa" w:w="1600"/>
            <w:tcMar>
              <w:top w:type="dxa" w:w="80"/>
              <w:left w:type="dxa" w:w="100"/>
              <w:bottom w:type="dxa" w:w="80"/>
              <w:right w:type="dxa" w:w="100"/>
            </w:tcMar>
          </w:tcPr>
          <w:p>
            <w:r>
              <w:rPr>
                <w:b w:val="false"/>
                <w:bCs w:val="false"/>
                <w:sz w:val="19"/>
                <w:szCs w:val="19"/>
              </w:rPr>
              <w:t xml:space="preserve">Hard rule violation (over-commitment)</w:t>
            </w:r>
          </w:p>
        </w:tc>
      </w:tr>
      <w:tr>
        <w:tc>
          <w:tcPr>
            <w:tcW w:type="dxa" w:w="3200"/>
            <w:tcMar>
              <w:top w:type="dxa" w:w="80"/>
              <w:left w:type="dxa" w:w="100"/>
              <w:bottom w:type="dxa" w:w="80"/>
              <w:right w:type="dxa" w:w="100"/>
            </w:tcMar>
          </w:tcPr>
          <w:p>
            <w:r>
              <w:rPr>
                <w:b w:val="false"/>
                <w:bCs w:val="false"/>
                <w:sz w:val="19"/>
                <w:szCs w:val="19"/>
              </w:rPr>
              <w:t xml:space="preserve">sc_st_allocation_compliance_ratio</w:t>
            </w:r>
          </w:p>
        </w:tc>
        <w:tc>
          <w:tcPr>
            <w:tcW w:type="dxa" w:w="5300"/>
            <w:tcMar>
              <w:top w:type="dxa" w:w="80"/>
              <w:left w:type="dxa" w:w="100"/>
              <w:bottom w:type="dxa" w:w="80"/>
              <w:right w:type="dxa" w:w="100"/>
            </w:tcMar>
          </w:tcPr>
          <w:p>
            <w:r>
              <w:rPr>
                <w:b w:val="false"/>
                <w:bCs w:val="false"/>
                <w:sz w:val="19"/>
                <w:szCs w:val="19"/>
              </w:rPr>
              <w:t xml:space="preserve">Share of an MP's sanctioned amount going to SC/ST-benefiting works vs. the 15%/7.5% mandate</w:t>
            </w:r>
          </w:p>
        </w:tc>
        <w:tc>
          <w:tcPr>
            <w:tcW w:type="dxa" w:w="1600"/>
            <w:tcMar>
              <w:top w:type="dxa" w:w="80"/>
              <w:left w:type="dxa" w:w="100"/>
              <w:bottom w:type="dxa" w:w="80"/>
              <w:right w:type="dxa" w:w="100"/>
            </w:tcMar>
          </w:tcPr>
          <w:p>
            <w:r>
              <w:rPr>
                <w:b w:val="false"/>
                <w:bCs w:val="false"/>
                <w:sz w:val="19"/>
                <w:szCs w:val="19"/>
              </w:rPr>
              <w:t xml:space="preserve">Equity non-compliance</w:t>
            </w:r>
          </w:p>
        </w:tc>
      </w:tr>
      <w:tr>
        <w:tc>
          <w:tcPr>
            <w:tcW w:type="dxa" w:w="3200"/>
            <w:tcMar>
              <w:top w:type="dxa" w:w="80"/>
              <w:left w:type="dxa" w:w="100"/>
              <w:bottom w:type="dxa" w:w="80"/>
              <w:right w:type="dxa" w:w="100"/>
            </w:tcMar>
          </w:tcPr>
          <w:p>
            <w:r>
              <w:rPr>
                <w:b w:val="false"/>
                <w:bCs w:val="false"/>
                <w:sz w:val="19"/>
                <w:szCs w:val="19"/>
              </w:rPr>
              <w:t xml:space="preserve">expenditure_spike_before_deadline</w:t>
            </w:r>
          </w:p>
        </w:tc>
        <w:tc>
          <w:tcPr>
            <w:tcW w:type="dxa" w:w="5300"/>
            <w:tcMar>
              <w:top w:type="dxa" w:w="80"/>
              <w:left w:type="dxa" w:w="100"/>
              <w:bottom w:type="dxa" w:w="80"/>
              <w:right w:type="dxa" w:w="100"/>
            </w:tcMar>
          </w:tcPr>
          <w:p>
            <w:r>
              <w:rPr>
                <w:b w:val="false"/>
                <w:bCs w:val="false"/>
                <w:sz w:val="19"/>
                <w:szCs w:val="19"/>
              </w:rPr>
              <w:t xml:space="preserve">Spike in disbursed amount in the last month of a financial year vs. that MP's own average</w:t>
            </w:r>
          </w:p>
        </w:tc>
        <w:tc>
          <w:tcPr>
            <w:tcW w:type="dxa" w:w="1600"/>
            <w:tcMar>
              <w:top w:type="dxa" w:w="80"/>
              <w:left w:type="dxa" w:w="100"/>
              <w:bottom w:type="dxa" w:w="80"/>
              <w:right w:type="dxa" w:w="100"/>
            </w:tcMar>
          </w:tcPr>
          <w:p>
            <w:r>
              <w:rPr>
                <w:b w:val="false"/>
                <w:bCs w:val="false"/>
                <w:sz w:val="19"/>
                <w:szCs w:val="19"/>
              </w:rPr>
              <w:t xml:space="preserve">“Use-it-or-lose-it” fund-dumping pattern</w:t>
            </w:r>
          </w:p>
        </w:tc>
      </w:tr>
    </w:tbl>
    <w:p>
      <w:pPr>
        <w:pStyle w:val="Heading1"/>
        <w:spacing w:after="160" w:before="320"/>
      </w:pPr>
      <w:r>
        <w:t xml:space="preserve">7. Machine Learning &amp; AI Components — Detail</w:t>
      </w:r>
    </w:p>
    <w:p>
      <w:pPr>
        <w:pStyle w:val="Heading2"/>
        <w:spacing w:after="120" w:before="240"/>
      </w:pPr>
      <w:r>
        <w:t xml:space="preserve">7.1 Rule Engine (deterministic layer)</w:t>
      </w:r>
    </w:p>
    <w:p>
      <w:pPr>
        <w:spacing w:after="160"/>
      </w:pPr>
      <w:r>
        <w:t xml:space="preserve">Runs first, before any ML scoring. Encodes explicit, citable MPLADS rules rather than statistical guesses:</w:t>
      </w:r>
    </w:p>
    <w:p>
      <w:pPr>
        <w:pStyle w:val="ListParagraph"/>
        <w:numPr>
          <w:ilvl w:val="0"/>
          <w:numId w:val="2"/>
        </w:numPr>
        <w:spacing w:after="60"/>
      </w:pPr>
      <w:r>
        <w:t xml:space="preserve">Sanction-to-completion must not exceed 1 year — violation → automatic high-risk flag.</w:t>
      </w:r>
    </w:p>
    <w:p>
      <w:pPr>
        <w:pStyle w:val="ListParagraph"/>
        <w:numPr>
          <w:ilvl w:val="0"/>
          <w:numId w:val="2"/>
        </w:numPr>
        <w:spacing w:after="60"/>
      </w:pPr>
      <w:r>
        <w:t xml:space="preserve">Total (Disbursed + Calamity Consent) must not exceed a MP's Allocated Amount.</w:t>
      </w:r>
    </w:p>
    <w:p>
      <w:pPr>
        <w:pStyle w:val="ListParagraph"/>
        <w:numPr>
          <w:ilvl w:val="0"/>
          <w:numId w:val="2"/>
        </w:numPr>
        <w:spacing w:after="60"/>
      </w:pPr>
      <w:r>
        <w:t xml:space="preserve">Funds must not go to religious structures, private trusts/individuals, or non-durable assets — keyword/classifier check against description text.</w:t>
      </w:r>
    </w:p>
    <w:p>
      <w:pPr>
        <w:pStyle w:val="ListParagraph"/>
        <w:numPr>
          <w:ilvl w:val="0"/>
          <w:numId w:val="2"/>
        </w:numPr>
        <w:spacing w:after="60"/>
      </w:pPr>
      <w:r>
        <w:t xml:space="preserve">SC/ST allocation quotas (15% / 7.5%) must be met across an MP's yearly portfolio.</w:t>
      </w:r>
    </w:p>
    <w:p>
      <w:pPr>
        <w:spacing w:after="160"/>
      </w:pPr>
      <w:r>
        <w:t xml:space="preserve">Because these are direct rule violations, they bypass the probabilistic score and are surfaced at maximum priority — this keeps the system defensible and auditable, since a human reviewer can trace every hard flag straight back to a named scheme rule.</w:t>
      </w:r>
    </w:p>
    <w:p>
      <w:pPr>
        <w:pStyle w:val="Heading2"/>
        <w:spacing w:after="120" w:before="240"/>
      </w:pPr>
      <w:r>
        <w:t xml:space="preserve">7.2 Isolation Forest (unsupervised anomaly detection)</w:t>
      </w:r>
    </w:p>
    <w:p>
      <w:pPr>
        <w:spacing w:after="160"/>
      </w:pPr>
      <w:r>
        <w:t xml:space="preserve">Applied to continuous work-level and vendor-level features (cost ratios, durations, concentration scores). Chosen because MPLADS has no reliable labeled fraud dataset — Isolation Forest needs no labels; it isolates points that are statistically far from the bulk of the data via random recursive partitioning, and outputs an anomaly score per record. This catches novel patterns that were never anticipated at rule-design time.</w:t>
      </w:r>
    </w:p>
    <w:p>
      <w:pPr>
        <w:pStyle w:val="Heading2"/>
        <w:spacing w:after="120" w:before="240"/>
      </w:pPr>
      <w:r>
        <w:t xml:space="preserve">7.3 XGBoost + SMOTE (supervised risk scoring)</w:t>
      </w:r>
    </w:p>
    <w:p>
      <w:pPr>
        <w:spacing w:after="160"/>
      </w:pPr>
      <w:r>
        <w:t xml:space="preserve">Stage-two model. Training labels come from three sources: (a) hard rule violations from Section 7.1, (b) top-ranked Isolation Forest anomalies, and (c) known irregularity cases sourced from published CAG audit reports on MPLADS — used as genuine, citable ground truth rather than only synthetic fraud injection. Because true positives are rare, SMOTE (Synthetic Minority Oversampling) balances the training set before fitting XGBoost, which then outputs a calibrated 0–1 risk probability per work using gradient-boosted decision trees over all engineered features.</w:t>
      </w:r>
    </w:p>
    <w:p>
      <w:pPr>
        <w:pStyle w:val="Heading2"/>
        <w:spacing w:after="120" w:before="240"/>
      </w:pPr>
      <w:r>
        <w:t xml:space="preserve">7.4 SHAP (explainability layer)</w:t>
      </w:r>
    </w:p>
    <w:p>
      <w:pPr>
        <w:spacing w:after="160"/>
      </w:pPr>
      <w:r>
        <w:t xml:space="preserve">Wraps the XGBoost output to attribute the score to specific features — e.g. “flagged due to 340% cost deviation from category median + vendor active across 6 districts.” This is what makes the score usable by a non-technical district auditor and defensible in an official report, rather than an opaque number.</w:t>
      </w:r>
    </w:p>
    <w:p>
      <w:pPr>
        <w:pStyle w:val="Heading2"/>
        <w:spacing w:after="120" w:before="240"/>
      </w:pPr>
      <w:r>
        <w:t xml:space="preserve">7.5 Text similarity (duplicate/fake work detection)</w:t>
      </w:r>
    </w:p>
    <w:p>
      <w:pPr>
        <w:spacing w:after="160"/>
      </w:pPr>
      <w:r>
        <w:t xml:space="preserve">TF-IDF vectorization of Work Description + cosine similarity (scikit-learn), backed by rapidfuzz for fast fuzzy string matching on shorter fields (Work name, IDA name). Any pair of works above a similarity threshold, especially across different constituencies, is flagged for manual comparison. A multilingual sentence-embedding model (e.g. a Sentence-Transformers multilingual variant) is a natural upgrade path once Hindi/regional-language description quality is confirmed clean.</w:t>
      </w:r>
    </w:p>
    <w:p>
      <w:pPr>
        <w:pStyle w:val="Heading2"/>
        <w:spacing w:after="120" w:before="240"/>
      </w:pPr>
      <w:r>
        <w:t xml:space="preserve">7.6 Perceptual image hashing (duplicate completion photo detection)</w:t>
      </w:r>
    </w:p>
    <w:p>
      <w:pPr>
        <w:spacing w:after="160"/>
      </w:pPr>
      <w:r>
        <w:t xml:space="preserve">Uses the imagehash library (difference hashing / pHash) to fingerprint each completion image and detect near-identical images reused across different “completed” works — a strong, visually demonstrable fraud signal. A basic pretrained image classifier (e.g. a lightweight CNN or vision-transformer checkpoint) can additionally sanity-check that an image plausibly matches its declared Work Category (e.g. a road vs. a hall) as a stretch goal; full satellite before/after change detection (e.g. on open Sentinel-2 imagery) is scoped as future work rather than hackathon-timeline scope.</w:t>
      </w:r>
    </w:p>
    <w:p>
      <w:pPr>
        <w:pStyle w:val="Heading1"/>
        <w:spacing w:after="160" w:before="320"/>
      </w:pPr>
      <w:r>
        <w:t xml:space="preserve">8. Composite Risk Scoring &amp; Case Management</w:t>
      </w:r>
    </w:p>
    <w:p>
      <w:pPr>
        <w:spacing w:after="160"/>
      </w:pPr>
      <w:r>
        <w:t xml:space="preserve">Every work receives one Risk Score from 0–100:</w:t>
      </w:r>
    </w:p>
    <w:p>
      <w:pPr>
        <w:pStyle w:val="ListParagraph"/>
        <w:numPr>
          <w:ilvl w:val="0"/>
          <w:numId w:val="2"/>
        </w:numPr>
        <w:spacing w:after="60"/>
      </w:pPr>
      <w:r>
        <w:t xml:space="preserve">Any hard rule violation (Section 7.1) → score fixed at 80–100, regardless of ML output.</w:t>
      </w:r>
    </w:p>
    <w:p>
      <w:pPr>
        <w:pStyle w:val="ListParagraph"/>
        <w:numPr>
          <w:ilvl w:val="0"/>
          <w:numId w:val="2"/>
        </w:numPr>
        <w:spacing w:after="60"/>
      </w:pPr>
      <w:r>
        <w:t xml:space="preserve">Otherwise: Risk Score = 40% × normalized Isolation Forest anomaly score  +  40% × XGBoost risk probability  +  20% × (vendor concentration score + similarity score, averaged).</w:t>
      </w:r>
    </w:p>
    <w:p>
      <w:pPr>
        <w:spacing w:after="160"/>
      </w:pPr>
      <w:r>
        <w:t xml:space="preserve">Risk tiers for the dashboard: Low (0–39, informational only), Medium (40–69, periodic review queue), High (70–100, immediate auditor attention).</w:t>
      </w:r>
    </w:p>
    <w:p>
      <w:pPr>
        <w:spacing w:after="160"/>
      </w:pPr>
      <w:r>
        <w:t xml:space="preserve">Every flagged work carries its SHAP-derived reason string and links back to the exact source rows (recommendation, sanction, completion, expenditure) so an auditor can verify the underlying facts, not just trust the score.</w:t>
      </w:r>
    </w:p>
    <w:p>
      <w:pPr>
        <w:jc w:val="center"/>
      </w:pPr>
      <w:r>
        <w:drawing>
          <wp:inline xmlns:a="http://schemas.openxmlformats.org/drawingml/2006/main" xmlns:pic="http://schemas.openxmlformats.org/drawingml/2006/picture">
            <wp:extent cx="5486400" cy="3071780"/>
            <wp:docPr id="7" name="Picture 7"/>
            <wp:cNvGraphicFramePr>
              <a:graphicFrameLocks noChangeAspect="1"/>
            </wp:cNvGraphicFramePr>
            <a:graphic>
              <a:graphicData uri="http://schemas.openxmlformats.org/drawingml/2006/picture">
                <pic:pic>
                  <pic:nvPicPr>
                    <pic:cNvPr id="0" name="d7_risk_scoring.png"/>
                    <pic:cNvPicPr/>
                  </pic:nvPicPr>
                  <pic:blipFill>
                    <a:blip r:embed="rId14"/>
                    <a:stretch>
                      <a:fillRect/>
                    </a:stretch>
                  </pic:blipFill>
                  <pic:spPr>
                    <a:xfrm>
                      <a:off x="0" y="0"/>
                      <a:ext cx="5486400" cy="3071780"/>
                    </a:xfrm>
                    <a:prstGeom prst="rect"/>
                  </pic:spPr>
                </pic:pic>
              </a:graphicData>
            </a:graphic>
          </wp:inline>
        </w:drawing>
      </w:r>
    </w:p>
    <w:p>
      <w:pPr>
        <w:jc w:val="center"/>
      </w:pPr>
      <w:r>
        <w:rPr>
          <w:i/>
          <w:color w:val="555555"/>
          <w:sz w:val="18"/>
        </w:rPr>
        <w:t>Figure 7: How the composite Risk Score is calculated, and the resulting risk tiers.</w:t>
      </w:r>
    </w:p>
    <w:p>
      <w:pPr>
        <w:pStyle w:val="Heading2"/>
        <w:spacing w:after="120" w:before="240"/>
      </w:pPr>
      <w:r>
        <w:t xml:space="preserve">8.1 Case lifecycle</w:t>
      </w:r>
    </w:p>
    <w:p>
      <w:pPr>
        <w:spacing w:after="160"/>
      </w:pPr>
      <w:r>
        <w:t xml:space="preserve">Flagged → Under Review → Cleared / Escalated / Confirmed Irregularity. Every transition is logged with the reviewing authority's role and timestamp, and confirmed/cleared outcomes become new training labels for the next XGBoost retraining cycle.</w:t>
      </w:r>
    </w:p>
    <w:p>
      <w:pPr>
        <w:pStyle w:val="Heading1"/>
        <w:spacing w:after="160" w:before="320"/>
      </w:pPr>
      <w:r>
        <w:t xml:space="preserve">9. Technology Stack</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6100"/>
      </w:tblGrid>
      <w:tr>
        <w:trPr>
          <w:tblHeader/>
        </w:trPr>
        <w:tc>
          <w:tcPr>
            <w:tcW w:type="dxa" w:w="3200"/>
            <w:shd w:fill="D9D9D9" w:val="clear"/>
            <w:tcMar>
              <w:top w:type="dxa" w:w="80"/>
              <w:left w:type="dxa" w:w="100"/>
              <w:bottom w:type="dxa" w:w="80"/>
              <w:right w:type="dxa" w:w="100"/>
            </w:tcMar>
          </w:tcPr>
          <w:p>
            <w:r>
              <w:rPr>
                <w:b/>
                <w:bCs/>
                <w:sz w:val="20"/>
                <w:szCs w:val="20"/>
              </w:rPr>
              <w:t xml:space="preserve">Layer</w:t>
            </w:r>
          </w:p>
        </w:tc>
        <w:tc>
          <w:tcPr>
            <w:tcW w:type="dxa" w:w="6100"/>
            <w:shd w:fill="D9D9D9" w:val="clear"/>
            <w:tcMar>
              <w:top w:type="dxa" w:w="80"/>
              <w:left w:type="dxa" w:w="100"/>
              <w:bottom w:type="dxa" w:w="80"/>
              <w:right w:type="dxa" w:w="100"/>
            </w:tcMar>
          </w:tcPr>
          <w:p>
            <w:r>
              <w:rPr>
                <w:b/>
                <w:bCs/>
                <w:sz w:val="20"/>
                <w:szCs w:val="20"/>
              </w:rPr>
              <w:t xml:space="preserve">Technology</w:t>
            </w:r>
          </w:p>
        </w:tc>
      </w:tr>
      <w:tr>
        <w:tc>
          <w:tcPr>
            <w:tcW w:type="dxa" w:w="3200"/>
            <w:tcMar>
              <w:top w:type="dxa" w:w="80"/>
              <w:left w:type="dxa" w:w="100"/>
              <w:bottom w:type="dxa" w:w="80"/>
              <w:right w:type="dxa" w:w="100"/>
            </w:tcMar>
          </w:tcPr>
          <w:p>
            <w:r>
              <w:rPr>
                <w:b w:val="false"/>
                <w:bCs w:val="false"/>
                <w:sz w:val="19"/>
                <w:szCs w:val="19"/>
              </w:rPr>
              <w:t xml:space="preserve">Data processing</w:t>
            </w:r>
          </w:p>
        </w:tc>
        <w:tc>
          <w:tcPr>
            <w:tcW w:type="dxa" w:w="6100"/>
            <w:tcMar>
              <w:top w:type="dxa" w:w="80"/>
              <w:left w:type="dxa" w:w="100"/>
              <w:bottom w:type="dxa" w:w="80"/>
              <w:right w:type="dxa" w:w="100"/>
            </w:tcMar>
          </w:tcPr>
          <w:p>
            <w:r>
              <w:rPr>
                <w:b w:val="false"/>
                <w:bCs w:val="false"/>
                <w:sz w:val="19"/>
                <w:szCs w:val="19"/>
              </w:rPr>
              <w:t xml:space="preserve">Python, pandas, numpy</w:t>
            </w:r>
          </w:p>
        </w:tc>
      </w:tr>
      <w:tr>
        <w:tc>
          <w:tcPr>
            <w:tcW w:type="dxa" w:w="3200"/>
            <w:tcMar>
              <w:top w:type="dxa" w:w="80"/>
              <w:left w:type="dxa" w:w="100"/>
              <w:bottom w:type="dxa" w:w="80"/>
              <w:right w:type="dxa" w:w="100"/>
            </w:tcMar>
          </w:tcPr>
          <w:p>
            <w:r>
              <w:rPr>
                <w:b w:val="false"/>
                <w:bCs w:val="false"/>
                <w:sz w:val="19"/>
                <w:szCs w:val="19"/>
              </w:rPr>
              <w:t xml:space="preserve">Unsupervised anomaly detection</w:t>
            </w:r>
          </w:p>
        </w:tc>
        <w:tc>
          <w:tcPr>
            <w:tcW w:type="dxa" w:w="6100"/>
            <w:tcMar>
              <w:top w:type="dxa" w:w="80"/>
              <w:left w:type="dxa" w:w="100"/>
              <w:bottom w:type="dxa" w:w="80"/>
              <w:right w:type="dxa" w:w="100"/>
            </w:tcMar>
          </w:tcPr>
          <w:p>
            <w:r>
              <w:rPr>
                <w:b w:val="false"/>
                <w:bCs w:val="false"/>
                <w:sz w:val="19"/>
                <w:szCs w:val="19"/>
              </w:rPr>
              <w:t xml:space="preserve">scikit-learn (IsolationForest)</w:t>
            </w:r>
          </w:p>
        </w:tc>
      </w:tr>
      <w:tr>
        <w:tc>
          <w:tcPr>
            <w:tcW w:type="dxa" w:w="3200"/>
            <w:tcMar>
              <w:top w:type="dxa" w:w="80"/>
              <w:left w:type="dxa" w:w="100"/>
              <w:bottom w:type="dxa" w:w="80"/>
              <w:right w:type="dxa" w:w="100"/>
            </w:tcMar>
          </w:tcPr>
          <w:p>
            <w:r>
              <w:rPr>
                <w:b w:val="false"/>
                <w:bCs w:val="false"/>
                <w:sz w:val="19"/>
                <w:szCs w:val="19"/>
              </w:rPr>
              <w:t xml:space="preserve">Supervised risk model</w:t>
            </w:r>
          </w:p>
        </w:tc>
        <w:tc>
          <w:tcPr>
            <w:tcW w:type="dxa" w:w="6100"/>
            <w:tcMar>
              <w:top w:type="dxa" w:w="80"/>
              <w:left w:type="dxa" w:w="100"/>
              <w:bottom w:type="dxa" w:w="80"/>
              <w:right w:type="dxa" w:w="100"/>
            </w:tcMar>
          </w:tcPr>
          <w:p>
            <w:r>
              <w:rPr>
                <w:b w:val="false"/>
                <w:bCs w:val="false"/>
                <w:sz w:val="19"/>
                <w:szCs w:val="19"/>
              </w:rPr>
              <w:t xml:space="preserve">XGBoost, imbalanced-learn (SMOTE)</w:t>
            </w:r>
          </w:p>
        </w:tc>
      </w:tr>
      <w:tr>
        <w:tc>
          <w:tcPr>
            <w:tcW w:type="dxa" w:w="3200"/>
            <w:tcMar>
              <w:top w:type="dxa" w:w="80"/>
              <w:left w:type="dxa" w:w="100"/>
              <w:bottom w:type="dxa" w:w="80"/>
              <w:right w:type="dxa" w:w="100"/>
            </w:tcMar>
          </w:tcPr>
          <w:p>
            <w:r>
              <w:rPr>
                <w:b w:val="false"/>
                <w:bCs w:val="false"/>
                <w:sz w:val="19"/>
                <w:szCs w:val="19"/>
              </w:rPr>
              <w:t xml:space="preserve">Explainability</w:t>
            </w:r>
          </w:p>
        </w:tc>
        <w:tc>
          <w:tcPr>
            <w:tcW w:type="dxa" w:w="6100"/>
            <w:tcMar>
              <w:top w:type="dxa" w:w="80"/>
              <w:left w:type="dxa" w:w="100"/>
              <w:bottom w:type="dxa" w:w="80"/>
              <w:right w:type="dxa" w:w="100"/>
            </w:tcMar>
          </w:tcPr>
          <w:p>
            <w:r>
              <w:rPr>
                <w:b w:val="false"/>
                <w:bCs w:val="false"/>
                <w:sz w:val="19"/>
                <w:szCs w:val="19"/>
              </w:rPr>
              <w:t xml:space="preserve">SHAP</w:t>
            </w:r>
          </w:p>
        </w:tc>
      </w:tr>
      <w:tr>
        <w:tc>
          <w:tcPr>
            <w:tcW w:type="dxa" w:w="3200"/>
            <w:tcMar>
              <w:top w:type="dxa" w:w="80"/>
              <w:left w:type="dxa" w:w="100"/>
              <w:bottom w:type="dxa" w:w="80"/>
              <w:right w:type="dxa" w:w="100"/>
            </w:tcMar>
          </w:tcPr>
          <w:p>
            <w:r>
              <w:rPr>
                <w:b w:val="false"/>
                <w:bCs w:val="false"/>
                <w:sz w:val="19"/>
                <w:szCs w:val="19"/>
              </w:rPr>
              <w:t xml:space="preserve">Text similarity</w:t>
            </w:r>
          </w:p>
        </w:tc>
        <w:tc>
          <w:tcPr>
            <w:tcW w:type="dxa" w:w="6100"/>
            <w:tcMar>
              <w:top w:type="dxa" w:w="80"/>
              <w:left w:type="dxa" w:w="100"/>
              <w:bottom w:type="dxa" w:w="80"/>
              <w:right w:type="dxa" w:w="100"/>
            </w:tcMar>
          </w:tcPr>
          <w:p>
            <w:r>
              <w:rPr>
                <w:b w:val="false"/>
                <w:bCs w:val="false"/>
                <w:sz w:val="19"/>
                <w:szCs w:val="19"/>
              </w:rPr>
              <w:t xml:space="preserve">scikit-learn (TF-IDF), rapidfuzz, (optional) sentence-transformers</w:t>
            </w:r>
          </w:p>
        </w:tc>
      </w:tr>
      <w:tr>
        <w:tc>
          <w:tcPr>
            <w:tcW w:type="dxa" w:w="3200"/>
            <w:tcMar>
              <w:top w:type="dxa" w:w="80"/>
              <w:left w:type="dxa" w:w="100"/>
              <w:bottom w:type="dxa" w:w="80"/>
              <w:right w:type="dxa" w:w="100"/>
            </w:tcMar>
          </w:tcPr>
          <w:p>
            <w:r>
              <w:rPr>
                <w:b w:val="false"/>
                <w:bCs w:val="false"/>
                <w:sz w:val="19"/>
                <w:szCs w:val="19"/>
              </w:rPr>
              <w:t xml:space="preserve">Image similarity</w:t>
            </w:r>
          </w:p>
        </w:tc>
        <w:tc>
          <w:tcPr>
            <w:tcW w:type="dxa" w:w="6100"/>
            <w:tcMar>
              <w:top w:type="dxa" w:w="80"/>
              <w:left w:type="dxa" w:w="100"/>
              <w:bottom w:type="dxa" w:w="80"/>
              <w:right w:type="dxa" w:w="100"/>
            </w:tcMar>
          </w:tcPr>
          <w:p>
            <w:r>
              <w:rPr>
                <w:b w:val="false"/>
                <w:bCs w:val="false"/>
                <w:sz w:val="19"/>
                <w:szCs w:val="19"/>
              </w:rPr>
              <w:t xml:space="preserve">imagehash, Pillow, (optional) OpenCV / lightweight CNN</w:t>
            </w:r>
          </w:p>
        </w:tc>
      </w:tr>
      <w:tr>
        <w:tc>
          <w:tcPr>
            <w:tcW w:type="dxa" w:w="3200"/>
            <w:tcMar>
              <w:top w:type="dxa" w:w="80"/>
              <w:left w:type="dxa" w:w="100"/>
              <w:bottom w:type="dxa" w:w="80"/>
              <w:right w:type="dxa" w:w="100"/>
            </w:tcMar>
          </w:tcPr>
          <w:p>
            <w:r>
              <w:rPr>
                <w:b w:val="false"/>
                <w:bCs w:val="false"/>
                <w:sz w:val="19"/>
                <w:szCs w:val="19"/>
              </w:rPr>
              <w:t xml:space="preserve">Backend / API</w:t>
            </w:r>
          </w:p>
        </w:tc>
        <w:tc>
          <w:tcPr>
            <w:tcW w:type="dxa" w:w="6100"/>
            <w:tcMar>
              <w:top w:type="dxa" w:w="80"/>
              <w:left w:type="dxa" w:w="100"/>
              <w:bottom w:type="dxa" w:w="80"/>
              <w:right w:type="dxa" w:w="100"/>
            </w:tcMar>
          </w:tcPr>
          <w:p>
            <w:r>
              <w:rPr>
                <w:b w:val="false"/>
                <w:bCs w:val="false"/>
                <w:sz w:val="19"/>
                <w:szCs w:val="19"/>
              </w:rPr>
              <w:t xml:space="preserve">FastAPI, Uvicorn, Pydantic</w:t>
            </w:r>
          </w:p>
        </w:tc>
      </w:tr>
      <w:tr>
        <w:tc>
          <w:tcPr>
            <w:tcW w:type="dxa" w:w="3200"/>
            <w:tcMar>
              <w:top w:type="dxa" w:w="80"/>
              <w:left w:type="dxa" w:w="100"/>
              <w:bottom w:type="dxa" w:w="80"/>
              <w:right w:type="dxa" w:w="100"/>
            </w:tcMar>
          </w:tcPr>
          <w:p>
            <w:r>
              <w:rPr>
                <w:b w:val="false"/>
                <w:bCs w:val="false"/>
                <w:sz w:val="19"/>
                <w:szCs w:val="19"/>
              </w:rPr>
              <w:t xml:space="preserve">Database</w:t>
            </w:r>
          </w:p>
        </w:tc>
        <w:tc>
          <w:tcPr>
            <w:tcW w:type="dxa" w:w="6100"/>
            <w:tcMar>
              <w:top w:type="dxa" w:w="80"/>
              <w:left w:type="dxa" w:w="100"/>
              <w:bottom w:type="dxa" w:w="80"/>
              <w:right w:type="dxa" w:w="100"/>
            </w:tcMar>
          </w:tcPr>
          <w:p>
            <w:r>
              <w:rPr>
                <w:b w:val="false"/>
                <w:bCs w:val="false"/>
                <w:sz w:val="19"/>
                <w:szCs w:val="19"/>
              </w:rPr>
              <w:t xml:space="preserve">PostgreSQL, SQLAlchemy</w:t>
            </w:r>
          </w:p>
        </w:tc>
      </w:tr>
      <w:tr>
        <w:tc>
          <w:tcPr>
            <w:tcW w:type="dxa" w:w="3200"/>
            <w:tcMar>
              <w:top w:type="dxa" w:w="80"/>
              <w:left w:type="dxa" w:w="100"/>
              <w:bottom w:type="dxa" w:w="80"/>
              <w:right w:type="dxa" w:w="100"/>
            </w:tcMar>
          </w:tcPr>
          <w:p>
            <w:r>
              <w:rPr>
                <w:b w:val="false"/>
                <w:bCs w:val="false"/>
                <w:sz w:val="19"/>
                <w:szCs w:val="19"/>
              </w:rPr>
              <w:t xml:space="preserve">Scheduling / ETL</w:t>
            </w:r>
          </w:p>
        </w:tc>
        <w:tc>
          <w:tcPr>
            <w:tcW w:type="dxa" w:w="6100"/>
            <w:tcMar>
              <w:top w:type="dxa" w:w="80"/>
              <w:left w:type="dxa" w:w="100"/>
              <w:bottom w:type="dxa" w:w="80"/>
              <w:right w:type="dxa" w:w="100"/>
            </w:tcMar>
          </w:tcPr>
          <w:p>
            <w:r>
              <w:rPr>
                <w:b w:val="false"/>
                <w:bCs w:val="false"/>
                <w:sz w:val="19"/>
                <w:szCs w:val="19"/>
              </w:rPr>
              <w:t xml:space="preserve">Apache Airflow or cron (batch jobs matching portal update frequency)</w:t>
            </w:r>
          </w:p>
        </w:tc>
      </w:tr>
      <w:tr>
        <w:tc>
          <w:tcPr>
            <w:tcW w:type="dxa" w:w="3200"/>
            <w:tcMar>
              <w:top w:type="dxa" w:w="80"/>
              <w:left w:type="dxa" w:w="100"/>
              <w:bottom w:type="dxa" w:w="80"/>
              <w:right w:type="dxa" w:w="100"/>
            </w:tcMar>
          </w:tcPr>
          <w:p>
            <w:r>
              <w:rPr>
                <w:b w:val="false"/>
                <w:bCs w:val="false"/>
                <w:sz w:val="19"/>
                <w:szCs w:val="19"/>
              </w:rPr>
              <w:t xml:space="preserve">Frontend</w:t>
            </w:r>
          </w:p>
        </w:tc>
        <w:tc>
          <w:tcPr>
            <w:tcW w:type="dxa" w:w="6100"/>
            <w:tcMar>
              <w:top w:type="dxa" w:w="80"/>
              <w:left w:type="dxa" w:w="100"/>
              <w:bottom w:type="dxa" w:w="80"/>
              <w:right w:type="dxa" w:w="100"/>
            </w:tcMar>
          </w:tcPr>
          <w:p>
            <w:r>
              <w:rPr>
                <w:b w:val="false"/>
                <w:bCs w:val="false"/>
                <w:sz w:val="19"/>
                <w:szCs w:val="19"/>
              </w:rPr>
              <w:t xml:space="preserve">React, Tailwind CSS, Recharts / D3.js (vendor-network graphs)</w:t>
            </w:r>
          </w:p>
        </w:tc>
      </w:tr>
      <w:tr>
        <w:tc>
          <w:tcPr>
            <w:tcW w:type="dxa" w:w="3200"/>
            <w:tcMar>
              <w:top w:type="dxa" w:w="80"/>
              <w:left w:type="dxa" w:w="100"/>
              <w:bottom w:type="dxa" w:w="80"/>
              <w:right w:type="dxa" w:w="100"/>
            </w:tcMar>
          </w:tcPr>
          <w:p>
            <w:r>
              <w:rPr>
                <w:b w:val="false"/>
                <w:bCs w:val="false"/>
                <w:sz w:val="19"/>
                <w:szCs w:val="19"/>
              </w:rPr>
              <w:t xml:space="preserve">Auth</w:t>
            </w:r>
          </w:p>
        </w:tc>
        <w:tc>
          <w:tcPr>
            <w:tcW w:type="dxa" w:w="6100"/>
            <w:tcMar>
              <w:top w:type="dxa" w:w="80"/>
              <w:left w:type="dxa" w:w="100"/>
              <w:bottom w:type="dxa" w:w="80"/>
              <w:right w:type="dxa" w:w="100"/>
            </w:tcMar>
          </w:tcPr>
          <w:p>
            <w:r>
              <w:rPr>
                <w:b w:val="false"/>
                <w:bCs w:val="false"/>
                <w:sz w:val="19"/>
                <w:szCs w:val="19"/>
              </w:rPr>
              <w:t xml:space="preserve">JWT, role-based access control (MP / District / State / Ministry)</w:t>
            </w:r>
          </w:p>
        </w:tc>
      </w:tr>
      <w:tr>
        <w:tc>
          <w:tcPr>
            <w:tcW w:type="dxa" w:w="3200"/>
            <w:tcMar>
              <w:top w:type="dxa" w:w="80"/>
              <w:left w:type="dxa" w:w="100"/>
              <w:bottom w:type="dxa" w:w="80"/>
              <w:right w:type="dxa" w:w="100"/>
            </w:tcMar>
          </w:tcPr>
          <w:p>
            <w:r>
              <w:rPr>
                <w:b w:val="false"/>
                <w:bCs w:val="false"/>
                <w:sz w:val="19"/>
                <w:szCs w:val="19"/>
              </w:rPr>
              <w:t xml:space="preserve">Deployment</w:t>
            </w:r>
          </w:p>
        </w:tc>
        <w:tc>
          <w:tcPr>
            <w:tcW w:type="dxa" w:w="6100"/>
            <w:tcMar>
              <w:top w:type="dxa" w:w="80"/>
              <w:left w:type="dxa" w:w="100"/>
              <w:bottom w:type="dxa" w:w="80"/>
              <w:right w:type="dxa" w:w="100"/>
            </w:tcMar>
          </w:tcPr>
          <w:p>
            <w:r>
              <w:rPr>
                <w:b w:val="false"/>
                <w:bCs w:val="false"/>
                <w:sz w:val="19"/>
                <w:szCs w:val="19"/>
              </w:rPr>
              <w:t xml:space="preserve">Docker, docker-compose (single-VM or cloud, e.g. AWS/GCP)</w:t>
            </w:r>
          </w:p>
        </w:tc>
      </w:tr>
      <w:tr>
        <w:tc>
          <w:tcPr>
            <w:tcW w:type="dxa" w:w="3200"/>
            <w:tcMar>
              <w:top w:type="dxa" w:w="80"/>
              <w:left w:type="dxa" w:w="100"/>
              <w:bottom w:type="dxa" w:w="80"/>
              <w:right w:type="dxa" w:w="100"/>
            </w:tcMar>
          </w:tcPr>
          <w:p>
            <w:r>
              <w:rPr>
                <w:b w:val="false"/>
                <w:bCs w:val="false"/>
                <w:sz w:val="19"/>
                <w:szCs w:val="19"/>
              </w:rPr>
              <w:t xml:space="preserve">Version control</w:t>
            </w:r>
          </w:p>
        </w:tc>
        <w:tc>
          <w:tcPr>
            <w:tcW w:type="dxa" w:w="6100"/>
            <w:tcMar>
              <w:top w:type="dxa" w:w="80"/>
              <w:left w:type="dxa" w:w="100"/>
              <w:bottom w:type="dxa" w:w="80"/>
              <w:right w:type="dxa" w:w="100"/>
            </w:tcMar>
          </w:tcPr>
          <w:p>
            <w:r>
              <w:rPr>
                <w:b w:val="false"/>
                <w:bCs w:val="false"/>
                <w:sz w:val="19"/>
                <w:szCs w:val="19"/>
              </w:rPr>
              <w:t xml:space="preserve">Git / GitHub</w:t>
            </w:r>
          </w:p>
        </w:tc>
      </w:tr>
    </w:tbl>
    <w:p>
      <w:pPr>
        <w:pStyle w:val="Heading1"/>
        <w:spacing w:after="160" w:before="320"/>
      </w:pPr>
      <w:r>
        <w:t xml:space="preserve">10. Role-Based Dashboards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D9D9D9" w:val="clear"/>
            <w:tcMar>
              <w:top w:type="dxa" w:w="80"/>
              <w:left w:type="dxa" w:w="100"/>
              <w:bottom w:type="dxa" w:w="80"/>
              <w:right w:type="dxa" w:w="100"/>
            </w:tcMar>
          </w:tcPr>
          <w:p>
            <w:r>
              <w:rPr>
                <w:b/>
                <w:bCs/>
                <w:sz w:val="20"/>
                <w:szCs w:val="20"/>
              </w:rPr>
              <w:t xml:space="preserve">Stakeholder</w:t>
            </w:r>
          </w:p>
        </w:tc>
        <w:tc>
          <w:tcPr>
            <w:tcW w:type="dxa" w:w="6700"/>
            <w:shd w:fill="D9D9D9" w:val="clear"/>
            <w:tcMar>
              <w:top w:type="dxa" w:w="80"/>
              <w:left w:type="dxa" w:w="100"/>
              <w:bottom w:type="dxa" w:w="80"/>
              <w:right w:type="dxa" w:w="100"/>
            </w:tcMar>
          </w:tcPr>
          <w:p>
            <w:r>
              <w:rPr>
                <w:b/>
                <w:bCs/>
                <w:sz w:val="20"/>
                <w:szCs w:val="20"/>
              </w:rPr>
              <w:t xml:space="preserve">View</w:t>
            </w:r>
          </w:p>
        </w:tc>
      </w:tr>
      <w:tr>
        <w:tc>
          <w:tcPr>
            <w:tcW w:type="dxa" w:w="2600"/>
            <w:tcMar>
              <w:top w:type="dxa" w:w="80"/>
              <w:left w:type="dxa" w:w="100"/>
              <w:bottom w:type="dxa" w:w="80"/>
              <w:right w:type="dxa" w:w="100"/>
            </w:tcMar>
          </w:tcPr>
          <w:p>
            <w:r>
              <w:rPr>
                <w:b w:val="false"/>
                <w:bCs w:val="false"/>
                <w:sz w:val="19"/>
                <w:szCs w:val="19"/>
              </w:rPr>
              <w:t xml:space="preserve">Ministry (MoSPI)</w:t>
            </w:r>
          </w:p>
        </w:tc>
        <w:tc>
          <w:tcPr>
            <w:tcW w:type="dxa" w:w="6700"/>
            <w:tcMar>
              <w:top w:type="dxa" w:w="80"/>
              <w:left w:type="dxa" w:w="100"/>
              <w:bottom w:type="dxa" w:w="80"/>
              <w:right w:type="dxa" w:w="100"/>
            </w:tcMar>
          </w:tcPr>
          <w:p>
            <w:r>
              <w:rPr>
                <w:b w:val="false"/>
                <w:bCs w:val="false"/>
                <w:sz w:val="19"/>
                <w:szCs w:val="19"/>
              </w:rPr>
              <w:t xml:space="preserve">National heat-map of risk by state/IDA, top flagged vendors, scheme-wide trend charts, compliance summary</w:t>
            </w:r>
          </w:p>
        </w:tc>
      </w:tr>
      <w:tr>
        <w:tc>
          <w:tcPr>
            <w:tcW w:type="dxa" w:w="2600"/>
            <w:tcMar>
              <w:top w:type="dxa" w:w="80"/>
              <w:left w:type="dxa" w:w="100"/>
              <w:bottom w:type="dxa" w:w="80"/>
              <w:right w:type="dxa" w:w="100"/>
            </w:tcMar>
          </w:tcPr>
          <w:p>
            <w:r>
              <w:rPr>
                <w:b w:val="false"/>
                <w:bCs w:val="false"/>
                <w:sz w:val="19"/>
                <w:szCs w:val="19"/>
              </w:rPr>
              <w:t xml:space="preserve">State Nodal Authority</w:t>
            </w:r>
          </w:p>
        </w:tc>
        <w:tc>
          <w:tcPr>
            <w:tcW w:type="dxa" w:w="6700"/>
            <w:tcMar>
              <w:top w:type="dxa" w:w="80"/>
              <w:left w:type="dxa" w:w="100"/>
              <w:bottom w:type="dxa" w:w="80"/>
              <w:right w:type="dxa" w:w="100"/>
            </w:tcMar>
          </w:tcPr>
          <w:p>
            <w:r>
              <w:rPr>
                <w:b w:val="false"/>
                <w:bCs w:val="false"/>
                <w:sz w:val="19"/>
                <w:szCs w:val="19"/>
              </w:rPr>
              <w:t xml:space="preserve">State-level drill-down: districts ranked by risk, cross-district vendor patterns</w:t>
            </w:r>
          </w:p>
        </w:tc>
      </w:tr>
      <w:tr>
        <w:tc>
          <w:tcPr>
            <w:tcW w:type="dxa" w:w="2600"/>
            <w:tcMar>
              <w:top w:type="dxa" w:w="80"/>
              <w:left w:type="dxa" w:w="100"/>
              <w:bottom w:type="dxa" w:w="80"/>
              <w:right w:type="dxa" w:w="100"/>
            </w:tcMar>
          </w:tcPr>
          <w:p>
            <w:r>
              <w:rPr>
                <w:b w:val="false"/>
                <w:bCs w:val="false"/>
                <w:sz w:val="19"/>
                <w:szCs w:val="19"/>
              </w:rPr>
              <w:t xml:space="preserve">District Authority (IDA)</w:t>
            </w:r>
          </w:p>
        </w:tc>
        <w:tc>
          <w:tcPr>
            <w:tcW w:type="dxa" w:w="6700"/>
            <w:tcMar>
              <w:top w:type="dxa" w:w="80"/>
              <w:left w:type="dxa" w:w="100"/>
              <w:bottom w:type="dxa" w:w="80"/>
              <w:right w:type="dxa" w:w="100"/>
            </w:tcMar>
          </w:tcPr>
          <w:p>
            <w:r>
              <w:rPr>
                <w:b w:val="false"/>
                <w:bCs w:val="false"/>
                <w:sz w:val="19"/>
                <w:szCs w:val="19"/>
              </w:rPr>
              <w:t xml:space="preserve">Case queue for that district, SHAP explanation per flagged work, clear/escalate actions</w:t>
            </w:r>
          </w:p>
        </w:tc>
      </w:tr>
      <w:tr>
        <w:tc>
          <w:tcPr>
            <w:tcW w:type="dxa" w:w="2600"/>
            <w:tcMar>
              <w:top w:type="dxa" w:w="80"/>
              <w:left w:type="dxa" w:w="100"/>
              <w:bottom w:type="dxa" w:w="80"/>
              <w:right w:type="dxa" w:w="100"/>
            </w:tcMar>
          </w:tcPr>
          <w:p>
            <w:r>
              <w:rPr>
                <w:b w:val="false"/>
                <w:bCs w:val="false"/>
                <w:sz w:val="19"/>
                <w:szCs w:val="19"/>
              </w:rPr>
              <w:t xml:space="preserve">Member of Parliament</w:t>
            </w:r>
          </w:p>
        </w:tc>
        <w:tc>
          <w:tcPr>
            <w:tcW w:type="dxa" w:w="6700"/>
            <w:tcMar>
              <w:top w:type="dxa" w:w="80"/>
              <w:left w:type="dxa" w:w="100"/>
              <w:bottom w:type="dxa" w:w="80"/>
              <w:right w:type="dxa" w:w="100"/>
            </w:tcMar>
          </w:tcPr>
          <w:p>
            <w:r>
              <w:rPr>
                <w:b w:val="false"/>
                <w:bCs w:val="false"/>
                <w:sz w:val="19"/>
                <w:szCs w:val="19"/>
              </w:rPr>
              <w:t xml:space="preserve">Personal transparency view: allocation utilization, portfolio compliance status (SC/ST quota, disallowed-category checks) — framed as self-verification, not accusation</w:t>
            </w:r>
          </w:p>
        </w:tc>
      </w:tr>
    </w:tbl>
    <w:p>
      <w:pPr>
        <w:jc w:val="center"/>
      </w:pPr>
      <w:r>
        <w:drawing>
          <wp:inline xmlns:a="http://schemas.openxmlformats.org/drawingml/2006/main" xmlns:pic="http://schemas.openxmlformats.org/drawingml/2006/picture">
            <wp:extent cx="5760720" cy="2905476"/>
            <wp:docPr id="8" name="Picture 8"/>
            <wp:cNvGraphicFramePr>
              <a:graphicFrameLocks noChangeAspect="1"/>
            </wp:cNvGraphicFramePr>
            <a:graphic>
              <a:graphicData uri="http://schemas.openxmlformats.org/drawingml/2006/picture">
                <pic:pic>
                  <pic:nvPicPr>
                    <pic:cNvPr id="0" name="d8_dashboards.png"/>
                    <pic:cNvPicPr/>
                  </pic:nvPicPr>
                  <pic:blipFill>
                    <a:blip r:embed="rId15"/>
                    <a:stretch>
                      <a:fillRect/>
                    </a:stretch>
                  </pic:blipFill>
                  <pic:spPr>
                    <a:xfrm>
                      <a:off x="0" y="0"/>
                      <a:ext cx="5760720" cy="2905476"/>
                    </a:xfrm>
                    <a:prstGeom prst="rect"/>
                  </pic:spPr>
                </pic:pic>
              </a:graphicData>
            </a:graphic>
          </wp:inline>
        </w:drawing>
      </w:r>
    </w:p>
    <w:p>
      <w:pPr>
        <w:jc w:val="center"/>
      </w:pPr>
      <w:r>
        <w:rPr>
          <w:i/>
          <w:color w:val="555555"/>
          <w:sz w:val="18"/>
        </w:rPr>
        <w:t>Figure 8: One shared risk engine, four role-based dashboard views.</w:t>
      </w:r>
    </w:p>
    <w:p>
      <w:pPr>
        <w:pStyle w:val="Heading1"/>
        <w:spacing w:after="160" w:before="320"/>
      </w:pPr>
      <w:r>
        <w:t xml:space="preserve">11. API Design (indicative)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6100"/>
      </w:tblGrid>
      <w:tr>
        <w:trPr>
          <w:tblHeader/>
        </w:trPr>
        <w:tc>
          <w:tcPr>
            <w:tcW w:type="dxa" w:w="3200"/>
            <w:shd w:fill="D9D9D9" w:val="clear"/>
            <w:tcMar>
              <w:top w:type="dxa" w:w="80"/>
              <w:left w:type="dxa" w:w="100"/>
              <w:bottom w:type="dxa" w:w="80"/>
              <w:right w:type="dxa" w:w="100"/>
            </w:tcMar>
          </w:tcPr>
          <w:p>
            <w:r>
              <w:rPr>
                <w:b/>
                <w:bCs/>
                <w:sz w:val="20"/>
                <w:szCs w:val="20"/>
              </w:rPr>
              <w:t xml:space="preserve">Endpoint</w:t>
            </w:r>
          </w:p>
        </w:tc>
        <w:tc>
          <w:tcPr>
            <w:tcW w:type="dxa" w:w="6100"/>
            <w:shd w:fill="D9D9D9" w:val="clear"/>
            <w:tcMar>
              <w:top w:type="dxa" w:w="80"/>
              <w:left w:type="dxa" w:w="100"/>
              <w:bottom w:type="dxa" w:w="80"/>
              <w:right w:type="dxa" w:w="100"/>
            </w:tcMar>
          </w:tcPr>
          <w:p>
            <w:r>
              <w:rPr>
                <w:b/>
                <w:bCs/>
                <w:sz w:val="20"/>
                <w:szCs w:val="20"/>
              </w:rPr>
              <w:t xml:space="preserve">Purpose</w:t>
            </w:r>
          </w:p>
        </w:tc>
      </w:tr>
      <w:tr>
        <w:tc>
          <w:tcPr>
            <w:tcW w:type="dxa" w:w="3200"/>
            <w:tcMar>
              <w:top w:type="dxa" w:w="80"/>
              <w:left w:type="dxa" w:w="100"/>
              <w:bottom w:type="dxa" w:w="80"/>
              <w:right w:type="dxa" w:w="100"/>
            </w:tcMar>
          </w:tcPr>
          <w:p>
            <w:r>
              <w:rPr>
                <w:b w:val="false"/>
                <w:bCs w:val="false"/>
                <w:sz w:val="19"/>
                <w:szCs w:val="19"/>
              </w:rPr>
              <w:t xml:space="preserve">POST /ingest</w:t>
            </w:r>
          </w:p>
        </w:tc>
        <w:tc>
          <w:tcPr>
            <w:tcW w:type="dxa" w:w="6100"/>
            <w:tcMar>
              <w:top w:type="dxa" w:w="80"/>
              <w:left w:type="dxa" w:w="100"/>
              <w:bottom w:type="dxa" w:w="80"/>
              <w:right w:type="dxa" w:w="100"/>
            </w:tcMar>
          </w:tcPr>
          <w:p>
            <w:r>
              <w:rPr>
                <w:b w:val="false"/>
                <w:bCs w:val="false"/>
                <w:sz w:val="19"/>
                <w:szCs w:val="19"/>
              </w:rPr>
              <w:t xml:space="preserve">Load/refresh a batch of source table exports</w:t>
            </w:r>
          </w:p>
        </w:tc>
      </w:tr>
      <w:tr>
        <w:tc>
          <w:tcPr>
            <w:tcW w:type="dxa" w:w="3200"/>
            <w:tcMar>
              <w:top w:type="dxa" w:w="80"/>
              <w:left w:type="dxa" w:w="100"/>
              <w:bottom w:type="dxa" w:w="80"/>
              <w:right w:type="dxa" w:w="100"/>
            </w:tcMar>
          </w:tcPr>
          <w:p>
            <w:r>
              <w:rPr>
                <w:b w:val="false"/>
                <w:bCs w:val="false"/>
                <w:sz w:val="19"/>
                <w:szCs w:val="19"/>
              </w:rPr>
              <w:t xml:space="preserve">GET /works/{work_id}/risk</w:t>
            </w:r>
          </w:p>
        </w:tc>
        <w:tc>
          <w:tcPr>
            <w:tcW w:type="dxa" w:w="6100"/>
            <w:tcMar>
              <w:top w:type="dxa" w:w="80"/>
              <w:left w:type="dxa" w:w="100"/>
              <w:bottom w:type="dxa" w:w="80"/>
              <w:right w:type="dxa" w:w="100"/>
            </w:tcMar>
          </w:tcPr>
          <w:p>
            <w:r>
              <w:rPr>
                <w:b w:val="false"/>
                <w:bCs w:val="false"/>
                <w:sz w:val="19"/>
                <w:szCs w:val="19"/>
              </w:rPr>
              <w:t xml:space="preserve">Retrieve risk score, tier and SHAP explanation for a work</w:t>
            </w:r>
          </w:p>
        </w:tc>
      </w:tr>
      <w:tr>
        <w:tc>
          <w:tcPr>
            <w:tcW w:type="dxa" w:w="3200"/>
            <w:tcMar>
              <w:top w:type="dxa" w:w="80"/>
              <w:left w:type="dxa" w:w="100"/>
              <w:bottom w:type="dxa" w:w="80"/>
              <w:right w:type="dxa" w:w="100"/>
            </w:tcMar>
          </w:tcPr>
          <w:p>
            <w:r>
              <w:rPr>
                <w:b w:val="false"/>
                <w:bCs w:val="false"/>
                <w:sz w:val="19"/>
                <w:szCs w:val="19"/>
              </w:rPr>
              <w:t xml:space="preserve">GET /alerts?tier=high&amp;state=...</w:t>
            </w:r>
          </w:p>
        </w:tc>
        <w:tc>
          <w:tcPr>
            <w:tcW w:type="dxa" w:w="6100"/>
            <w:tcMar>
              <w:top w:type="dxa" w:w="80"/>
              <w:left w:type="dxa" w:w="100"/>
              <w:bottom w:type="dxa" w:w="80"/>
              <w:right w:type="dxa" w:w="100"/>
            </w:tcMar>
          </w:tcPr>
          <w:p>
            <w:r>
              <w:rPr>
                <w:b w:val="false"/>
                <w:bCs w:val="false"/>
                <w:sz w:val="19"/>
                <w:szCs w:val="19"/>
              </w:rPr>
              <w:t xml:space="preserve">List flagged works, filterable by tier, state, IDA, MP</w:t>
            </w:r>
          </w:p>
        </w:tc>
      </w:tr>
      <w:tr>
        <w:tc>
          <w:tcPr>
            <w:tcW w:type="dxa" w:w="3200"/>
            <w:tcMar>
              <w:top w:type="dxa" w:w="80"/>
              <w:left w:type="dxa" w:w="100"/>
              <w:bottom w:type="dxa" w:w="80"/>
              <w:right w:type="dxa" w:w="100"/>
            </w:tcMar>
          </w:tcPr>
          <w:p>
            <w:r>
              <w:rPr>
                <w:b w:val="false"/>
                <w:bCs w:val="false"/>
                <w:sz w:val="19"/>
                <w:szCs w:val="19"/>
              </w:rPr>
              <w:t xml:space="preserve">POST /cases/{work_id}/action</w:t>
            </w:r>
          </w:p>
        </w:tc>
        <w:tc>
          <w:tcPr>
            <w:tcW w:type="dxa" w:w="6100"/>
            <w:tcMar>
              <w:top w:type="dxa" w:w="80"/>
              <w:left w:type="dxa" w:w="100"/>
              <w:bottom w:type="dxa" w:w="80"/>
              <w:right w:type="dxa" w:w="100"/>
            </w:tcMar>
          </w:tcPr>
          <w:p>
            <w:r>
              <w:rPr>
                <w:b w:val="false"/>
                <w:bCs w:val="false"/>
                <w:sz w:val="19"/>
                <w:szCs w:val="19"/>
              </w:rPr>
              <w:t xml:space="preserve">Auditor records cleared / escalated / confirmed decision</w:t>
            </w:r>
          </w:p>
        </w:tc>
      </w:tr>
      <w:tr>
        <w:tc>
          <w:tcPr>
            <w:tcW w:type="dxa" w:w="3200"/>
            <w:tcMar>
              <w:top w:type="dxa" w:w="80"/>
              <w:left w:type="dxa" w:w="100"/>
              <w:bottom w:type="dxa" w:w="80"/>
              <w:right w:type="dxa" w:w="100"/>
            </w:tcMar>
          </w:tcPr>
          <w:p>
            <w:r>
              <w:rPr>
                <w:b w:val="false"/>
                <w:bCs w:val="false"/>
                <w:sz w:val="19"/>
                <w:szCs w:val="19"/>
              </w:rPr>
              <w:t xml:space="preserve">GET /dashboard/summary?role=...</w:t>
            </w:r>
          </w:p>
        </w:tc>
        <w:tc>
          <w:tcPr>
            <w:tcW w:type="dxa" w:w="6100"/>
            <w:tcMar>
              <w:top w:type="dxa" w:w="80"/>
              <w:left w:type="dxa" w:w="100"/>
              <w:bottom w:type="dxa" w:w="80"/>
              <w:right w:type="dxa" w:w="100"/>
            </w:tcMar>
          </w:tcPr>
          <w:p>
            <w:r>
              <w:rPr>
                <w:b w:val="false"/>
                <w:bCs w:val="false"/>
                <w:sz w:val="19"/>
                <w:szCs w:val="19"/>
              </w:rPr>
              <w:t xml:space="preserve">Aggregated view scoped to the caller's role</w:t>
            </w:r>
          </w:p>
        </w:tc>
      </w:tr>
    </w:tbl>
    <w:p>
      <w:pPr>
        <w:pStyle w:val="Heading1"/>
        <w:spacing w:after="160" w:before="320"/>
      </w:pPr>
      <w:r>
        <w:t xml:space="preserve">12. Evaluation Strategy</w:t>
      </w:r>
    </w:p>
    <w:p>
      <w:pPr>
        <w:pStyle w:val="ListParagraph"/>
        <w:numPr>
          <w:ilvl w:val="0"/>
          <w:numId w:val="2"/>
        </w:numPr>
        <w:spacing w:after="60"/>
      </w:pPr>
      <w:r>
        <w:t xml:space="preserve">Ground-truth validation: run the trained model against known irregularity cases published in CAG audit reports and report how many the model would have flagged.</w:t>
      </w:r>
    </w:p>
    <w:p>
      <w:pPr>
        <w:pStyle w:val="ListParagraph"/>
        <w:numPr>
          <w:ilvl w:val="0"/>
          <w:numId w:val="2"/>
        </w:numPr>
        <w:spacing w:after="60"/>
      </w:pPr>
      <w:r>
        <w:t xml:space="preserve">Rule-violation recall: 100% by construction for hard-rule checks (1-year rule, allocation ceiling, disallowed categories) since these are deterministic.</w:t>
      </w:r>
    </w:p>
    <w:p>
      <w:pPr>
        <w:pStyle w:val="ListParagraph"/>
        <w:numPr>
          <w:ilvl w:val="0"/>
          <w:numId w:val="2"/>
        </w:numPr>
        <w:spacing w:after="60"/>
      </w:pPr>
      <w:r>
        <w:t xml:space="preserve">Precision on ML-only flags: manual audit-style review of a sample of Medium/High tier flags that are not hard-rule violations.</w:t>
      </w:r>
    </w:p>
    <w:p>
      <w:pPr>
        <w:pStyle w:val="ListParagraph"/>
        <w:numPr>
          <w:ilvl w:val="0"/>
          <w:numId w:val="2"/>
        </w:numPr>
        <w:spacing w:after="60"/>
      </w:pPr>
      <w:r>
        <w:t xml:space="preserve">Continuous evaluation: auditor clear/escalate/confirm decisions logged and used to track precision drift over time.</w:t>
      </w:r>
    </w:p>
    <w:p>
      <w:pPr>
        <w:pStyle w:val="Heading1"/>
        <w:spacing w:after="160" w:before="320"/>
      </w:pPr>
      <w:r>
        <w:t xml:space="preserve">13. Deployment &amp; Scalability</w:t>
      </w:r>
    </w:p>
    <w:p>
      <w:pPr>
        <w:spacing w:after="160"/>
      </w:pPr>
      <w:r>
        <w:t xml:space="preserve">The current tables (85K+ expenditure rows, 35K+ completed works) run comfortably on a single-node batch pipeline. The architecture scales horizontally: the ETL/feature/scoring stages are stateless batch jobs that can be sharded by state, and PostgreSQL/FastAPI scale independently of the ML layer. A scheduled batch run (daily or weekly, matching the portal's own update cadence) re-scores new and updated works; no real-time streaming is required for the current data-availability model.</w:t>
      </w:r>
    </w:p>
    <w:p>
      <w:pPr>
        <w:pStyle w:val="Heading1"/>
        <w:spacing w:after="160" w:before="320"/>
      </w:pPr>
      <w:r>
        <w:t xml:space="preserve">14. Limitations &amp; Future Scope</w:t>
      </w:r>
    </w:p>
    <w:p>
      <w:pPr>
        <w:pStyle w:val="ListParagraph"/>
        <w:numPr>
          <w:ilvl w:val="0"/>
          <w:numId w:val="2"/>
        </w:numPr>
        <w:spacing w:after="60"/>
      </w:pPr>
      <w:r>
        <w:t xml:space="preserve">No official MPLADS fraud ground truth exists publicly — mitigated via CAG report cross-validation, but should be stated plainly to reviewers.</w:t>
      </w:r>
    </w:p>
    <w:p>
      <w:pPr>
        <w:pStyle w:val="ListParagraph"/>
        <w:numPr>
          <w:ilvl w:val="0"/>
          <w:numId w:val="2"/>
        </w:numPr>
        <w:spacing w:after="60"/>
      </w:pPr>
      <w:r>
        <w:t xml:space="preserve">Completion images are largely unavailable in the current export (placeholder “Images” text rather than files/links) — duplicate-image detection needs a confirmed image data source from the Ministry.</w:t>
      </w:r>
    </w:p>
    <w:p>
      <w:pPr>
        <w:pStyle w:val="ListParagraph"/>
        <w:numPr>
          <w:ilvl w:val="0"/>
          <w:numId w:val="2"/>
        </w:numPr>
        <w:spacing w:after="60"/>
      </w:pPr>
      <w:r>
        <w:t xml:space="preserve">Fund-misuse (category drift) detection depends on the work_id remaining consistent across the sanction and completion stages; this should be validated on the full dataset before being presented as a fully solved capability.</w:t>
      </w:r>
    </w:p>
    <w:p>
      <w:pPr>
        <w:pStyle w:val="ListParagraph"/>
        <w:numPr>
          <w:ilvl w:val="0"/>
          <w:numId w:val="2"/>
        </w:numPr>
        <w:spacing w:after="60"/>
      </w:pPr>
      <w:r>
        <w:t xml:space="preserve">Cost-overrun detection currently compares Disbursed vs. Sanctioned amount; adding state PWD Schedule-of-Rates benchmarks would turn this into an even stronger “% above official government rate” metric.</w:t>
      </w:r>
    </w:p>
    <w:p>
      <w:pPr>
        <w:pStyle w:val="ListParagraph"/>
        <w:numPr>
          <w:ilvl w:val="0"/>
          <w:numId w:val="2"/>
        </w:numPr>
        <w:spacing w:after="60"/>
      </w:pPr>
      <w:r>
        <w:t xml:space="preserve">Full satellite-based before/after construction verification is scoped as a future phase requiring integration with open satellite imagery (e.g. Sentinel-2) and is not part of the current build.</w:t>
      </w:r>
    </w:p>
    <w:p>
      <w:pPr>
        <w:pStyle w:val="ListParagraph"/>
        <w:numPr>
          <w:ilvl w:val="0"/>
          <w:numId w:val="2"/>
        </w:numPr>
        <w:spacing w:after="60"/>
      </w:pPr>
      <w:r>
        <w:t xml:space="preserve">Regional-language (Hindi and other) text in Work Description shows encoding issues in the current export; a language-aware cleaning/OCR step would improve text-similarity accuracy.</w:t>
      </w:r>
    </w:p>
    <w:p>
      <w:pPr>
        <w:pBdr>
          <w:bottom w:val="single" w:color="AAAAAA" w:sz="6" w:space="1"/>
        </w:pBdr>
        <w:spacing w:after="200"/>
      </w:pPr>
    </w:p>
    <w:p>
      <w:r>
        <w:rPr>
          <w:i/>
          <w:iCs/>
          <w:color w:val="777777"/>
          <w:sz w:val="18"/>
          <w:szCs w:val="18"/>
        </w:rPr>
        <w:t xml:space="preserve">Prepared as a technical solution reference for SIH 2026, Problem Statement 26102 (MoSPI — DIID).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2026-09-12T16:20:08.094Z</dcterms:created>
  <dcterms:modified xsi:type="dcterms:W3CDTF">2026-09-12T16:20:08.105Z</dcterms:modified>
</cp:coreProperties>
</file>

<file path=docProps/custom.xml><?xml version="1.0" encoding="utf-8"?>
<Properties xmlns="http://schemas.openxmlformats.org/officeDocument/2006/custom-properties" xmlns:vt="http://schemas.openxmlformats.org/officeDocument/2006/docPropsVTypes"/>
</file>