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0E1BA" w14:textId="77777777" w:rsidR="001D2C0D" w:rsidRDefault="001D2C0D"/>
    <w:p w14:paraId="19718CFC" w14:textId="77777777" w:rsidR="001D2C0D" w:rsidRDefault="001D2C0D">
      <w:bookmarkStart w:id="0" w:name="_Hlk209299158"/>
    </w:p>
    <w:tbl>
      <w:tblPr>
        <w:tblStyle w:val="a8"/>
        <w:tblW w:w="9640" w:type="dxa"/>
        <w:tblInd w:w="-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40"/>
      </w:tblGrid>
      <w:tr w:rsidR="003D6CAC" w:rsidRPr="000071E2" w14:paraId="24603CB8" w14:textId="77777777" w:rsidTr="69C09A3B">
        <w:trPr>
          <w:trHeight w:val="1623"/>
        </w:trPr>
        <w:tc>
          <w:tcPr>
            <w:tcW w:w="9640" w:type="dxa"/>
            <w:tcBorders>
              <w:top w:val="nil"/>
              <w:left w:val="nil"/>
              <w:bottom w:val="nil"/>
              <w:right w:val="nil"/>
            </w:tcBorders>
          </w:tcPr>
          <w:p w14:paraId="5A361B2B" w14:textId="77777777" w:rsidR="001D2C0D" w:rsidRDefault="001D2C0D" w:rsidP="001D2C0D">
            <w:pPr>
              <w:pBdr>
                <w:top w:val="nil"/>
                <w:left w:val="nil"/>
                <w:bottom w:val="nil"/>
                <w:right w:val="nil"/>
                <w:between w:val="nil"/>
              </w:pBdr>
              <w:tabs>
                <w:tab w:val="center" w:pos="4252"/>
                <w:tab w:val="right" w:pos="8504"/>
              </w:tabs>
              <w:spacing w:before="120"/>
              <w:ind w:right="-25"/>
              <w:jc w:val="center"/>
              <w:rPr>
                <w:b/>
                <w:sz w:val="28"/>
                <w:szCs w:val="28"/>
              </w:rPr>
            </w:pPr>
            <w:r>
              <w:rPr>
                <w:b/>
                <w:sz w:val="28"/>
                <w:szCs w:val="28"/>
              </w:rPr>
              <w:t xml:space="preserve">STUDY OF IMPACTS OF STOCK MARKET RUMORS ON </w:t>
            </w:r>
          </w:p>
          <w:p w14:paraId="68BD2626" w14:textId="77777777" w:rsidR="001D2C0D" w:rsidRDefault="001D2C0D" w:rsidP="001D2C0D">
            <w:pPr>
              <w:pBdr>
                <w:top w:val="nil"/>
                <w:left w:val="nil"/>
                <w:bottom w:val="nil"/>
                <w:right w:val="nil"/>
                <w:between w:val="nil"/>
              </w:pBdr>
              <w:tabs>
                <w:tab w:val="center" w:pos="4252"/>
                <w:tab w:val="right" w:pos="8504"/>
              </w:tabs>
              <w:spacing w:before="120"/>
              <w:ind w:right="-25"/>
              <w:jc w:val="center"/>
              <w:rPr>
                <w:b/>
                <w:color w:val="000000"/>
                <w:sz w:val="28"/>
                <w:szCs w:val="28"/>
              </w:rPr>
            </w:pPr>
            <w:r>
              <w:rPr>
                <w:b/>
                <w:sz w:val="28"/>
                <w:szCs w:val="28"/>
              </w:rPr>
              <w:t>STOCK PRICES IN VIETNAMESE BANKING INDUSTRY USING AI/ML</w:t>
            </w:r>
          </w:p>
          <w:p w14:paraId="2C5A03DF" w14:textId="77777777" w:rsidR="003D6CAC" w:rsidRPr="000071E2" w:rsidRDefault="00436226">
            <w:pPr>
              <w:spacing w:before="120"/>
              <w:jc w:val="center"/>
              <w:rPr>
                <w:b/>
                <w:i/>
                <w:color w:val="000000"/>
                <w:sz w:val="20"/>
                <w:szCs w:val="20"/>
              </w:rPr>
            </w:pPr>
            <w:r w:rsidRPr="000071E2">
              <w:rPr>
                <w:b/>
                <w:i/>
                <w:color w:val="000000"/>
                <w:sz w:val="20"/>
                <w:szCs w:val="20"/>
              </w:rPr>
              <w:t>The 13</w:t>
            </w:r>
            <w:r w:rsidRPr="000071E2">
              <w:rPr>
                <w:b/>
                <w:i/>
                <w:color w:val="000000"/>
                <w:sz w:val="20"/>
                <w:szCs w:val="20"/>
                <w:vertAlign w:val="superscript"/>
              </w:rPr>
              <w:t>th</w:t>
            </w:r>
            <w:r w:rsidRPr="000071E2">
              <w:rPr>
                <w:b/>
                <w:i/>
                <w:color w:val="000000"/>
                <w:sz w:val="20"/>
                <w:szCs w:val="20"/>
              </w:rPr>
              <w:t xml:space="preserve"> International Conference on Emerging Challenges: Business Dynamics in Disruptive Economy </w:t>
            </w:r>
          </w:p>
          <w:p w14:paraId="14533D82" w14:textId="77777777" w:rsidR="003D6CAC" w:rsidRPr="000071E2" w:rsidRDefault="003D6CAC">
            <w:pPr>
              <w:spacing w:before="120"/>
              <w:jc w:val="center"/>
              <w:rPr>
                <w:b/>
                <w:sz w:val="20"/>
                <w:szCs w:val="20"/>
              </w:rPr>
            </w:pPr>
          </w:p>
          <w:p w14:paraId="519B52C6" w14:textId="37744E25" w:rsidR="00C06A33" w:rsidRPr="000071E2" w:rsidRDefault="00C06A33" w:rsidP="00C06A33">
            <w:pPr>
              <w:spacing w:before="120"/>
              <w:jc w:val="center"/>
              <w:rPr>
                <w:sz w:val="20"/>
                <w:szCs w:val="20"/>
              </w:rPr>
            </w:pPr>
            <w:r w:rsidRPr="000071E2">
              <w:rPr>
                <w:sz w:val="20"/>
                <w:szCs w:val="20"/>
              </w:rPr>
              <w:t>Thai Minh Hanh</w:t>
            </w:r>
            <w:r w:rsidRPr="000071E2">
              <w:rPr>
                <w:sz w:val="20"/>
                <w:szCs w:val="20"/>
                <w:vertAlign w:val="superscript"/>
              </w:rPr>
              <w:t>1</w:t>
            </w:r>
            <w:r w:rsidRPr="000071E2">
              <w:rPr>
                <w:sz w:val="20"/>
                <w:szCs w:val="20"/>
              </w:rPr>
              <w:t>, Le Hai Ha</w:t>
            </w:r>
            <w:r w:rsidRPr="000071E2">
              <w:rPr>
                <w:sz w:val="20"/>
                <w:szCs w:val="20"/>
                <w:vertAlign w:val="superscript"/>
              </w:rPr>
              <w:t>2</w:t>
            </w:r>
            <w:r w:rsidRPr="000071E2">
              <w:rPr>
                <w:sz w:val="20"/>
                <w:szCs w:val="20"/>
              </w:rPr>
              <w:t>, Bui Anh Van</w:t>
            </w:r>
            <w:r w:rsidRPr="000071E2">
              <w:rPr>
                <w:sz w:val="20"/>
                <w:szCs w:val="20"/>
                <w:vertAlign w:val="superscript"/>
              </w:rPr>
              <w:t>3</w:t>
            </w:r>
            <w:r w:rsidR="00A71A87" w:rsidRPr="000071E2">
              <w:rPr>
                <w:sz w:val="20"/>
                <w:szCs w:val="20"/>
                <w:vertAlign w:val="superscript"/>
              </w:rPr>
              <w:t>*</w:t>
            </w:r>
            <w:r w:rsidRPr="000071E2">
              <w:rPr>
                <w:sz w:val="20"/>
                <w:szCs w:val="20"/>
              </w:rPr>
              <w:t>, Hoang Ha Linh</w:t>
            </w:r>
            <w:r w:rsidRPr="000071E2">
              <w:rPr>
                <w:sz w:val="20"/>
                <w:szCs w:val="20"/>
                <w:vertAlign w:val="superscript"/>
              </w:rPr>
              <w:t>3 </w:t>
            </w:r>
          </w:p>
          <w:p w14:paraId="4EC363ED" w14:textId="77777777" w:rsidR="00C06A33" w:rsidRPr="000071E2" w:rsidRDefault="00C06A33" w:rsidP="00C06A33">
            <w:pPr>
              <w:spacing w:before="120"/>
              <w:jc w:val="center"/>
              <w:rPr>
                <w:sz w:val="20"/>
                <w:szCs w:val="20"/>
              </w:rPr>
            </w:pPr>
            <w:r w:rsidRPr="000071E2">
              <w:rPr>
                <w:sz w:val="20"/>
                <w:szCs w:val="20"/>
                <w:vertAlign w:val="superscript"/>
              </w:rPr>
              <w:t>1</w:t>
            </w:r>
            <w:r w:rsidRPr="000071E2">
              <w:rPr>
                <w:sz w:val="20"/>
                <w:szCs w:val="20"/>
              </w:rPr>
              <w:t xml:space="preserve"> Faculty of Business, School of Economics and Management, Hanoi University of Science and Technology, Hanoi, Vietnam</w:t>
            </w:r>
          </w:p>
          <w:p w14:paraId="38DD4773" w14:textId="77777777" w:rsidR="00C06A33" w:rsidRPr="000071E2" w:rsidRDefault="00C06A33" w:rsidP="00C06A33">
            <w:pPr>
              <w:spacing w:before="120"/>
              <w:jc w:val="center"/>
              <w:rPr>
                <w:sz w:val="20"/>
                <w:szCs w:val="20"/>
              </w:rPr>
            </w:pPr>
            <w:r w:rsidRPr="000071E2">
              <w:rPr>
                <w:sz w:val="20"/>
                <w:szCs w:val="20"/>
                <w:vertAlign w:val="superscript"/>
              </w:rPr>
              <w:t>2</w:t>
            </w:r>
            <w:r w:rsidRPr="000071E2">
              <w:rPr>
                <w:sz w:val="20"/>
                <w:szCs w:val="20"/>
              </w:rPr>
              <w:t xml:space="preserve"> Faculty of Mathematics and Informatics, Hanoi University of Science and Technology, Hanoi, Vietnam</w:t>
            </w:r>
          </w:p>
          <w:p w14:paraId="1C0AE424" w14:textId="2DCABBAC" w:rsidR="00C06A33" w:rsidRPr="000071E2" w:rsidRDefault="00C06A33" w:rsidP="00C06A33">
            <w:pPr>
              <w:spacing w:before="120"/>
              <w:jc w:val="center"/>
              <w:rPr>
                <w:sz w:val="20"/>
                <w:szCs w:val="20"/>
              </w:rPr>
            </w:pPr>
            <w:r w:rsidRPr="000071E2">
              <w:rPr>
                <w:sz w:val="20"/>
                <w:szCs w:val="20"/>
                <w:vertAlign w:val="superscript"/>
              </w:rPr>
              <w:t>3</w:t>
            </w:r>
            <w:r w:rsidRPr="000071E2">
              <w:rPr>
                <w:sz w:val="20"/>
                <w:szCs w:val="20"/>
              </w:rPr>
              <w:t xml:space="preserve"> Faculty of Business, School of Economics and Management, Hanoi University of Science and Technology, Hanoi, Vietnam</w:t>
            </w:r>
          </w:p>
          <w:p w14:paraId="1E22493C" w14:textId="47885B16" w:rsidR="003D6CAC" w:rsidRPr="000071E2" w:rsidRDefault="00C06A33" w:rsidP="00C06A33">
            <w:pPr>
              <w:spacing w:before="120"/>
              <w:jc w:val="center"/>
              <w:rPr>
                <w:sz w:val="20"/>
                <w:szCs w:val="20"/>
              </w:rPr>
            </w:pPr>
            <w:r w:rsidRPr="000071E2">
              <w:rPr>
                <w:sz w:val="20"/>
                <w:szCs w:val="20"/>
                <w:vertAlign w:val="superscript"/>
              </w:rPr>
              <w:t>*</w:t>
            </w:r>
            <w:r w:rsidRPr="000071E2">
              <w:rPr>
                <w:sz w:val="20"/>
                <w:szCs w:val="20"/>
              </w:rPr>
              <w:t xml:space="preserve">Corresponding author: </w:t>
            </w:r>
            <w:hyperlink r:id="rId7" w:history="1">
              <w:r w:rsidR="00A71A87" w:rsidRPr="000071E2">
                <w:rPr>
                  <w:rStyle w:val="Hyperlink"/>
                  <w:sz w:val="20"/>
                  <w:szCs w:val="20"/>
                </w:rPr>
                <w:t>buianhvan17@gmail.com</w:t>
              </w:r>
            </w:hyperlink>
          </w:p>
        </w:tc>
      </w:tr>
      <w:tr w:rsidR="003D6CAC" w:rsidRPr="000071E2" w14:paraId="63ED6141" w14:textId="77777777" w:rsidTr="69C09A3B">
        <w:trPr>
          <w:trHeight w:val="797"/>
        </w:trPr>
        <w:tc>
          <w:tcPr>
            <w:tcW w:w="9640" w:type="dxa"/>
            <w:tcBorders>
              <w:top w:val="nil"/>
              <w:left w:val="nil"/>
              <w:bottom w:val="nil"/>
              <w:right w:val="nil"/>
            </w:tcBorders>
            <w:vAlign w:val="center"/>
          </w:tcPr>
          <w:p w14:paraId="1B0621FB" w14:textId="77777777" w:rsidR="003D6CAC" w:rsidRPr="000071E2" w:rsidRDefault="00436226">
            <w:pPr>
              <w:tabs>
                <w:tab w:val="center" w:pos="4252"/>
                <w:tab w:val="right" w:pos="8504"/>
              </w:tabs>
              <w:spacing w:before="120"/>
              <w:ind w:right="-25"/>
              <w:rPr>
                <w:b/>
                <w:sz w:val="20"/>
                <w:szCs w:val="20"/>
              </w:rPr>
            </w:pPr>
            <w:r w:rsidRPr="000071E2">
              <w:rPr>
                <w:b/>
                <w:sz w:val="20"/>
                <w:szCs w:val="20"/>
              </w:rPr>
              <w:t>Abstract</w:t>
            </w:r>
          </w:p>
          <w:p w14:paraId="55C9EC67" w14:textId="77777777" w:rsidR="003D6CAC" w:rsidRPr="000071E2" w:rsidRDefault="003D6CAC">
            <w:pPr>
              <w:rPr>
                <w:sz w:val="20"/>
                <w:szCs w:val="20"/>
              </w:rPr>
            </w:pPr>
          </w:p>
          <w:p w14:paraId="3E7F2195" w14:textId="77777777" w:rsidR="003D6CAC" w:rsidRPr="000071E2" w:rsidRDefault="00436226">
            <w:pPr>
              <w:rPr>
                <w:b/>
                <w:sz w:val="20"/>
                <w:szCs w:val="20"/>
              </w:rPr>
            </w:pPr>
            <w:r w:rsidRPr="000071E2">
              <w:rPr>
                <w:b/>
                <w:sz w:val="20"/>
                <w:szCs w:val="20"/>
              </w:rPr>
              <w:t xml:space="preserve">Research purpose: </w:t>
            </w:r>
          </w:p>
          <w:p w14:paraId="38A7C25E" w14:textId="125429C0" w:rsidR="003D6CAC" w:rsidRPr="000071E2" w:rsidRDefault="69C09A3B" w:rsidP="00036EEF">
            <w:pPr>
              <w:jc w:val="both"/>
              <w:rPr>
                <w:i/>
                <w:iCs/>
                <w:sz w:val="20"/>
                <w:szCs w:val="20"/>
              </w:rPr>
            </w:pPr>
            <w:r w:rsidRPr="000071E2">
              <w:rPr>
                <w:i/>
                <w:iCs/>
                <w:sz w:val="20"/>
                <w:szCs w:val="20"/>
              </w:rPr>
              <w:t>This study examines the impact of unconfirmed information in the form of corporate rumors on the stock price performance of Vietnamese commercial banks. Focusing on the banking sector, which is systemically important and highly sensitive to market sentiment, this study seeks to determine whether rumors distort the incorporation of information into stock prices and thus reduce market efficiency.</w:t>
            </w:r>
          </w:p>
          <w:p w14:paraId="15A8BE03" w14:textId="77777777" w:rsidR="00B0749D" w:rsidRPr="000071E2" w:rsidRDefault="00B0749D">
            <w:pPr>
              <w:rPr>
                <w:sz w:val="20"/>
                <w:szCs w:val="20"/>
              </w:rPr>
            </w:pPr>
          </w:p>
          <w:p w14:paraId="16D8528A" w14:textId="77777777" w:rsidR="003D6CAC" w:rsidRPr="000071E2" w:rsidRDefault="00436226">
            <w:pPr>
              <w:rPr>
                <w:b/>
                <w:sz w:val="20"/>
                <w:szCs w:val="20"/>
              </w:rPr>
            </w:pPr>
            <w:r w:rsidRPr="000071E2">
              <w:rPr>
                <w:b/>
                <w:sz w:val="20"/>
                <w:szCs w:val="20"/>
              </w:rPr>
              <w:t>Research motivation:</w:t>
            </w:r>
          </w:p>
          <w:p w14:paraId="3CAB15BE" w14:textId="3B5DA280" w:rsidR="003D6CAC" w:rsidRPr="000071E2" w:rsidRDefault="00C06A33" w:rsidP="00036EEF">
            <w:pPr>
              <w:jc w:val="both"/>
              <w:rPr>
                <w:i/>
                <w:sz w:val="20"/>
                <w:szCs w:val="20"/>
              </w:rPr>
            </w:pPr>
            <w:r w:rsidRPr="000071E2">
              <w:rPr>
                <w:i/>
                <w:iCs/>
                <w:sz w:val="20"/>
                <w:szCs w:val="20"/>
              </w:rPr>
              <w:t>Banking plays a pivotal role in both financial markets and national macroeconomic stability, yet its high market capitalization, liquidity, and systemic influence make banking stocks especially vulnerable to rumors that can distort investor behavior and market dynamics. In Vietnam’s transitional stock market, weak regulatory enforcement and the rapid spread of unverified information via social media amplify speculative trading and volatility, underscoring the need to research how rumors shape investor decisions and market efficiency.</w:t>
            </w:r>
          </w:p>
          <w:p w14:paraId="4E6D5EEB" w14:textId="77777777" w:rsidR="00B0749D" w:rsidRPr="000071E2" w:rsidRDefault="00B0749D" w:rsidP="00036EEF">
            <w:pPr>
              <w:jc w:val="both"/>
              <w:rPr>
                <w:i/>
                <w:sz w:val="20"/>
                <w:szCs w:val="20"/>
              </w:rPr>
            </w:pPr>
          </w:p>
          <w:p w14:paraId="0A6DE614" w14:textId="77777777" w:rsidR="003D6CAC" w:rsidRPr="000071E2" w:rsidRDefault="00436226">
            <w:pPr>
              <w:rPr>
                <w:b/>
                <w:sz w:val="20"/>
                <w:szCs w:val="20"/>
              </w:rPr>
            </w:pPr>
            <w:r w:rsidRPr="000071E2">
              <w:rPr>
                <w:b/>
                <w:sz w:val="20"/>
                <w:szCs w:val="20"/>
              </w:rPr>
              <w:t>Research design, approach, and method:</w:t>
            </w:r>
          </w:p>
          <w:p w14:paraId="35204EC1" w14:textId="25A30A2C" w:rsidR="003D6CAC" w:rsidRPr="000071E2" w:rsidRDefault="69C09A3B" w:rsidP="00036EEF">
            <w:pPr>
              <w:jc w:val="both"/>
              <w:rPr>
                <w:i/>
                <w:iCs/>
                <w:sz w:val="20"/>
                <w:szCs w:val="20"/>
              </w:rPr>
            </w:pPr>
            <w:r w:rsidRPr="000071E2">
              <w:rPr>
                <w:i/>
                <w:iCs/>
                <w:sz w:val="20"/>
                <w:szCs w:val="20"/>
              </w:rPr>
              <w:t xml:space="preserve">The study covers 19 Vietnamese banks listed between 2017 and 2023. Rumors are collected from financial news, classified using </w:t>
            </w:r>
            <w:proofErr w:type="spellStart"/>
            <w:r w:rsidRPr="000071E2">
              <w:rPr>
                <w:i/>
                <w:iCs/>
                <w:sz w:val="20"/>
                <w:szCs w:val="20"/>
              </w:rPr>
              <w:t>PhoBERT</w:t>
            </w:r>
            <w:proofErr w:type="spellEnd"/>
            <w:r w:rsidRPr="000071E2">
              <w:rPr>
                <w:i/>
                <w:iCs/>
                <w:sz w:val="20"/>
                <w:szCs w:val="20"/>
              </w:rPr>
              <w:t>-based sentiment analysis, and grouped into positive, negative, and neutral groups. Stock price synchronization, constructed based on annual daily returns, serves as an efficiency measure, with regression models including firm-level and year-level controls to examine the rumor–efficiency relationship.</w:t>
            </w:r>
          </w:p>
          <w:p w14:paraId="337A1283" w14:textId="77777777" w:rsidR="003D6CAC" w:rsidRPr="000071E2" w:rsidRDefault="003D6CAC" w:rsidP="00036EEF">
            <w:pPr>
              <w:jc w:val="both"/>
              <w:rPr>
                <w:i/>
                <w:sz w:val="20"/>
                <w:szCs w:val="20"/>
              </w:rPr>
            </w:pPr>
          </w:p>
          <w:p w14:paraId="6D25019B" w14:textId="77777777" w:rsidR="003D6CAC" w:rsidRPr="000071E2" w:rsidRDefault="00436226">
            <w:pPr>
              <w:rPr>
                <w:b/>
                <w:sz w:val="20"/>
                <w:szCs w:val="20"/>
              </w:rPr>
            </w:pPr>
            <w:r w:rsidRPr="000071E2">
              <w:rPr>
                <w:b/>
                <w:sz w:val="20"/>
                <w:szCs w:val="20"/>
              </w:rPr>
              <w:t>Main findings:</w:t>
            </w:r>
          </w:p>
          <w:p w14:paraId="3FBB853B" w14:textId="2E511B14" w:rsidR="003D6CAC" w:rsidRPr="000071E2" w:rsidRDefault="69C09A3B" w:rsidP="00036EEF">
            <w:pPr>
              <w:jc w:val="both"/>
              <w:rPr>
                <w:i/>
                <w:iCs/>
                <w:sz w:val="20"/>
                <w:szCs w:val="20"/>
              </w:rPr>
            </w:pPr>
            <w:r w:rsidRPr="000071E2">
              <w:rPr>
                <w:i/>
                <w:iCs/>
                <w:sz w:val="20"/>
                <w:szCs w:val="20"/>
              </w:rPr>
              <w:t xml:space="preserve">Rumors show no significant effect on the synchronicity of Vietnamese bank stock prices. Stock co-movement is mainly driven by firm fundamentals, particularly size, while rumors contribute more to firm-level noise and idiosyncratic volatility than to market-wide behavior. </w:t>
            </w:r>
          </w:p>
          <w:p w14:paraId="17F2EDE5" w14:textId="77777777" w:rsidR="003D6CAC" w:rsidRPr="000071E2" w:rsidRDefault="003D6CAC">
            <w:pPr>
              <w:rPr>
                <w:i/>
                <w:sz w:val="20"/>
                <w:szCs w:val="20"/>
              </w:rPr>
            </w:pPr>
          </w:p>
          <w:p w14:paraId="5D9D2C47" w14:textId="77777777" w:rsidR="003D6CAC" w:rsidRPr="000071E2" w:rsidRDefault="00436226">
            <w:pPr>
              <w:rPr>
                <w:b/>
                <w:sz w:val="20"/>
                <w:szCs w:val="20"/>
              </w:rPr>
            </w:pPr>
            <w:r w:rsidRPr="000071E2">
              <w:rPr>
                <w:b/>
                <w:sz w:val="20"/>
                <w:szCs w:val="20"/>
              </w:rPr>
              <w:t>Practical/managerial implications:</w:t>
            </w:r>
          </w:p>
          <w:p w14:paraId="4E4FBFD0" w14:textId="0077F526" w:rsidR="003D6CAC" w:rsidRPr="000071E2" w:rsidRDefault="69C09A3B" w:rsidP="00036EEF">
            <w:pPr>
              <w:spacing w:before="120"/>
              <w:jc w:val="both"/>
              <w:rPr>
                <w:b/>
                <w:bCs/>
                <w:sz w:val="20"/>
                <w:szCs w:val="20"/>
              </w:rPr>
            </w:pPr>
            <w:r w:rsidRPr="000071E2">
              <w:rPr>
                <w:i/>
                <w:iCs/>
                <w:sz w:val="20"/>
                <w:szCs w:val="20"/>
              </w:rPr>
              <w:t>Rumors are not a systemic threat to efficiency but can destabilize individual stocks through added idiosyncratic risk. Regulators should strengthen monitoring of unverified information, and managers and investors should focus on fundamentals while remaining alert to short-term rumor-driven disruptions.</w:t>
            </w:r>
          </w:p>
          <w:p w14:paraId="647E7F7A" w14:textId="6CBF2948" w:rsidR="003D6CAC" w:rsidRPr="000071E2" w:rsidRDefault="69C09A3B" w:rsidP="00036EEF">
            <w:pPr>
              <w:spacing w:before="120"/>
              <w:jc w:val="both"/>
              <w:rPr>
                <w:sz w:val="20"/>
                <w:szCs w:val="20"/>
              </w:rPr>
            </w:pPr>
            <w:r w:rsidRPr="000071E2">
              <w:rPr>
                <w:b/>
                <w:bCs/>
                <w:sz w:val="20"/>
                <w:szCs w:val="20"/>
                <w:lang w:val="en-GB"/>
              </w:rPr>
              <w:t>Keywords</w:t>
            </w:r>
            <w:r w:rsidRPr="000071E2">
              <w:rPr>
                <w:sz w:val="20"/>
                <w:szCs w:val="20"/>
                <w:lang w:val="en-GB"/>
              </w:rPr>
              <w:t xml:space="preserve">: stock price synchronicity, banking </w:t>
            </w:r>
            <w:proofErr w:type="spellStart"/>
            <w:r w:rsidRPr="000071E2">
              <w:rPr>
                <w:sz w:val="20"/>
                <w:szCs w:val="20"/>
                <w:lang w:val="en-GB"/>
              </w:rPr>
              <w:t>rumors</w:t>
            </w:r>
            <w:proofErr w:type="spellEnd"/>
            <w:r w:rsidRPr="000071E2">
              <w:rPr>
                <w:sz w:val="20"/>
                <w:szCs w:val="20"/>
                <w:lang w:val="en-GB"/>
              </w:rPr>
              <w:t>, AI/ML, sentiment analysis, Vietnamese banking industry, price efficiency</w:t>
            </w:r>
          </w:p>
        </w:tc>
      </w:tr>
      <w:bookmarkEnd w:id="0"/>
    </w:tbl>
    <w:p w14:paraId="56D2CC0D" w14:textId="77777777" w:rsidR="003D6CAC" w:rsidRPr="000071E2" w:rsidRDefault="003D6CAC">
      <w:pPr>
        <w:spacing w:before="120"/>
        <w:jc w:val="center"/>
        <w:rPr>
          <w:sz w:val="20"/>
          <w:szCs w:val="20"/>
        </w:rPr>
      </w:pPr>
    </w:p>
    <w:p w14:paraId="24B8F712" w14:textId="77777777" w:rsidR="00B41107" w:rsidRPr="000071E2" w:rsidRDefault="00B41107" w:rsidP="00B41107">
      <w:pPr>
        <w:rPr>
          <w:sz w:val="20"/>
          <w:szCs w:val="20"/>
        </w:rPr>
        <w:sectPr w:rsidR="00B41107" w:rsidRPr="000071E2">
          <w:headerReference w:type="default" r:id="rId8"/>
          <w:footerReference w:type="even" r:id="rId9"/>
          <w:footerReference w:type="default" r:id="rId10"/>
          <w:pgSz w:w="11906" w:h="16838"/>
          <w:pgMar w:top="1418" w:right="1134" w:bottom="1418" w:left="1134" w:header="851" w:footer="851" w:gutter="0"/>
          <w:pgNumType w:start="1"/>
          <w:cols w:space="720"/>
        </w:sectPr>
      </w:pPr>
    </w:p>
    <w:p w14:paraId="66EB3C10" w14:textId="77777777" w:rsidR="003D6CAC" w:rsidRPr="000071E2" w:rsidRDefault="00436226">
      <w:pPr>
        <w:spacing w:before="120"/>
        <w:rPr>
          <w:b/>
          <w:sz w:val="20"/>
          <w:szCs w:val="20"/>
        </w:rPr>
      </w:pPr>
      <w:r w:rsidRPr="000071E2">
        <w:rPr>
          <w:b/>
          <w:sz w:val="20"/>
          <w:szCs w:val="20"/>
        </w:rPr>
        <w:t>1. INTRODUCTION</w:t>
      </w:r>
    </w:p>
    <w:p w14:paraId="0E5CDDAD" w14:textId="513A8419" w:rsidR="005F20EF" w:rsidRPr="00074BFE" w:rsidRDefault="002E341F" w:rsidP="005F20EF">
      <w:pPr>
        <w:pBdr>
          <w:top w:val="nil"/>
          <w:left w:val="nil"/>
          <w:bottom w:val="nil"/>
          <w:right w:val="nil"/>
          <w:between w:val="nil"/>
        </w:pBdr>
        <w:tabs>
          <w:tab w:val="left" w:pos="284"/>
          <w:tab w:val="left" w:pos="1134"/>
        </w:tabs>
        <w:spacing w:before="120"/>
        <w:jc w:val="both"/>
        <w:rPr>
          <w:sz w:val="20"/>
          <w:szCs w:val="20"/>
          <w:lang w:val="en-GB"/>
        </w:rPr>
      </w:pPr>
      <w:r w:rsidRPr="002E341F">
        <w:rPr>
          <w:sz w:val="20"/>
          <w:szCs w:val="20"/>
          <w:lang w:val="en-GB"/>
        </w:rPr>
        <w:t xml:space="preserve">Banking represents one of the most critical elements in both financial markets and a nation’s macroeconomic framework. Banks coordinate as financial intermediaries, stimulating investment and production while stabilizing inflation, exchange </w:t>
      </w:r>
      <w:r w:rsidRPr="002E341F">
        <w:rPr>
          <w:sz w:val="20"/>
          <w:szCs w:val="20"/>
          <w:lang w:val="en-GB"/>
        </w:rPr>
        <w:lastRenderedPageBreak/>
        <w:t xml:space="preserve">rates, and interest rates to support sustainable economic development. When it comes to the stock market, banks act as credit intermediaries and issuers of listed securities. Banking stocks form a significant portion of market capitalization, often blue-chip, influencing indices and serving as a barometer for investors and economists to assess the health of the banking system and the broader economy. </w:t>
      </w:r>
      <w:r w:rsidR="005F20EF" w:rsidRPr="00074BFE">
        <w:rPr>
          <w:sz w:val="20"/>
          <w:szCs w:val="20"/>
          <w:lang w:val="en-GB"/>
        </w:rPr>
        <w:t>In 2025, three out of the top five stocks contributing the most to the VN-Index were from the banking sector, underscoring the industry’s weight as it accounted for 31.5% of total market capitalization</w:t>
      </w:r>
      <w:r w:rsidR="00487FFC" w:rsidRPr="00074BFE">
        <w:rPr>
          <w:sz w:val="20"/>
          <w:szCs w:val="20"/>
          <w:lang w:val="en-GB"/>
        </w:rPr>
        <w:t xml:space="preserve"> – </w:t>
      </w:r>
      <w:r w:rsidR="005F20EF" w:rsidRPr="00074BFE">
        <w:rPr>
          <w:sz w:val="20"/>
          <w:szCs w:val="20"/>
          <w:lang w:val="en-GB"/>
        </w:rPr>
        <w:t>the largest share of the market. However, this central role has also exposed vulnerabilities: the sector was recently shaken by one of Vietnam’s largest financial fraud cases, when Van Thinh Phat Group, led by Truong My Lan, was accused of siphoning billions of USD through its links with Saigon Commercial Bank (SCB)</w:t>
      </w:r>
      <w:r w:rsidR="00A26519" w:rsidRPr="00074BFE">
        <w:rPr>
          <w:sz w:val="20"/>
          <w:szCs w:val="20"/>
          <w:lang w:val="en-GB"/>
        </w:rPr>
        <w:t xml:space="preserve"> according to Government Electronic Newspaper – Policy and Law Development (2024)</w:t>
      </w:r>
      <w:r w:rsidR="005F20EF" w:rsidRPr="00074BFE">
        <w:rPr>
          <w:sz w:val="20"/>
          <w:szCs w:val="20"/>
          <w:lang w:val="en-GB"/>
        </w:rPr>
        <w:t xml:space="preserve">. The scandal not only eroded public trust but also highlighted structural weaknesses in Vietnam’s banking system and financial sector more broadly.  </w:t>
      </w:r>
    </w:p>
    <w:p w14:paraId="68BC3FC7" w14:textId="36BD16B6" w:rsidR="002E341F" w:rsidRPr="00074BFE" w:rsidRDefault="005F20EF" w:rsidP="005F20EF">
      <w:pPr>
        <w:pBdr>
          <w:top w:val="nil"/>
          <w:left w:val="nil"/>
          <w:bottom w:val="nil"/>
          <w:right w:val="nil"/>
          <w:between w:val="nil"/>
        </w:pBdr>
        <w:tabs>
          <w:tab w:val="left" w:pos="284"/>
          <w:tab w:val="left" w:pos="1134"/>
        </w:tabs>
        <w:spacing w:before="120"/>
        <w:jc w:val="both"/>
        <w:rPr>
          <w:sz w:val="20"/>
          <w:szCs w:val="20"/>
          <w:lang w:val="en-GB"/>
        </w:rPr>
      </w:pPr>
      <w:r w:rsidRPr="00074BFE">
        <w:rPr>
          <w:sz w:val="20"/>
          <w:szCs w:val="20"/>
          <w:lang w:val="en-GB"/>
        </w:rPr>
        <w:t>The Efficient Market Hypothesis (EMH)</w:t>
      </w:r>
      <w:r w:rsidR="00A229A9" w:rsidRPr="00074BFE">
        <w:rPr>
          <w:sz w:val="20"/>
          <w:szCs w:val="20"/>
          <w:lang w:val="en-GB"/>
        </w:rPr>
        <w:t xml:space="preserve"> – </w:t>
      </w:r>
      <w:r w:rsidRPr="00074BFE">
        <w:rPr>
          <w:sz w:val="20"/>
          <w:szCs w:val="20"/>
          <w:lang w:val="en-GB"/>
        </w:rPr>
        <w:t xml:space="preserve">a foundational financial theory suggesting that the ideal market, in which prices provide accurate signals for resource allocation: that is, a market in which firms can make production-investment decisions, and investors can choose among the securities that represent ownership of firms’ activities under the assumption that security prices at any time ‘fully reflect’ all available information. A market in which prices always ‘fully reflect’ available information is called "efficient". (Fama., 1970). Compared to other sectors, banking demonstrates a higher sensitivity to </w:t>
      </w:r>
      <w:proofErr w:type="spellStart"/>
      <w:r w:rsidRPr="00074BFE">
        <w:rPr>
          <w:sz w:val="20"/>
          <w:szCs w:val="20"/>
          <w:lang w:val="en-GB"/>
        </w:rPr>
        <w:t>rumors</w:t>
      </w:r>
      <w:proofErr w:type="spellEnd"/>
      <w:r w:rsidRPr="00074BFE">
        <w:rPr>
          <w:sz w:val="20"/>
          <w:szCs w:val="20"/>
          <w:lang w:val="en-GB"/>
        </w:rPr>
        <w:t xml:space="preserve"> due to high capitalization, immediate liquidity, and control over capital circulation. Banks operate on fractional reserves, meaning they keep only a small portion of deposits on hand. If depositors lose confidence</w:t>
      </w:r>
      <w:r w:rsidR="00150D3F" w:rsidRPr="00074BFE">
        <w:rPr>
          <w:sz w:val="20"/>
          <w:szCs w:val="20"/>
          <w:lang w:val="en-GB"/>
        </w:rPr>
        <w:t xml:space="preserve"> – </w:t>
      </w:r>
      <w:r w:rsidRPr="00074BFE">
        <w:rPr>
          <w:sz w:val="20"/>
          <w:szCs w:val="20"/>
          <w:lang w:val="en-GB"/>
        </w:rPr>
        <w:t xml:space="preserve">even due to unverified </w:t>
      </w:r>
      <w:proofErr w:type="spellStart"/>
      <w:r w:rsidRPr="00074BFE">
        <w:rPr>
          <w:sz w:val="20"/>
          <w:szCs w:val="20"/>
          <w:lang w:val="en-GB"/>
        </w:rPr>
        <w:t>rumors</w:t>
      </w:r>
      <w:proofErr w:type="spellEnd"/>
      <w:r w:rsidRPr="00074BFE">
        <w:rPr>
          <w:sz w:val="20"/>
          <w:szCs w:val="20"/>
          <w:lang w:val="en-GB"/>
        </w:rPr>
        <w:t xml:space="preserve">, they may rush to withdraw funds, causing a bank run and threatening the bank’s solvency, regardless of its actual financial health (He, Z., &amp; Manela, A., 2012; </w:t>
      </w:r>
      <w:proofErr w:type="spellStart"/>
      <w:r w:rsidRPr="00074BFE">
        <w:rPr>
          <w:sz w:val="20"/>
          <w:szCs w:val="20"/>
          <w:lang w:val="en-GB"/>
        </w:rPr>
        <w:t>Tadmon</w:t>
      </w:r>
      <w:proofErr w:type="spellEnd"/>
      <w:r w:rsidRPr="00074BFE">
        <w:rPr>
          <w:sz w:val="20"/>
          <w:szCs w:val="20"/>
          <w:lang w:val="en-GB"/>
        </w:rPr>
        <w:t xml:space="preserve">, C., &amp; Njike-Tchaptchet, E., 2022). Especially, since individual financial market participants cannot directly access and evaluate a bank's real financial health, their anxiety and herd </w:t>
      </w:r>
      <w:proofErr w:type="spellStart"/>
      <w:r w:rsidRPr="00074BFE">
        <w:rPr>
          <w:sz w:val="20"/>
          <w:szCs w:val="20"/>
          <w:lang w:val="en-GB"/>
        </w:rPr>
        <w:t>behavior</w:t>
      </w:r>
      <w:proofErr w:type="spellEnd"/>
      <w:r w:rsidRPr="00074BFE">
        <w:rPr>
          <w:sz w:val="20"/>
          <w:szCs w:val="20"/>
          <w:lang w:val="en-GB"/>
        </w:rPr>
        <w:t xml:space="preserve"> are generally heightened in banking, where the fear of being last to withdraw can drive even rational depositors to act on </w:t>
      </w:r>
      <w:proofErr w:type="spellStart"/>
      <w:r w:rsidRPr="00074BFE">
        <w:rPr>
          <w:sz w:val="20"/>
          <w:szCs w:val="20"/>
          <w:lang w:val="en-GB"/>
        </w:rPr>
        <w:t>rumors</w:t>
      </w:r>
      <w:proofErr w:type="spellEnd"/>
      <w:r w:rsidRPr="00074BFE">
        <w:rPr>
          <w:sz w:val="20"/>
          <w:szCs w:val="20"/>
          <w:lang w:val="en-GB"/>
        </w:rPr>
        <w:t xml:space="preserve"> (Kimmel, A., 2004). Consequently, the influence of banking-related </w:t>
      </w:r>
      <w:proofErr w:type="spellStart"/>
      <w:r w:rsidRPr="00074BFE">
        <w:rPr>
          <w:sz w:val="20"/>
          <w:szCs w:val="20"/>
          <w:lang w:val="en-GB"/>
        </w:rPr>
        <w:t>rumors</w:t>
      </w:r>
      <w:proofErr w:type="spellEnd"/>
      <w:r w:rsidRPr="00074BFE">
        <w:rPr>
          <w:sz w:val="20"/>
          <w:szCs w:val="20"/>
          <w:lang w:val="en-GB"/>
        </w:rPr>
        <w:t xml:space="preserve"> can directly affect both corporate operations and investors' financial positions</w:t>
      </w:r>
      <w:r w:rsidR="00FC5699" w:rsidRPr="00074BFE">
        <w:rPr>
          <w:sz w:val="20"/>
          <w:szCs w:val="20"/>
          <w:lang w:val="en-GB"/>
        </w:rPr>
        <w:t>.</w:t>
      </w:r>
    </w:p>
    <w:p w14:paraId="43FC4DA0" w14:textId="54E89CAF" w:rsidR="002E341F" w:rsidRDefault="002E341F" w:rsidP="002E341F">
      <w:pPr>
        <w:pBdr>
          <w:top w:val="nil"/>
          <w:left w:val="nil"/>
          <w:bottom w:val="nil"/>
          <w:right w:val="nil"/>
          <w:between w:val="nil"/>
        </w:pBdr>
        <w:tabs>
          <w:tab w:val="left" w:pos="284"/>
          <w:tab w:val="left" w:pos="1134"/>
        </w:tabs>
        <w:spacing w:before="120"/>
        <w:jc w:val="both"/>
        <w:rPr>
          <w:sz w:val="20"/>
          <w:szCs w:val="20"/>
          <w:lang w:val="en-GB"/>
        </w:rPr>
      </w:pPr>
      <w:r w:rsidRPr="002E341F">
        <w:rPr>
          <w:sz w:val="20"/>
          <w:szCs w:val="20"/>
          <w:lang w:val="en-GB"/>
        </w:rPr>
        <w:t xml:space="preserve">Information appears under various forms and is categorized by verified and unverified information. Official communications are verified statements from credible sources, such as corporate announcements or regulatory filings. provide reliable data (Liu et al., 2022; Yang &amp; Luo, 2014). News can sometimes be biased as it refers to information reported by media outlets, which may or may not be verified and potentially influence public perception and market </w:t>
      </w:r>
      <w:proofErr w:type="spellStart"/>
      <w:r w:rsidRPr="002E341F">
        <w:rPr>
          <w:sz w:val="20"/>
          <w:szCs w:val="20"/>
          <w:lang w:val="en-GB"/>
        </w:rPr>
        <w:t>behavior</w:t>
      </w:r>
      <w:proofErr w:type="spellEnd"/>
      <w:r w:rsidRPr="002E341F">
        <w:rPr>
          <w:sz w:val="20"/>
          <w:szCs w:val="20"/>
          <w:lang w:val="en-GB"/>
        </w:rPr>
        <w:t xml:space="preserve"> (DiFonzo, N., &amp; Bordia, P., 1997; Jia et al., 2017). Meanwhile, </w:t>
      </w:r>
      <w:proofErr w:type="spellStart"/>
      <w:r w:rsidRPr="002E341F">
        <w:rPr>
          <w:sz w:val="20"/>
          <w:szCs w:val="20"/>
          <w:lang w:val="en-GB"/>
        </w:rPr>
        <w:t>rumors</w:t>
      </w:r>
      <w:proofErr w:type="spellEnd"/>
      <w:r w:rsidRPr="002E341F">
        <w:rPr>
          <w:sz w:val="20"/>
          <w:szCs w:val="20"/>
          <w:lang w:val="en-GB"/>
        </w:rPr>
        <w:t xml:space="preserve"> are unverified statements that can spread rapidly, especially on social media, influencing public opinion and market decisions despite their lack of credibility (Kimmel, A., 2004; Akhtar, M., Ekbal, A., Narayan, S., &amp; Singh, V., 2018; </w:t>
      </w:r>
      <w:proofErr w:type="spellStart"/>
      <w:r w:rsidRPr="002E341F">
        <w:rPr>
          <w:sz w:val="20"/>
          <w:szCs w:val="20"/>
          <w:lang w:val="en-GB"/>
        </w:rPr>
        <w:t>Bondielli</w:t>
      </w:r>
      <w:proofErr w:type="spellEnd"/>
      <w:r w:rsidRPr="002E341F">
        <w:rPr>
          <w:sz w:val="20"/>
          <w:szCs w:val="20"/>
          <w:lang w:val="en-GB"/>
        </w:rPr>
        <w:t xml:space="preserve">, A., &amp; </w:t>
      </w:r>
      <w:proofErr w:type="spellStart"/>
      <w:r w:rsidRPr="002E341F">
        <w:rPr>
          <w:sz w:val="20"/>
          <w:szCs w:val="20"/>
          <w:lang w:val="en-GB"/>
        </w:rPr>
        <w:t>Marcelloni</w:t>
      </w:r>
      <w:proofErr w:type="spellEnd"/>
      <w:r w:rsidRPr="002E341F">
        <w:rPr>
          <w:sz w:val="20"/>
          <w:szCs w:val="20"/>
          <w:lang w:val="en-GB"/>
        </w:rPr>
        <w:t xml:space="preserve">, F., 2019). </w:t>
      </w:r>
      <w:proofErr w:type="spellStart"/>
      <w:r w:rsidRPr="002E341F">
        <w:rPr>
          <w:sz w:val="20"/>
          <w:szCs w:val="20"/>
          <w:lang w:val="en-GB"/>
        </w:rPr>
        <w:t>Rumors</w:t>
      </w:r>
      <w:proofErr w:type="spellEnd"/>
      <w:r w:rsidRPr="002E341F">
        <w:rPr>
          <w:sz w:val="20"/>
          <w:szCs w:val="20"/>
          <w:lang w:val="en-GB"/>
        </w:rPr>
        <w:t xml:space="preserve"> can lead to significant market movements and decision-making errors, as they often fill information voids during uncertain situations (DiFonzo, N., &amp; Bordia, P., 1997; Kimmel, A., 2004). This has profound implications for financial markets, where information – whether accurate or speculative – can quickly influence investor </w:t>
      </w:r>
      <w:proofErr w:type="spellStart"/>
      <w:r w:rsidRPr="002E341F">
        <w:rPr>
          <w:sz w:val="20"/>
          <w:szCs w:val="20"/>
          <w:lang w:val="en-GB"/>
        </w:rPr>
        <w:t>behavior</w:t>
      </w:r>
      <w:proofErr w:type="spellEnd"/>
      <w:r w:rsidRPr="002E341F">
        <w:rPr>
          <w:sz w:val="20"/>
          <w:szCs w:val="20"/>
          <w:lang w:val="en-GB"/>
        </w:rPr>
        <w:t xml:space="preserve"> and market dynamics</w:t>
      </w:r>
      <w:r w:rsidR="00F36376">
        <w:rPr>
          <w:sz w:val="20"/>
          <w:szCs w:val="20"/>
          <w:lang w:val="en-GB"/>
        </w:rPr>
        <w:t>.</w:t>
      </w:r>
    </w:p>
    <w:p w14:paraId="06912005" w14:textId="765B5371" w:rsidR="002E341F" w:rsidRDefault="002E341F" w:rsidP="002E341F">
      <w:pPr>
        <w:pBdr>
          <w:top w:val="nil"/>
          <w:left w:val="nil"/>
          <w:bottom w:val="nil"/>
          <w:right w:val="nil"/>
          <w:between w:val="nil"/>
        </w:pBdr>
        <w:tabs>
          <w:tab w:val="left" w:pos="284"/>
          <w:tab w:val="left" w:pos="1134"/>
        </w:tabs>
        <w:spacing w:before="120"/>
        <w:jc w:val="both"/>
        <w:rPr>
          <w:sz w:val="20"/>
          <w:szCs w:val="20"/>
          <w:lang w:val="en-GB"/>
        </w:rPr>
      </w:pPr>
      <w:r w:rsidRPr="002E341F">
        <w:rPr>
          <w:sz w:val="20"/>
          <w:szCs w:val="20"/>
          <w:lang w:val="en-GB"/>
        </w:rPr>
        <w:t xml:space="preserve">With the rapid advancement of media and communication technologies, the dissemination of information in Vietnam has accelerated dramatically through the Internet and various digital platforms. The Vietnamese stock market remains in a transitional phase, experiencing both significant growth and persistent structural limitations. Although a legal framework for securities activities exists, regulatory enforcement has not yet reached the level seen in more mature markets, allowing some enterprises to delay, withhold, or inconsistently disclose information. This environment creates heightened vulnerability to misinformation, particularly unverified </w:t>
      </w:r>
      <w:proofErr w:type="spellStart"/>
      <w:r w:rsidRPr="002E341F">
        <w:rPr>
          <w:sz w:val="20"/>
          <w:szCs w:val="20"/>
          <w:lang w:val="en-GB"/>
        </w:rPr>
        <w:t>rumors</w:t>
      </w:r>
      <w:proofErr w:type="spellEnd"/>
      <w:r w:rsidRPr="002E341F">
        <w:rPr>
          <w:sz w:val="20"/>
          <w:szCs w:val="20"/>
          <w:lang w:val="en-GB"/>
        </w:rPr>
        <w:t xml:space="preserve">. As a result, a short-term, speculative investment culture has emerged, where investor decisions are often driven by </w:t>
      </w:r>
      <w:proofErr w:type="spellStart"/>
      <w:r w:rsidRPr="002E341F">
        <w:rPr>
          <w:sz w:val="20"/>
          <w:szCs w:val="20"/>
          <w:lang w:val="en-GB"/>
        </w:rPr>
        <w:t>rumors</w:t>
      </w:r>
      <w:proofErr w:type="spellEnd"/>
      <w:r w:rsidRPr="002E341F">
        <w:rPr>
          <w:sz w:val="20"/>
          <w:szCs w:val="20"/>
          <w:lang w:val="en-GB"/>
        </w:rPr>
        <w:t xml:space="preserve"> rather than fundamental analysis, amplifying market inefficiencies and volatility. According to the State Securities Commission (SSC, 2024), </w:t>
      </w:r>
      <w:proofErr w:type="spellStart"/>
      <w:r w:rsidRPr="002E341F">
        <w:rPr>
          <w:sz w:val="20"/>
          <w:szCs w:val="20"/>
          <w:lang w:val="en-GB"/>
        </w:rPr>
        <w:t>rumor</w:t>
      </w:r>
      <w:proofErr w:type="spellEnd"/>
      <w:r w:rsidRPr="002E341F">
        <w:rPr>
          <w:sz w:val="20"/>
          <w:szCs w:val="20"/>
          <w:lang w:val="en-GB"/>
        </w:rPr>
        <w:t xml:space="preserve"> propagation has become increasingly complex and impactful on investor psychology. These </w:t>
      </w:r>
      <w:proofErr w:type="spellStart"/>
      <w:r w:rsidRPr="002E341F">
        <w:rPr>
          <w:sz w:val="20"/>
          <w:szCs w:val="20"/>
          <w:lang w:val="en-GB"/>
        </w:rPr>
        <w:t>rumors</w:t>
      </w:r>
      <w:proofErr w:type="spellEnd"/>
      <w:r w:rsidRPr="002E341F">
        <w:rPr>
          <w:sz w:val="20"/>
          <w:szCs w:val="20"/>
          <w:lang w:val="en-GB"/>
        </w:rPr>
        <w:t xml:space="preserve"> frequently originate and spread rapidly via social media platforms, investor forums, and private messaging applications such as Facebook, </w:t>
      </w:r>
      <w:proofErr w:type="spellStart"/>
      <w:r w:rsidRPr="002E341F">
        <w:rPr>
          <w:sz w:val="20"/>
          <w:szCs w:val="20"/>
          <w:lang w:val="en-GB"/>
        </w:rPr>
        <w:t>Zalo</w:t>
      </w:r>
      <w:proofErr w:type="spellEnd"/>
      <w:r w:rsidRPr="002E341F">
        <w:rPr>
          <w:sz w:val="20"/>
          <w:szCs w:val="20"/>
          <w:lang w:val="en-GB"/>
        </w:rPr>
        <w:t xml:space="preserve">, and Telegram. </w:t>
      </w:r>
    </w:p>
    <w:p w14:paraId="5439D7DB" w14:textId="3E4BCC4A" w:rsidR="005F20EF" w:rsidRPr="00074BFE" w:rsidRDefault="005F20EF" w:rsidP="005F20EF">
      <w:pPr>
        <w:pBdr>
          <w:top w:val="nil"/>
          <w:left w:val="nil"/>
          <w:bottom w:val="nil"/>
          <w:right w:val="nil"/>
          <w:between w:val="nil"/>
        </w:pBdr>
        <w:tabs>
          <w:tab w:val="left" w:pos="284"/>
          <w:tab w:val="left" w:pos="1134"/>
        </w:tabs>
        <w:spacing w:before="120"/>
        <w:jc w:val="both"/>
        <w:rPr>
          <w:sz w:val="20"/>
          <w:szCs w:val="20"/>
          <w:lang w:val="en-GB"/>
        </w:rPr>
      </w:pPr>
      <w:r w:rsidRPr="00074BFE">
        <w:rPr>
          <w:sz w:val="20"/>
          <w:szCs w:val="20"/>
          <w:lang w:val="en-GB"/>
        </w:rPr>
        <w:t xml:space="preserve">Several banks have faced </w:t>
      </w:r>
      <w:proofErr w:type="spellStart"/>
      <w:r w:rsidRPr="00074BFE">
        <w:rPr>
          <w:sz w:val="20"/>
          <w:szCs w:val="20"/>
          <w:lang w:val="en-GB"/>
        </w:rPr>
        <w:t>rumor</w:t>
      </w:r>
      <w:proofErr w:type="spellEnd"/>
      <w:r w:rsidRPr="00074BFE">
        <w:rPr>
          <w:sz w:val="20"/>
          <w:szCs w:val="20"/>
          <w:lang w:val="en-GB"/>
        </w:rPr>
        <w:t>-driven scares in recent years, prompting swift regulatory or legal response. As recorded by</w:t>
      </w:r>
      <w:r w:rsidR="00E21B4E" w:rsidRPr="00074BFE">
        <w:rPr>
          <w:sz w:val="20"/>
          <w:szCs w:val="20"/>
          <w:lang w:val="en-GB"/>
        </w:rPr>
        <w:t xml:space="preserve"> Mai (2024) on Tien Phong electronic newspaper</w:t>
      </w:r>
      <w:r w:rsidRPr="00074BFE">
        <w:rPr>
          <w:sz w:val="20"/>
          <w:szCs w:val="20"/>
          <w:lang w:val="en-GB"/>
        </w:rPr>
        <w:t xml:space="preserve">, </w:t>
      </w:r>
      <w:r w:rsidR="00E21B4E" w:rsidRPr="00074BFE">
        <w:rPr>
          <w:sz w:val="20"/>
          <w:szCs w:val="20"/>
          <w:lang w:val="en-GB"/>
        </w:rPr>
        <w:t>a major Vietnamese digital news channel covering politics, economics and society</w:t>
      </w:r>
      <w:r w:rsidRPr="00074BFE">
        <w:rPr>
          <w:sz w:val="20"/>
          <w:szCs w:val="20"/>
          <w:lang w:val="en-GB"/>
        </w:rPr>
        <w:t xml:space="preserve">, in 2024, a false report circulated online claiming </w:t>
      </w:r>
      <w:proofErr w:type="spellStart"/>
      <w:r w:rsidRPr="00074BFE">
        <w:rPr>
          <w:sz w:val="20"/>
          <w:szCs w:val="20"/>
          <w:lang w:val="en-GB"/>
        </w:rPr>
        <w:t>Sacombank’s</w:t>
      </w:r>
      <w:proofErr w:type="spellEnd"/>
      <w:r w:rsidRPr="00074BFE">
        <w:rPr>
          <w:sz w:val="20"/>
          <w:szCs w:val="20"/>
          <w:lang w:val="en-GB"/>
        </w:rPr>
        <w:t xml:space="preserve"> chairman was barred from leaving the country in connection with a major </w:t>
      </w:r>
      <w:r w:rsidR="00E21B4E" w:rsidRPr="00074BFE">
        <w:rPr>
          <w:sz w:val="20"/>
          <w:szCs w:val="20"/>
          <w:lang w:val="en-GB"/>
        </w:rPr>
        <w:t>economic scandal</w:t>
      </w:r>
      <w:r w:rsidRPr="00074BFE">
        <w:rPr>
          <w:sz w:val="20"/>
          <w:szCs w:val="20"/>
          <w:lang w:val="en-GB"/>
        </w:rPr>
        <w:t xml:space="preserve">. The bank immediately issued a statement denying the baseless news and call authorities to involve in pursuing those responsible. Later in the same year, </w:t>
      </w:r>
      <w:proofErr w:type="spellStart"/>
      <w:r w:rsidRPr="00074BFE">
        <w:rPr>
          <w:sz w:val="20"/>
          <w:szCs w:val="20"/>
          <w:lang w:val="en-GB"/>
        </w:rPr>
        <w:t>PGBank's</w:t>
      </w:r>
      <w:proofErr w:type="spellEnd"/>
      <w:r w:rsidRPr="00074BFE">
        <w:rPr>
          <w:sz w:val="20"/>
          <w:szCs w:val="20"/>
          <w:lang w:val="en-GB"/>
        </w:rPr>
        <w:t xml:space="preserve"> executives and SBV's Hanoi officials personally met with depositors to assure them that all deposits were safe and guaranteed after the spreading of unfounded gossip claiming that </w:t>
      </w:r>
      <w:proofErr w:type="spellStart"/>
      <w:r w:rsidRPr="00074BFE">
        <w:rPr>
          <w:sz w:val="20"/>
          <w:szCs w:val="20"/>
          <w:lang w:val="en-GB"/>
        </w:rPr>
        <w:t>PGBank</w:t>
      </w:r>
      <w:proofErr w:type="spellEnd"/>
      <w:r w:rsidRPr="00074BFE">
        <w:rPr>
          <w:sz w:val="20"/>
          <w:szCs w:val="20"/>
          <w:lang w:val="en-GB"/>
        </w:rPr>
        <w:t xml:space="preserve"> branch manager had defaulted and been arrested. Such unregulated channels intensify herd </w:t>
      </w:r>
      <w:proofErr w:type="spellStart"/>
      <w:r w:rsidRPr="00074BFE">
        <w:rPr>
          <w:sz w:val="20"/>
          <w:szCs w:val="20"/>
          <w:lang w:val="en-GB"/>
        </w:rPr>
        <w:t>behavior</w:t>
      </w:r>
      <w:proofErr w:type="spellEnd"/>
      <w:r w:rsidRPr="00074BFE">
        <w:rPr>
          <w:sz w:val="20"/>
          <w:szCs w:val="20"/>
          <w:lang w:val="en-GB"/>
        </w:rPr>
        <w:t xml:space="preserve">, fear of missing out (FOMO), and panic selling, posing systemic risks to market stability, which can generate significant consequences, including potential bank runs. This might accelerate heterogeneous </w:t>
      </w:r>
      <w:proofErr w:type="spellStart"/>
      <w:r w:rsidRPr="00074BFE">
        <w:rPr>
          <w:sz w:val="20"/>
          <w:szCs w:val="20"/>
          <w:lang w:val="en-GB"/>
        </w:rPr>
        <w:t>behavior</w:t>
      </w:r>
      <w:proofErr w:type="spellEnd"/>
      <w:r w:rsidRPr="00074BFE">
        <w:rPr>
          <w:sz w:val="20"/>
          <w:szCs w:val="20"/>
          <w:lang w:val="en-GB"/>
        </w:rPr>
        <w:t xml:space="preserve"> of the investors such as hastily withdraw funds which might destabilizing even solvent banks and posing systemic risks to the broader financial system (He &amp; Manela, 2012; </w:t>
      </w:r>
      <w:proofErr w:type="spellStart"/>
      <w:r w:rsidRPr="00074BFE">
        <w:rPr>
          <w:sz w:val="20"/>
          <w:szCs w:val="20"/>
          <w:lang w:val="en-GB"/>
        </w:rPr>
        <w:t>Tadmon</w:t>
      </w:r>
      <w:proofErr w:type="spellEnd"/>
      <w:r w:rsidRPr="00074BFE">
        <w:rPr>
          <w:sz w:val="20"/>
          <w:szCs w:val="20"/>
          <w:lang w:val="en-GB"/>
        </w:rPr>
        <w:t xml:space="preserve"> &amp; Njike-Tchaptchet, 2022). Additionally, Vietnam's stock market, in which 95% of investors are individuals, dominated by a vibrant but highly speculative retail investor culture. Economists and market observers have highlighted analysis that many Vietnamese investors treat the market like a short-</w:t>
      </w:r>
      <w:r w:rsidRPr="00074BFE">
        <w:rPr>
          <w:sz w:val="20"/>
          <w:szCs w:val="20"/>
          <w:lang w:val="en-GB"/>
        </w:rPr>
        <w:lastRenderedPageBreak/>
        <w:t xml:space="preserve">term game, where investment decisions are frequently influenced by </w:t>
      </w:r>
      <w:proofErr w:type="spellStart"/>
      <w:r w:rsidRPr="00074BFE">
        <w:rPr>
          <w:sz w:val="20"/>
          <w:szCs w:val="20"/>
          <w:lang w:val="en-GB"/>
        </w:rPr>
        <w:t>rumors</w:t>
      </w:r>
      <w:proofErr w:type="spellEnd"/>
      <w:r w:rsidRPr="00074BFE">
        <w:rPr>
          <w:sz w:val="20"/>
          <w:szCs w:val="20"/>
          <w:lang w:val="en-GB"/>
        </w:rPr>
        <w:t xml:space="preserve">, word of mouth, or short-term speculation rather than well-informed decision-making" tailored to one's risk profile (Cao, M. M., Nguyen, N.-T., &amp; Tran, T.-T., 2021). More than ever, Vietnam's regulators and banks have become increasingly proactive in issuing warnings and investigations whenever </w:t>
      </w:r>
      <w:proofErr w:type="spellStart"/>
      <w:r w:rsidRPr="00074BFE">
        <w:rPr>
          <w:sz w:val="20"/>
          <w:szCs w:val="20"/>
          <w:lang w:val="en-GB"/>
        </w:rPr>
        <w:t>rumors</w:t>
      </w:r>
      <w:proofErr w:type="spellEnd"/>
      <w:r w:rsidRPr="00074BFE">
        <w:rPr>
          <w:sz w:val="20"/>
          <w:szCs w:val="20"/>
          <w:lang w:val="en-GB"/>
        </w:rPr>
        <w:t xml:space="preserve"> threaten public confidence in the banking sector.</w:t>
      </w:r>
    </w:p>
    <w:p w14:paraId="1B59CD84" w14:textId="05F3E1F8" w:rsidR="002E341F" w:rsidRDefault="002E341F" w:rsidP="002E341F">
      <w:pPr>
        <w:pBdr>
          <w:top w:val="nil"/>
          <w:left w:val="nil"/>
          <w:bottom w:val="nil"/>
          <w:right w:val="nil"/>
          <w:between w:val="nil"/>
        </w:pBdr>
        <w:tabs>
          <w:tab w:val="left" w:pos="284"/>
          <w:tab w:val="left" w:pos="1134"/>
        </w:tabs>
        <w:spacing w:before="120"/>
        <w:jc w:val="both"/>
        <w:rPr>
          <w:sz w:val="20"/>
          <w:szCs w:val="20"/>
          <w:lang w:val="en-GB"/>
        </w:rPr>
      </w:pPr>
      <w:r w:rsidRPr="002E341F">
        <w:rPr>
          <w:sz w:val="20"/>
          <w:szCs w:val="20"/>
          <w:lang w:val="en-GB"/>
        </w:rPr>
        <w:t xml:space="preserve">In macroeconomy, the cross-sectional factors contain a variety of data that could affect market stability and its operation. This research enriches studies on the economic impact of informational data in the banking sector by applying AI and machine learning models to classify </w:t>
      </w:r>
      <w:proofErr w:type="spellStart"/>
      <w:r w:rsidRPr="002E341F">
        <w:rPr>
          <w:sz w:val="20"/>
          <w:szCs w:val="20"/>
          <w:lang w:val="en-GB"/>
        </w:rPr>
        <w:t>rumors</w:t>
      </w:r>
      <w:proofErr w:type="spellEnd"/>
      <w:r w:rsidRPr="002E341F">
        <w:rPr>
          <w:sz w:val="20"/>
          <w:szCs w:val="20"/>
          <w:lang w:val="en-GB"/>
        </w:rPr>
        <w:t xml:space="preserve"> and </w:t>
      </w:r>
      <w:proofErr w:type="spellStart"/>
      <w:r w:rsidRPr="002E341F">
        <w:rPr>
          <w:sz w:val="20"/>
          <w:szCs w:val="20"/>
          <w:lang w:val="en-GB"/>
        </w:rPr>
        <w:t>analyze</w:t>
      </w:r>
      <w:proofErr w:type="spellEnd"/>
      <w:r w:rsidRPr="002E341F">
        <w:rPr>
          <w:sz w:val="20"/>
          <w:szCs w:val="20"/>
          <w:lang w:val="en-GB"/>
        </w:rPr>
        <w:t xml:space="preserve"> their effects on stock performance. Unlike previous work by Nguyen (2023), which focused on social media sentiment (mainly Facebook) and stock market fluctuations, this study examines the emergence of </w:t>
      </w:r>
      <w:proofErr w:type="spellStart"/>
      <w:r w:rsidRPr="002E341F">
        <w:rPr>
          <w:sz w:val="20"/>
          <w:szCs w:val="20"/>
          <w:lang w:val="en-GB"/>
        </w:rPr>
        <w:t>rumors</w:t>
      </w:r>
      <w:proofErr w:type="spellEnd"/>
      <w:r w:rsidRPr="002E341F">
        <w:rPr>
          <w:sz w:val="20"/>
          <w:szCs w:val="20"/>
          <w:lang w:val="en-GB"/>
        </w:rPr>
        <w:t xml:space="preserve"> across social media and internet platforms and their relation to stock price </w:t>
      </w:r>
      <w:proofErr w:type="spellStart"/>
      <w:r w:rsidRPr="002E341F">
        <w:rPr>
          <w:sz w:val="20"/>
          <w:szCs w:val="20"/>
          <w:lang w:val="en-GB"/>
        </w:rPr>
        <w:t>behaviors</w:t>
      </w:r>
      <w:proofErr w:type="spellEnd"/>
      <w:r w:rsidRPr="002E341F">
        <w:rPr>
          <w:sz w:val="20"/>
          <w:szCs w:val="20"/>
          <w:lang w:val="en-GB"/>
        </w:rPr>
        <w:t xml:space="preserve"> through stock price synchronicity building upon approaches by Zhang and Wang (2024). </w:t>
      </w:r>
    </w:p>
    <w:p w14:paraId="2519E4B6" w14:textId="456DBD58" w:rsidR="00F36376" w:rsidRPr="00074BFE" w:rsidRDefault="00F36376" w:rsidP="00F36376">
      <w:pPr>
        <w:pBdr>
          <w:top w:val="nil"/>
          <w:left w:val="nil"/>
          <w:bottom w:val="nil"/>
          <w:right w:val="nil"/>
          <w:between w:val="nil"/>
        </w:pBdr>
        <w:tabs>
          <w:tab w:val="left" w:pos="284"/>
          <w:tab w:val="left" w:pos="1134"/>
        </w:tabs>
        <w:spacing w:before="120"/>
        <w:jc w:val="both"/>
        <w:rPr>
          <w:sz w:val="20"/>
          <w:szCs w:val="20"/>
          <w:lang w:val="en-GB"/>
        </w:rPr>
      </w:pPr>
      <w:r w:rsidRPr="00074BFE">
        <w:rPr>
          <w:sz w:val="20"/>
          <w:szCs w:val="20"/>
          <w:lang w:val="en-GB"/>
        </w:rPr>
        <w:t xml:space="preserve">Our papers contribute to the literature in several ways. First, it adds knowledge to the current literature on </w:t>
      </w:r>
      <w:r w:rsidR="00FD04DA" w:rsidRPr="00074BFE">
        <w:rPr>
          <w:sz w:val="20"/>
          <w:szCs w:val="20"/>
          <w:lang w:val="en-GB"/>
        </w:rPr>
        <w:t xml:space="preserve">stock rumours, which become </w:t>
      </w:r>
      <w:r w:rsidR="00074BFE" w:rsidRPr="00074BFE">
        <w:rPr>
          <w:sz w:val="20"/>
          <w:szCs w:val="20"/>
          <w:lang w:val="en-GB"/>
        </w:rPr>
        <w:t>increasingly</w:t>
      </w:r>
      <w:r w:rsidR="00FD04DA" w:rsidRPr="00074BFE">
        <w:rPr>
          <w:sz w:val="20"/>
          <w:szCs w:val="20"/>
          <w:lang w:val="en-GB"/>
        </w:rPr>
        <w:t xml:space="preserve"> important given the rapid development of social media and advanced technology</w:t>
      </w:r>
      <w:r w:rsidR="00BB5395" w:rsidRPr="00074BFE">
        <w:rPr>
          <w:sz w:val="20"/>
          <w:szCs w:val="20"/>
          <w:lang w:val="en-GB"/>
        </w:rPr>
        <w:t xml:space="preserve">. Second, it provides. empirical evidence in an emerging market, which has a unique setting with high growth rate of development, population that use internet and social media a lot and a one-party political mechanism that may affect the information demand and supply. Third, it </w:t>
      </w:r>
      <w:r w:rsidR="009E2953" w:rsidRPr="00074BFE">
        <w:rPr>
          <w:sz w:val="20"/>
          <w:szCs w:val="20"/>
          <w:lang w:val="en-GB"/>
        </w:rPr>
        <w:t>provides</w:t>
      </w:r>
      <w:r w:rsidR="00BB5395" w:rsidRPr="00074BFE">
        <w:rPr>
          <w:sz w:val="20"/>
          <w:szCs w:val="20"/>
          <w:lang w:val="en-GB"/>
        </w:rPr>
        <w:t xml:space="preserve"> practical implications for banking industry, which is a sensitive industry with rumours.</w:t>
      </w:r>
    </w:p>
    <w:p w14:paraId="010F9140" w14:textId="4C62D0DF" w:rsidR="002E341F" w:rsidRPr="002E341F" w:rsidRDefault="002E341F" w:rsidP="002E341F">
      <w:pPr>
        <w:pBdr>
          <w:top w:val="nil"/>
          <w:left w:val="nil"/>
          <w:bottom w:val="nil"/>
          <w:right w:val="nil"/>
          <w:between w:val="nil"/>
        </w:pBdr>
        <w:tabs>
          <w:tab w:val="left" w:pos="284"/>
          <w:tab w:val="left" w:pos="1134"/>
        </w:tabs>
        <w:spacing w:before="120"/>
        <w:jc w:val="both"/>
        <w:rPr>
          <w:sz w:val="20"/>
          <w:szCs w:val="20"/>
          <w:lang w:val="en-GB"/>
        </w:rPr>
      </w:pPr>
      <w:proofErr w:type="spellStart"/>
      <w:r w:rsidRPr="002E341F">
        <w:rPr>
          <w:sz w:val="20"/>
          <w:szCs w:val="20"/>
          <w:lang w:val="en-GB"/>
        </w:rPr>
        <w:t>Rumors</w:t>
      </w:r>
      <w:proofErr w:type="spellEnd"/>
      <w:r w:rsidRPr="002E341F">
        <w:rPr>
          <w:sz w:val="20"/>
          <w:szCs w:val="20"/>
          <w:lang w:val="en-GB"/>
        </w:rPr>
        <w:t xml:space="preserve"> were systematically gathered through web scraping, using </w:t>
      </w:r>
      <w:proofErr w:type="spellStart"/>
      <w:r w:rsidRPr="002E341F">
        <w:rPr>
          <w:sz w:val="20"/>
          <w:szCs w:val="20"/>
          <w:lang w:val="en-GB"/>
        </w:rPr>
        <w:t>CafeF</w:t>
      </w:r>
      <w:proofErr w:type="spellEnd"/>
      <w:r w:rsidRPr="002E341F">
        <w:rPr>
          <w:sz w:val="20"/>
          <w:szCs w:val="20"/>
          <w:lang w:val="en-GB"/>
        </w:rPr>
        <w:t xml:space="preserve"> – a prominent Vietnamese financial information platform – as the primary data source, owing to its comprehensive, timely, and structured coverage of stock market developments. Subsequently, artificial intelligence and natural language processing techniques were applied to perform sentiment analysis, categorizing the </w:t>
      </w:r>
      <w:proofErr w:type="spellStart"/>
      <w:r w:rsidRPr="002E341F">
        <w:rPr>
          <w:sz w:val="20"/>
          <w:szCs w:val="20"/>
          <w:lang w:val="en-GB"/>
        </w:rPr>
        <w:t>rumors</w:t>
      </w:r>
      <w:proofErr w:type="spellEnd"/>
      <w:r w:rsidRPr="002E341F">
        <w:rPr>
          <w:sz w:val="20"/>
          <w:szCs w:val="20"/>
          <w:lang w:val="en-GB"/>
        </w:rPr>
        <w:t xml:space="preserve"> as positive, negative, or neutral. </w:t>
      </w:r>
    </w:p>
    <w:p w14:paraId="4197E25C" w14:textId="26169BC6" w:rsidR="002E341F" w:rsidRPr="002E341F" w:rsidRDefault="002E341F" w:rsidP="002E341F">
      <w:pPr>
        <w:pBdr>
          <w:top w:val="nil"/>
          <w:left w:val="nil"/>
          <w:bottom w:val="nil"/>
          <w:right w:val="nil"/>
          <w:between w:val="nil"/>
        </w:pBdr>
        <w:tabs>
          <w:tab w:val="left" w:pos="284"/>
          <w:tab w:val="left" w:pos="1134"/>
        </w:tabs>
        <w:spacing w:before="120"/>
        <w:jc w:val="both"/>
        <w:rPr>
          <w:sz w:val="20"/>
          <w:szCs w:val="20"/>
          <w:lang w:val="en-GB"/>
        </w:rPr>
      </w:pPr>
      <w:r w:rsidRPr="002E341F">
        <w:rPr>
          <w:sz w:val="20"/>
          <w:szCs w:val="20"/>
          <w:lang w:val="en-GB"/>
        </w:rPr>
        <w:t xml:space="preserve">Empirical results indicate no statistically significant effect of </w:t>
      </w:r>
      <w:proofErr w:type="spellStart"/>
      <w:r w:rsidRPr="002E341F">
        <w:rPr>
          <w:sz w:val="20"/>
          <w:szCs w:val="20"/>
          <w:lang w:val="en-GB"/>
        </w:rPr>
        <w:t>rumors</w:t>
      </w:r>
      <w:proofErr w:type="spellEnd"/>
      <w:r w:rsidRPr="002E341F">
        <w:rPr>
          <w:sz w:val="20"/>
          <w:szCs w:val="20"/>
          <w:lang w:val="en-GB"/>
        </w:rPr>
        <w:t xml:space="preserve"> on stock price synchronicity in the banking sector. This suggests that the observed </w:t>
      </w:r>
      <w:proofErr w:type="spellStart"/>
      <w:r w:rsidRPr="002E341F">
        <w:rPr>
          <w:sz w:val="20"/>
          <w:szCs w:val="20"/>
          <w:lang w:val="en-GB"/>
        </w:rPr>
        <w:t>rumors</w:t>
      </w:r>
      <w:proofErr w:type="spellEnd"/>
      <w:r w:rsidRPr="002E341F">
        <w:rPr>
          <w:sz w:val="20"/>
          <w:szCs w:val="20"/>
          <w:lang w:val="en-GB"/>
        </w:rPr>
        <w:t xml:space="preserve">, in both volume and nature, exhibit limited correlation with synchronicity, potentially due to sample constraints and sector-specific informational dynamics. Banking stocks typically demonstrate high synchronicity driven by market-wide factors, which may overshadow </w:t>
      </w:r>
      <w:proofErr w:type="spellStart"/>
      <w:r w:rsidRPr="002E341F">
        <w:rPr>
          <w:sz w:val="20"/>
          <w:szCs w:val="20"/>
          <w:lang w:val="en-GB"/>
        </w:rPr>
        <w:t>rumor</w:t>
      </w:r>
      <w:proofErr w:type="spellEnd"/>
      <w:r w:rsidRPr="002E341F">
        <w:rPr>
          <w:sz w:val="20"/>
          <w:szCs w:val="20"/>
          <w:lang w:val="en-GB"/>
        </w:rPr>
        <w:t xml:space="preserve">-induced fluctuations. These findings contribute to understanding information diffusion in Vietnam's banking market and suggest that more pronounced effects may emerge with expanded datasets and increased </w:t>
      </w:r>
      <w:proofErr w:type="spellStart"/>
      <w:r w:rsidRPr="002E341F">
        <w:rPr>
          <w:sz w:val="20"/>
          <w:szCs w:val="20"/>
          <w:lang w:val="en-GB"/>
        </w:rPr>
        <w:t>rumor</w:t>
      </w:r>
      <w:proofErr w:type="spellEnd"/>
      <w:r w:rsidRPr="002E341F">
        <w:rPr>
          <w:sz w:val="20"/>
          <w:szCs w:val="20"/>
          <w:lang w:val="en-GB"/>
        </w:rPr>
        <w:t xml:space="preserve"> prevalence. </w:t>
      </w:r>
    </w:p>
    <w:p w14:paraId="7C47E4D8" w14:textId="7EC33C67" w:rsidR="003D6CAC" w:rsidRDefault="002E341F" w:rsidP="002E341F">
      <w:pPr>
        <w:pBdr>
          <w:top w:val="nil"/>
          <w:left w:val="nil"/>
          <w:bottom w:val="nil"/>
          <w:right w:val="nil"/>
          <w:between w:val="nil"/>
        </w:pBdr>
        <w:tabs>
          <w:tab w:val="left" w:pos="284"/>
          <w:tab w:val="left" w:pos="1134"/>
        </w:tabs>
        <w:spacing w:before="120"/>
        <w:jc w:val="both"/>
        <w:rPr>
          <w:sz w:val="20"/>
          <w:szCs w:val="20"/>
          <w:lang w:val="en-GB"/>
        </w:rPr>
      </w:pPr>
      <w:r w:rsidRPr="002E341F">
        <w:rPr>
          <w:sz w:val="20"/>
          <w:szCs w:val="20"/>
          <w:lang w:val="en-GB"/>
        </w:rPr>
        <w:t xml:space="preserve">The paper continues as follows. Section 2 reviews the literature before section 3 develops the hypothesis. After that, we describe our research design and present empirical findings in section 4 and </w:t>
      </w:r>
      <w:proofErr w:type="gramStart"/>
      <w:r w:rsidRPr="002E341F">
        <w:rPr>
          <w:sz w:val="20"/>
          <w:szCs w:val="20"/>
          <w:lang w:val="en-GB"/>
        </w:rPr>
        <w:t>5, and</w:t>
      </w:r>
      <w:proofErr w:type="gramEnd"/>
      <w:r w:rsidRPr="002E341F">
        <w:rPr>
          <w:sz w:val="20"/>
          <w:szCs w:val="20"/>
          <w:lang w:val="en-GB"/>
        </w:rPr>
        <w:t xml:space="preserve"> make </w:t>
      </w:r>
      <w:proofErr w:type="gramStart"/>
      <w:r w:rsidRPr="002E341F">
        <w:rPr>
          <w:sz w:val="20"/>
          <w:szCs w:val="20"/>
          <w:lang w:val="en-GB"/>
        </w:rPr>
        <w:t>the final conclusion</w:t>
      </w:r>
      <w:proofErr w:type="gramEnd"/>
      <w:r w:rsidRPr="002E341F">
        <w:rPr>
          <w:sz w:val="20"/>
          <w:szCs w:val="20"/>
          <w:lang w:val="en-GB"/>
        </w:rPr>
        <w:t xml:space="preserve"> for section 6.</w:t>
      </w:r>
    </w:p>
    <w:p w14:paraId="1C078ED2" w14:textId="77777777" w:rsidR="002E341F" w:rsidRPr="000071E2" w:rsidRDefault="002E341F" w:rsidP="002E341F">
      <w:pPr>
        <w:pBdr>
          <w:top w:val="nil"/>
          <w:left w:val="nil"/>
          <w:bottom w:val="nil"/>
          <w:right w:val="nil"/>
          <w:between w:val="nil"/>
        </w:pBdr>
        <w:tabs>
          <w:tab w:val="left" w:pos="284"/>
          <w:tab w:val="left" w:pos="1134"/>
        </w:tabs>
        <w:spacing w:before="120"/>
        <w:jc w:val="both"/>
        <w:rPr>
          <w:b/>
          <w:smallCaps/>
          <w:sz w:val="20"/>
          <w:szCs w:val="20"/>
        </w:rPr>
      </w:pPr>
    </w:p>
    <w:p w14:paraId="6D233D75" w14:textId="182B3E6C" w:rsidR="003D6CAC" w:rsidRPr="000071E2" w:rsidRDefault="00436226">
      <w:pPr>
        <w:pBdr>
          <w:top w:val="nil"/>
          <w:left w:val="nil"/>
          <w:bottom w:val="nil"/>
          <w:right w:val="nil"/>
          <w:between w:val="nil"/>
        </w:pBdr>
        <w:tabs>
          <w:tab w:val="left" w:pos="284"/>
          <w:tab w:val="left" w:pos="1134"/>
        </w:tabs>
        <w:spacing w:before="120"/>
        <w:rPr>
          <w:b/>
          <w:smallCaps/>
          <w:color w:val="000000"/>
          <w:sz w:val="20"/>
          <w:szCs w:val="20"/>
        </w:rPr>
      </w:pPr>
      <w:r w:rsidRPr="000071E2">
        <w:rPr>
          <w:b/>
          <w:smallCaps/>
          <w:color w:val="000000"/>
          <w:sz w:val="20"/>
          <w:szCs w:val="20"/>
        </w:rPr>
        <w:t xml:space="preserve">2. LITERATURE REVIEW </w:t>
      </w:r>
    </w:p>
    <w:p w14:paraId="1C2BB14D" w14:textId="77777777" w:rsidR="00FE0F15" w:rsidRPr="00074BFE" w:rsidRDefault="00FE0F15" w:rsidP="00FE0F15">
      <w:pPr>
        <w:pBdr>
          <w:top w:val="nil"/>
          <w:left w:val="nil"/>
          <w:bottom w:val="nil"/>
          <w:right w:val="nil"/>
          <w:between w:val="nil"/>
        </w:pBdr>
        <w:tabs>
          <w:tab w:val="left" w:pos="284"/>
          <w:tab w:val="left" w:pos="1134"/>
        </w:tabs>
        <w:spacing w:before="120"/>
        <w:jc w:val="both"/>
        <w:rPr>
          <w:sz w:val="20"/>
          <w:szCs w:val="20"/>
          <w:lang w:val="en-GB"/>
        </w:rPr>
      </w:pPr>
      <w:r w:rsidRPr="2B9B77EA">
        <w:rPr>
          <w:sz w:val="20"/>
          <w:szCs w:val="20"/>
          <w:lang w:val="en-GB"/>
        </w:rPr>
        <w:t xml:space="preserve">In financial markets, </w:t>
      </w:r>
      <w:proofErr w:type="spellStart"/>
      <w:r w:rsidRPr="2B9B77EA">
        <w:rPr>
          <w:sz w:val="20"/>
          <w:szCs w:val="20"/>
          <w:lang w:val="en-GB"/>
        </w:rPr>
        <w:t>rumors</w:t>
      </w:r>
      <w:proofErr w:type="spellEnd"/>
      <w:r w:rsidRPr="2B9B77EA">
        <w:rPr>
          <w:sz w:val="20"/>
          <w:szCs w:val="20"/>
          <w:lang w:val="en-GB"/>
        </w:rPr>
        <w:t xml:space="preserve"> are defined as unverified pieces of information that spread rapidly, especially in contexts marked by uncertainty or emotional intensity (Peterson &amp; Gist, 1951; Buckner, 1965). They often emerge as collective attempts to interpret ambiguous events, particularly when public interest is heightened. Unlike fake news, which is intentionally fabricated to manipulate public perception and investor </w:t>
      </w:r>
      <w:proofErr w:type="spellStart"/>
      <w:r w:rsidRPr="2B9B77EA">
        <w:rPr>
          <w:sz w:val="20"/>
          <w:szCs w:val="20"/>
          <w:lang w:val="en-GB"/>
        </w:rPr>
        <w:t>behavior</w:t>
      </w:r>
      <w:proofErr w:type="spellEnd"/>
      <w:r w:rsidRPr="2B9B77EA">
        <w:rPr>
          <w:sz w:val="20"/>
          <w:szCs w:val="20"/>
          <w:lang w:val="en-GB"/>
        </w:rPr>
        <w:t xml:space="preserve"> (Allcott &amp; Gentzkow, 2017), </w:t>
      </w:r>
      <w:proofErr w:type="spellStart"/>
      <w:r w:rsidRPr="2B9B77EA">
        <w:rPr>
          <w:sz w:val="20"/>
          <w:szCs w:val="20"/>
          <w:lang w:val="en-GB"/>
        </w:rPr>
        <w:t>rumors</w:t>
      </w:r>
      <w:proofErr w:type="spellEnd"/>
      <w:r w:rsidRPr="2B9B77EA">
        <w:rPr>
          <w:sz w:val="20"/>
          <w:szCs w:val="20"/>
          <w:lang w:val="en-GB"/>
        </w:rPr>
        <w:t xml:space="preserve"> are characterized by their uncertain truth value at the time of circulation. They can eventually prove to be true or false, and even when later disproven, they often arise without any clearly malicious intent (Q. Shi et al., 2023). The origin and perceived credibility of a </w:t>
      </w:r>
      <w:proofErr w:type="spellStart"/>
      <w:r w:rsidRPr="2B9B77EA">
        <w:rPr>
          <w:sz w:val="20"/>
          <w:szCs w:val="20"/>
          <w:lang w:val="en-GB"/>
        </w:rPr>
        <w:t>rumor</w:t>
      </w:r>
      <w:proofErr w:type="spellEnd"/>
      <w:r w:rsidRPr="2B9B77EA">
        <w:rPr>
          <w:sz w:val="20"/>
          <w:szCs w:val="20"/>
          <w:lang w:val="en-GB"/>
        </w:rPr>
        <w:t xml:space="preserve"> often matter more than its factual content. In financial markets, </w:t>
      </w:r>
      <w:proofErr w:type="spellStart"/>
      <w:r w:rsidRPr="2B9B77EA">
        <w:rPr>
          <w:sz w:val="20"/>
          <w:szCs w:val="20"/>
          <w:lang w:val="en-GB"/>
        </w:rPr>
        <w:t>rumors</w:t>
      </w:r>
      <w:proofErr w:type="spellEnd"/>
      <w:r w:rsidRPr="2B9B77EA">
        <w:rPr>
          <w:sz w:val="20"/>
          <w:szCs w:val="20"/>
          <w:lang w:val="en-GB"/>
        </w:rPr>
        <w:t xml:space="preserve"> </w:t>
      </w:r>
      <w:proofErr w:type="gramStart"/>
      <w:r w:rsidRPr="2B9B77EA">
        <w:rPr>
          <w:sz w:val="20"/>
          <w:szCs w:val="20"/>
          <w:lang w:val="en-GB"/>
        </w:rPr>
        <w:t>serves</w:t>
      </w:r>
      <w:proofErr w:type="gramEnd"/>
      <w:r w:rsidRPr="2B9B77EA">
        <w:rPr>
          <w:sz w:val="20"/>
          <w:szCs w:val="20"/>
          <w:lang w:val="en-GB"/>
        </w:rPr>
        <w:t xml:space="preserve"> as informal information channel that can significantly affect investor sentiment and market </w:t>
      </w:r>
      <w:proofErr w:type="spellStart"/>
      <w:r w:rsidRPr="2B9B77EA">
        <w:rPr>
          <w:sz w:val="20"/>
          <w:szCs w:val="20"/>
          <w:lang w:val="en-GB"/>
        </w:rPr>
        <w:t>behavior</w:t>
      </w:r>
      <w:proofErr w:type="spellEnd"/>
      <w:r w:rsidRPr="2B9B77EA">
        <w:rPr>
          <w:sz w:val="20"/>
          <w:szCs w:val="20"/>
          <w:lang w:val="en-GB"/>
        </w:rPr>
        <w:t xml:space="preserve">. They are typically classified by sentiment (positive, negative, or neutral), scope (firm-level, industry-level, or macroeconomic), popularity, propagation </w:t>
      </w:r>
      <w:r w:rsidRPr="00074BFE">
        <w:rPr>
          <w:sz w:val="20"/>
          <w:szCs w:val="20"/>
          <w:lang w:val="en-GB"/>
        </w:rPr>
        <w:t>speed, and response from formal institutions (</w:t>
      </w:r>
      <w:proofErr w:type="spellStart"/>
      <w:r w:rsidRPr="00074BFE">
        <w:rPr>
          <w:sz w:val="20"/>
          <w:szCs w:val="20"/>
          <w:lang w:val="en-GB"/>
        </w:rPr>
        <w:t>Wirama</w:t>
      </w:r>
      <w:proofErr w:type="spellEnd"/>
      <w:r w:rsidRPr="00074BFE">
        <w:rPr>
          <w:sz w:val="20"/>
          <w:szCs w:val="20"/>
          <w:lang w:val="en-GB"/>
        </w:rPr>
        <w:t xml:space="preserve"> et al., 2017; Q. Shi et al., 2023). For instance, </w:t>
      </w:r>
      <w:proofErr w:type="spellStart"/>
      <w:r w:rsidRPr="00074BFE">
        <w:rPr>
          <w:sz w:val="20"/>
          <w:szCs w:val="20"/>
          <w:lang w:val="en-GB"/>
        </w:rPr>
        <w:t>Kiymaz</w:t>
      </w:r>
      <w:proofErr w:type="spellEnd"/>
      <w:r w:rsidRPr="00074BFE">
        <w:rPr>
          <w:sz w:val="20"/>
          <w:szCs w:val="20"/>
          <w:lang w:val="en-GB"/>
        </w:rPr>
        <w:t xml:space="preserve"> (2001), documented that </w:t>
      </w:r>
      <w:proofErr w:type="spellStart"/>
      <w:r w:rsidRPr="00074BFE">
        <w:rPr>
          <w:sz w:val="20"/>
          <w:szCs w:val="20"/>
          <w:lang w:val="en-GB"/>
        </w:rPr>
        <w:t>rumors</w:t>
      </w:r>
      <w:proofErr w:type="spellEnd"/>
      <w:r w:rsidRPr="00074BFE">
        <w:rPr>
          <w:sz w:val="20"/>
          <w:szCs w:val="20"/>
          <w:lang w:val="en-GB"/>
        </w:rPr>
        <w:t xml:space="preserve"> in an emerging market related to increase in earnings expectations or attracting foreign investor purchase especially impactful on stock price.  Especially, one important characteristic is veracity where it indicates that the market often occur well before the </w:t>
      </w:r>
      <w:proofErr w:type="spellStart"/>
      <w:r w:rsidRPr="00074BFE">
        <w:rPr>
          <w:sz w:val="20"/>
          <w:szCs w:val="20"/>
          <w:lang w:val="en-GB"/>
        </w:rPr>
        <w:t>rumor</w:t>
      </w:r>
      <w:proofErr w:type="spellEnd"/>
      <w:r w:rsidRPr="00074BFE">
        <w:rPr>
          <w:sz w:val="20"/>
          <w:szCs w:val="20"/>
          <w:lang w:val="en-GB"/>
        </w:rPr>
        <w:t xml:space="preserve"> is known, whether it would be proved to be true or false. </w:t>
      </w:r>
      <w:proofErr w:type="spellStart"/>
      <w:r w:rsidRPr="00074BFE">
        <w:rPr>
          <w:sz w:val="20"/>
          <w:szCs w:val="20"/>
          <w:lang w:val="en-GB"/>
        </w:rPr>
        <w:t>Rumors</w:t>
      </w:r>
      <w:proofErr w:type="spellEnd"/>
      <w:r w:rsidRPr="00074BFE">
        <w:rPr>
          <w:sz w:val="20"/>
          <w:szCs w:val="20"/>
          <w:lang w:val="en-GB"/>
        </w:rPr>
        <w:t xml:space="preserve"> create informational asymmetry and uncertainty, often compelling investors to make speculative decisions. During crises, heightened stakeholder tensions create fertile ground for misinformation, which can spread to other banks via a “guilt by association” mechanism, causing reputational damage and financial strain across the sector (Greve, 2016; Yuliia, 2017).</w:t>
      </w:r>
    </w:p>
    <w:p w14:paraId="533DA69F" w14:textId="77777777" w:rsidR="00FE0F15" w:rsidRPr="00074BFE" w:rsidRDefault="00FE0F15" w:rsidP="00FE0F15">
      <w:pPr>
        <w:pBdr>
          <w:top w:val="nil"/>
          <w:left w:val="nil"/>
          <w:bottom w:val="nil"/>
          <w:right w:val="nil"/>
          <w:between w:val="nil"/>
        </w:pBdr>
        <w:tabs>
          <w:tab w:val="left" w:pos="284"/>
          <w:tab w:val="left" w:pos="1134"/>
        </w:tabs>
        <w:spacing w:before="120"/>
        <w:jc w:val="both"/>
        <w:rPr>
          <w:sz w:val="20"/>
          <w:szCs w:val="20"/>
          <w:lang w:val="en-GB"/>
        </w:rPr>
      </w:pPr>
      <w:r w:rsidRPr="00074BFE">
        <w:rPr>
          <w:sz w:val="20"/>
          <w:szCs w:val="20"/>
          <w:lang w:val="en-GB"/>
        </w:rPr>
        <w:t xml:space="preserve">The emergence era of digital communication platforms and social media has amplified the spread of </w:t>
      </w:r>
      <w:proofErr w:type="spellStart"/>
      <w:r w:rsidRPr="00074BFE">
        <w:rPr>
          <w:sz w:val="20"/>
          <w:szCs w:val="20"/>
          <w:lang w:val="en-GB"/>
        </w:rPr>
        <w:t>rumors</w:t>
      </w:r>
      <w:proofErr w:type="spellEnd"/>
      <w:r w:rsidRPr="00074BFE">
        <w:rPr>
          <w:sz w:val="20"/>
          <w:szCs w:val="20"/>
          <w:lang w:val="en-GB"/>
        </w:rPr>
        <w:t xml:space="preserve">, providing unmoderated channels through which unverified content can gain rapid traction and influence public perception. </w:t>
      </w:r>
      <w:proofErr w:type="spellStart"/>
      <w:r w:rsidRPr="00074BFE">
        <w:rPr>
          <w:sz w:val="20"/>
          <w:szCs w:val="20"/>
          <w:lang w:val="en-GB"/>
        </w:rPr>
        <w:t>Rumors</w:t>
      </w:r>
      <w:proofErr w:type="spellEnd"/>
      <w:r w:rsidRPr="00074BFE">
        <w:rPr>
          <w:sz w:val="20"/>
          <w:szCs w:val="20"/>
          <w:lang w:val="en-GB"/>
        </w:rPr>
        <w:t xml:space="preserve"> propagate through complex networks, shaped by factors such as group cohesion, shared interests, emotional salience, and ideological alignment (Zubiaga et al., 2015; Zubiaga et al., 2017; </w:t>
      </w:r>
      <w:proofErr w:type="spellStart"/>
      <w:r w:rsidRPr="00074BFE">
        <w:rPr>
          <w:sz w:val="20"/>
          <w:szCs w:val="20"/>
          <w:lang w:val="en-GB"/>
        </w:rPr>
        <w:t>Alkhodair</w:t>
      </w:r>
      <w:proofErr w:type="spellEnd"/>
      <w:r w:rsidRPr="00074BFE">
        <w:rPr>
          <w:sz w:val="20"/>
          <w:szCs w:val="20"/>
          <w:lang w:val="en-GB"/>
        </w:rPr>
        <w:t xml:space="preserve"> et al., 2019; Zhu et al., 2024). There are several characteristics of social platform </w:t>
      </w:r>
      <w:proofErr w:type="spellStart"/>
      <w:r w:rsidRPr="00074BFE">
        <w:rPr>
          <w:sz w:val="20"/>
          <w:szCs w:val="20"/>
          <w:lang w:val="en-GB"/>
        </w:rPr>
        <w:t>rumors</w:t>
      </w:r>
      <w:proofErr w:type="spellEnd"/>
      <w:r w:rsidRPr="00074BFE">
        <w:rPr>
          <w:sz w:val="20"/>
          <w:szCs w:val="20"/>
          <w:lang w:val="en-GB"/>
        </w:rPr>
        <w:t xml:space="preserve"> exacerbate their impact. First, social media regulations still not too strict which facilitates people spread false information anonymously without taking responsibility and make it easier for </w:t>
      </w:r>
      <w:proofErr w:type="spellStart"/>
      <w:r w:rsidRPr="00074BFE">
        <w:rPr>
          <w:sz w:val="20"/>
          <w:szCs w:val="20"/>
          <w:lang w:val="en-GB"/>
        </w:rPr>
        <w:t>rumors</w:t>
      </w:r>
      <w:proofErr w:type="spellEnd"/>
      <w:r w:rsidRPr="00074BFE">
        <w:rPr>
          <w:sz w:val="20"/>
          <w:szCs w:val="20"/>
          <w:lang w:val="en-GB"/>
        </w:rPr>
        <w:t xml:space="preserve"> to grow. Second, investors often tend to follow the people sharing the same mind. Emotional tone and personal </w:t>
      </w:r>
      <w:r w:rsidRPr="00074BFE">
        <w:rPr>
          <w:sz w:val="20"/>
          <w:szCs w:val="20"/>
          <w:lang w:val="en-GB"/>
        </w:rPr>
        <w:lastRenderedPageBreak/>
        <w:t xml:space="preserve">involvement further affect trust in and willingness to share </w:t>
      </w:r>
      <w:proofErr w:type="spellStart"/>
      <w:r w:rsidRPr="00074BFE">
        <w:rPr>
          <w:sz w:val="20"/>
          <w:szCs w:val="20"/>
          <w:lang w:val="en-GB"/>
        </w:rPr>
        <w:t>rumors</w:t>
      </w:r>
      <w:proofErr w:type="spellEnd"/>
      <w:r w:rsidRPr="00074BFE">
        <w:rPr>
          <w:sz w:val="20"/>
          <w:szCs w:val="20"/>
          <w:lang w:val="en-GB"/>
        </w:rPr>
        <w:t xml:space="preserve"> (Chua &amp; Banerjee, 2018). This creates “echo chambers”, where a </w:t>
      </w:r>
      <w:proofErr w:type="spellStart"/>
      <w:r w:rsidRPr="00074BFE">
        <w:rPr>
          <w:sz w:val="20"/>
          <w:szCs w:val="20"/>
          <w:lang w:val="en-GB"/>
        </w:rPr>
        <w:t>rumor</w:t>
      </w:r>
      <w:proofErr w:type="spellEnd"/>
      <w:r w:rsidRPr="00074BFE">
        <w:rPr>
          <w:sz w:val="20"/>
          <w:szCs w:val="20"/>
          <w:lang w:val="en-GB"/>
        </w:rPr>
        <w:t xml:space="preserve"> is repeated multiple times that it started to gain investors’ believe.  Consequently, social media both perpetuates longstanding misconceptions and facilitates the rapid emergence of new, event-driven </w:t>
      </w:r>
      <w:proofErr w:type="spellStart"/>
      <w:r w:rsidRPr="00074BFE">
        <w:rPr>
          <w:sz w:val="20"/>
          <w:szCs w:val="20"/>
          <w:lang w:val="en-GB"/>
        </w:rPr>
        <w:t>rumors</w:t>
      </w:r>
      <w:proofErr w:type="spellEnd"/>
      <w:r w:rsidRPr="00074BFE">
        <w:rPr>
          <w:sz w:val="20"/>
          <w:szCs w:val="20"/>
          <w:lang w:val="en-GB"/>
        </w:rPr>
        <w:t xml:space="preserve"> (Zubiaga et al., 2015; Zubiaga et al., 2017). Users frequently share unverified claims before confirmation, and even reputable institutions can inadvertently contribute to misinformation, complicating the distinction between truth and falsehood in the digital age. </w:t>
      </w:r>
    </w:p>
    <w:p w14:paraId="7F2DFED2" w14:textId="01A5073E" w:rsidR="00FE0F15" w:rsidRPr="008C5C33" w:rsidRDefault="00FE0F15" w:rsidP="00FE0F15">
      <w:pPr>
        <w:pBdr>
          <w:top w:val="nil"/>
          <w:left w:val="nil"/>
          <w:bottom w:val="nil"/>
          <w:right w:val="nil"/>
          <w:between w:val="nil"/>
        </w:pBdr>
        <w:tabs>
          <w:tab w:val="left" w:pos="284"/>
          <w:tab w:val="left" w:pos="1134"/>
        </w:tabs>
        <w:spacing w:before="120"/>
        <w:jc w:val="both"/>
        <w:rPr>
          <w:sz w:val="20"/>
          <w:szCs w:val="20"/>
        </w:rPr>
      </w:pPr>
      <w:r w:rsidRPr="00074BFE">
        <w:rPr>
          <w:sz w:val="20"/>
          <w:szCs w:val="20"/>
          <w:lang w:val="en-GB"/>
        </w:rPr>
        <w:t xml:space="preserve">The dynamics of </w:t>
      </w:r>
      <w:proofErr w:type="spellStart"/>
      <w:r w:rsidRPr="00074BFE">
        <w:rPr>
          <w:sz w:val="20"/>
          <w:szCs w:val="20"/>
          <w:lang w:val="en-GB"/>
        </w:rPr>
        <w:t>rumor</w:t>
      </w:r>
      <w:proofErr w:type="spellEnd"/>
      <w:r w:rsidRPr="00074BFE">
        <w:rPr>
          <w:sz w:val="20"/>
          <w:szCs w:val="20"/>
          <w:lang w:val="en-GB"/>
        </w:rPr>
        <w:t xml:space="preserve"> formation and </w:t>
      </w:r>
      <w:proofErr w:type="spellStart"/>
      <w:r w:rsidRPr="00074BFE">
        <w:rPr>
          <w:sz w:val="20"/>
          <w:szCs w:val="20"/>
          <w:lang w:val="en-GB"/>
        </w:rPr>
        <w:t>amplication</w:t>
      </w:r>
      <w:proofErr w:type="spellEnd"/>
      <w:r w:rsidRPr="00074BFE">
        <w:rPr>
          <w:sz w:val="20"/>
          <w:szCs w:val="20"/>
          <w:lang w:val="en-GB"/>
        </w:rPr>
        <w:t xml:space="preserve"> on social media are not only theoretical concerns but also carry tangible consequences for the market. Once embedded in investor networks, these </w:t>
      </w:r>
      <w:proofErr w:type="spellStart"/>
      <w:r w:rsidRPr="00074BFE">
        <w:rPr>
          <w:sz w:val="20"/>
          <w:szCs w:val="20"/>
          <w:lang w:val="en-GB"/>
        </w:rPr>
        <w:t>rumors</w:t>
      </w:r>
      <w:proofErr w:type="spellEnd"/>
      <w:r w:rsidRPr="00074BFE">
        <w:rPr>
          <w:sz w:val="20"/>
          <w:szCs w:val="20"/>
          <w:lang w:val="en-GB"/>
        </w:rPr>
        <w:t xml:space="preserve"> can distort decision-making and directly affect the firm price. Studies have demonstrated that </w:t>
      </w:r>
      <w:proofErr w:type="spellStart"/>
      <w:r w:rsidRPr="00074BFE">
        <w:rPr>
          <w:sz w:val="20"/>
          <w:szCs w:val="20"/>
          <w:lang w:val="en-GB"/>
        </w:rPr>
        <w:t>rumors</w:t>
      </w:r>
      <w:proofErr w:type="spellEnd"/>
      <w:r w:rsidRPr="00074BFE">
        <w:rPr>
          <w:sz w:val="20"/>
          <w:szCs w:val="20"/>
          <w:lang w:val="en-GB"/>
        </w:rPr>
        <w:t xml:space="preserve"> can reduce price efficiency by increasing mispricing, volatility, and irrational trading </w:t>
      </w:r>
      <w:proofErr w:type="spellStart"/>
      <w:r w:rsidRPr="00074BFE">
        <w:rPr>
          <w:sz w:val="20"/>
          <w:szCs w:val="20"/>
          <w:lang w:val="en-GB"/>
        </w:rPr>
        <w:t>behaviors</w:t>
      </w:r>
      <w:proofErr w:type="spellEnd"/>
      <w:r w:rsidRPr="00074BFE">
        <w:rPr>
          <w:sz w:val="20"/>
          <w:szCs w:val="20"/>
          <w:lang w:val="en-GB"/>
        </w:rPr>
        <w:t>, especially in markets with high retail investor participation and low transparency (</w:t>
      </w:r>
      <w:proofErr w:type="spellStart"/>
      <w:r w:rsidRPr="00074BFE">
        <w:rPr>
          <w:sz w:val="20"/>
          <w:szCs w:val="20"/>
          <w:lang w:val="en-GB"/>
        </w:rPr>
        <w:t>Kiymaz</w:t>
      </w:r>
      <w:proofErr w:type="spellEnd"/>
      <w:r w:rsidRPr="00074BFE">
        <w:rPr>
          <w:sz w:val="20"/>
          <w:szCs w:val="20"/>
          <w:lang w:val="en-GB"/>
        </w:rPr>
        <w:t xml:space="preserve">, 2001; </w:t>
      </w:r>
      <w:proofErr w:type="spellStart"/>
      <w:r w:rsidRPr="00074BFE">
        <w:rPr>
          <w:sz w:val="20"/>
          <w:szCs w:val="20"/>
          <w:lang w:val="en-GB"/>
        </w:rPr>
        <w:t>Kosfeld</w:t>
      </w:r>
      <w:proofErr w:type="spellEnd"/>
      <w:r w:rsidRPr="00074BFE">
        <w:rPr>
          <w:sz w:val="20"/>
          <w:szCs w:val="20"/>
          <w:lang w:val="en-GB"/>
        </w:rPr>
        <w:t>, 2005; Herzing &amp; M</w:t>
      </w:r>
      <w:r w:rsidRPr="2B9B77EA">
        <w:rPr>
          <w:sz w:val="20"/>
          <w:szCs w:val="20"/>
          <w:lang w:val="en-GB"/>
        </w:rPr>
        <w:t xml:space="preserve">uck, 2024). </w:t>
      </w:r>
      <w:proofErr w:type="gramStart"/>
      <w:r w:rsidRPr="2B9B77EA">
        <w:rPr>
          <w:sz w:val="20"/>
          <w:szCs w:val="20"/>
          <w:lang w:val="en-GB"/>
        </w:rPr>
        <w:t>In particular, banking</w:t>
      </w:r>
      <w:proofErr w:type="gramEnd"/>
      <w:r w:rsidRPr="2B9B77EA">
        <w:rPr>
          <w:sz w:val="20"/>
          <w:szCs w:val="20"/>
          <w:lang w:val="en-GB"/>
        </w:rPr>
        <w:t xml:space="preserve"> stocks </w:t>
      </w:r>
      <w:proofErr w:type="spellStart"/>
      <w:r w:rsidRPr="2B9B77EA">
        <w:rPr>
          <w:sz w:val="20"/>
          <w:szCs w:val="20"/>
          <w:lang w:val="en-GB"/>
        </w:rPr>
        <w:t>rumors</w:t>
      </w:r>
      <w:proofErr w:type="spellEnd"/>
      <w:r w:rsidRPr="2B9B77EA">
        <w:rPr>
          <w:sz w:val="20"/>
          <w:szCs w:val="20"/>
          <w:lang w:val="en-GB"/>
        </w:rPr>
        <w:t xml:space="preserve"> have been shown to disrupt stock price synchronicity (SPS) </w:t>
      </w:r>
      <w:proofErr w:type="gramStart"/>
      <w:r w:rsidRPr="2B9B77EA">
        <w:rPr>
          <w:sz w:val="20"/>
          <w:szCs w:val="20"/>
          <w:lang w:val="en-GB"/>
        </w:rPr>
        <w:t>and also</w:t>
      </w:r>
      <w:proofErr w:type="gramEnd"/>
      <w:r w:rsidRPr="2B9B77EA">
        <w:rPr>
          <w:sz w:val="20"/>
          <w:szCs w:val="20"/>
          <w:lang w:val="en-GB"/>
        </w:rPr>
        <w:t xml:space="preserve"> increase volatility while amplifying short-term inefficiency in financial markets (Zhang et al., 2022; Meteb, 2024; Feng, 2004). Since lower SPS indicates greater incorporation of firm-specific information while higher SPS can reflect noise trading or slower integration of information (Li et al., 2020; Qiu et al., 2019; Hu et al., 2019) the distortion caused by </w:t>
      </w:r>
      <w:proofErr w:type="spellStart"/>
      <w:r w:rsidRPr="2B9B77EA">
        <w:rPr>
          <w:sz w:val="20"/>
          <w:szCs w:val="20"/>
          <w:lang w:val="en-GB"/>
        </w:rPr>
        <w:t>rumors</w:t>
      </w:r>
      <w:proofErr w:type="spellEnd"/>
      <w:r w:rsidRPr="2B9B77EA">
        <w:rPr>
          <w:sz w:val="20"/>
          <w:szCs w:val="20"/>
          <w:lang w:val="en-GB"/>
        </w:rPr>
        <w:t xml:space="preserve"> manifests in abnormal returns. </w:t>
      </w:r>
      <w:r w:rsidR="008C5C33">
        <w:rPr>
          <w:sz w:val="20"/>
          <w:szCs w:val="20"/>
          <w:lang w:val="en-GB"/>
        </w:rPr>
        <w:t>Th</w:t>
      </w:r>
      <w:r w:rsidR="008C5C33">
        <w:rPr>
          <w:sz w:val="20"/>
          <w:szCs w:val="20"/>
        </w:rPr>
        <w:t>ese events capture the stock price deviations from their fundamental values in a short time</w:t>
      </w:r>
      <w:r w:rsidRPr="2B9B77EA">
        <w:rPr>
          <w:sz w:val="20"/>
          <w:szCs w:val="20"/>
          <w:lang w:val="en-GB"/>
        </w:rPr>
        <w:t xml:space="preserve">, representing the mispricing </w:t>
      </w:r>
      <w:proofErr w:type="spellStart"/>
      <w:r w:rsidRPr="2B9B77EA">
        <w:rPr>
          <w:sz w:val="20"/>
          <w:szCs w:val="20"/>
          <w:lang w:val="en-GB"/>
        </w:rPr>
        <w:t>rumor</w:t>
      </w:r>
      <w:proofErr w:type="spellEnd"/>
      <w:r w:rsidRPr="2B9B77EA">
        <w:rPr>
          <w:sz w:val="20"/>
          <w:szCs w:val="20"/>
          <w:lang w:val="en-GB"/>
        </w:rPr>
        <w:t xml:space="preserve">-induced and temporary inefficiencies.  </w:t>
      </w:r>
    </w:p>
    <w:p w14:paraId="2295AF0F" w14:textId="3975C81A" w:rsidR="00FE0F15" w:rsidRPr="002E341F" w:rsidRDefault="00FE0F15" w:rsidP="00FE0F15">
      <w:pPr>
        <w:pBdr>
          <w:top w:val="nil"/>
          <w:left w:val="nil"/>
          <w:bottom w:val="nil"/>
          <w:right w:val="nil"/>
          <w:between w:val="nil"/>
        </w:pBdr>
        <w:tabs>
          <w:tab w:val="left" w:pos="284"/>
          <w:tab w:val="left" w:pos="1134"/>
        </w:tabs>
        <w:spacing w:before="120"/>
        <w:jc w:val="both"/>
        <w:rPr>
          <w:sz w:val="20"/>
          <w:szCs w:val="20"/>
          <w:lang w:val="en-GB"/>
        </w:rPr>
      </w:pPr>
      <w:r w:rsidRPr="002E341F">
        <w:rPr>
          <w:sz w:val="20"/>
          <w:szCs w:val="20"/>
          <w:lang w:val="en-GB"/>
        </w:rPr>
        <w:t xml:space="preserve">International studies provide </w:t>
      </w:r>
      <w:r w:rsidR="008C5C33">
        <w:rPr>
          <w:sz w:val="20"/>
          <w:szCs w:val="20"/>
          <w:lang w:val="en-GB"/>
        </w:rPr>
        <w:t xml:space="preserve">observed </w:t>
      </w:r>
      <w:r w:rsidRPr="002E341F">
        <w:rPr>
          <w:sz w:val="20"/>
          <w:szCs w:val="20"/>
          <w:lang w:val="en-GB"/>
        </w:rPr>
        <w:t>evidence of the</w:t>
      </w:r>
      <w:r w:rsidR="008C5C33">
        <w:rPr>
          <w:sz w:val="20"/>
          <w:szCs w:val="20"/>
          <w:lang w:val="en-GB"/>
        </w:rPr>
        <w:t xml:space="preserve"> </w:t>
      </w:r>
      <w:proofErr w:type="spellStart"/>
      <w:r w:rsidR="008C5C33">
        <w:rPr>
          <w:sz w:val="20"/>
          <w:szCs w:val="20"/>
          <w:lang w:val="en-GB"/>
        </w:rPr>
        <w:t>rumors’</w:t>
      </w:r>
      <w:proofErr w:type="spellEnd"/>
      <w:r w:rsidRPr="002E341F">
        <w:rPr>
          <w:sz w:val="20"/>
          <w:szCs w:val="20"/>
          <w:lang w:val="en-GB"/>
        </w:rPr>
        <w:t xml:space="preserve"> disruptive effects. In China, machine learning and econometric analysis reveal that social media </w:t>
      </w:r>
      <w:proofErr w:type="spellStart"/>
      <w:r w:rsidRPr="002E341F">
        <w:rPr>
          <w:sz w:val="20"/>
          <w:szCs w:val="20"/>
          <w:lang w:val="en-GB"/>
        </w:rPr>
        <w:t>rumors</w:t>
      </w:r>
      <w:proofErr w:type="spellEnd"/>
      <w:r w:rsidRPr="002E341F">
        <w:rPr>
          <w:sz w:val="20"/>
          <w:szCs w:val="20"/>
          <w:lang w:val="en-GB"/>
        </w:rPr>
        <w:t xml:space="preserve"> generate abnormal stock fluctuations and lagged negative effects on stock prices, undermining financial stability (Zhang et al., 2022; Meteb, 2024). In the U.S., takeover </w:t>
      </w:r>
      <w:proofErr w:type="spellStart"/>
      <w:r w:rsidRPr="002E341F">
        <w:rPr>
          <w:sz w:val="20"/>
          <w:szCs w:val="20"/>
          <w:lang w:val="en-GB"/>
        </w:rPr>
        <w:t>rumors</w:t>
      </w:r>
      <w:proofErr w:type="spellEnd"/>
      <w:r w:rsidRPr="002E341F">
        <w:rPr>
          <w:sz w:val="20"/>
          <w:szCs w:val="20"/>
          <w:lang w:val="en-GB"/>
        </w:rPr>
        <w:t xml:space="preserve"> increased target bank stock prices, often resulting in inflated acquisition premiums and market inefficiency (Feng, 2004). These findings underscore the necessity for effective detection, timely response mechanisms, and regulatory oversight to mitigate </w:t>
      </w:r>
      <w:proofErr w:type="spellStart"/>
      <w:r w:rsidRPr="002E341F">
        <w:rPr>
          <w:sz w:val="20"/>
          <w:szCs w:val="20"/>
          <w:lang w:val="en-GB"/>
        </w:rPr>
        <w:t>rumor</w:t>
      </w:r>
      <w:proofErr w:type="spellEnd"/>
      <w:r w:rsidRPr="002E341F">
        <w:rPr>
          <w:sz w:val="20"/>
          <w:szCs w:val="20"/>
          <w:lang w:val="en-GB"/>
        </w:rPr>
        <w:t xml:space="preserve">-induced risks. </w:t>
      </w:r>
    </w:p>
    <w:p w14:paraId="63699429" w14:textId="77777777" w:rsidR="00FE0F15" w:rsidRPr="002E341F" w:rsidRDefault="00FE0F15" w:rsidP="00FE0F15">
      <w:pPr>
        <w:pBdr>
          <w:top w:val="nil"/>
          <w:left w:val="nil"/>
          <w:bottom w:val="nil"/>
          <w:right w:val="nil"/>
          <w:between w:val="nil"/>
        </w:pBdr>
        <w:tabs>
          <w:tab w:val="left" w:pos="284"/>
          <w:tab w:val="left" w:pos="1134"/>
        </w:tabs>
        <w:spacing w:before="120"/>
        <w:jc w:val="both"/>
        <w:rPr>
          <w:sz w:val="20"/>
          <w:szCs w:val="20"/>
          <w:lang w:val="en-GB"/>
        </w:rPr>
      </w:pPr>
      <w:r w:rsidRPr="002E341F">
        <w:rPr>
          <w:sz w:val="20"/>
          <w:szCs w:val="20"/>
          <w:lang w:val="en-GB"/>
        </w:rPr>
        <w:t xml:space="preserve">Vietnam’s stock market, characterized by high individual investor participation, is increasingly influenced by social media and online sentiment. Research </w:t>
      </w:r>
      <w:proofErr w:type="spellStart"/>
      <w:r w:rsidRPr="002E341F">
        <w:rPr>
          <w:sz w:val="20"/>
          <w:szCs w:val="20"/>
          <w:lang w:val="en-GB"/>
        </w:rPr>
        <w:t>analyzing</w:t>
      </w:r>
      <w:proofErr w:type="spellEnd"/>
      <w:r w:rsidRPr="002E341F">
        <w:rPr>
          <w:sz w:val="20"/>
          <w:szCs w:val="20"/>
          <w:lang w:val="en-GB"/>
        </w:rPr>
        <w:t xml:space="preserve"> Facebook posts has shown a positive correlation between optimistic sentiment and rising stock prices, highlighting the sensitivity of Vietnamese investors to online information (Nguyen, 2023; Dao, 2015). The proliferation of social media has also increased the spread of unverified </w:t>
      </w:r>
      <w:proofErr w:type="spellStart"/>
      <w:r w:rsidRPr="002E341F">
        <w:rPr>
          <w:sz w:val="20"/>
          <w:szCs w:val="20"/>
          <w:lang w:val="en-GB"/>
        </w:rPr>
        <w:t>rumors</w:t>
      </w:r>
      <w:proofErr w:type="spellEnd"/>
      <w:r w:rsidRPr="002E341F">
        <w:rPr>
          <w:sz w:val="20"/>
          <w:szCs w:val="20"/>
          <w:lang w:val="en-GB"/>
        </w:rPr>
        <w:t xml:space="preserve">, which may significantly impact stock performance, investor </w:t>
      </w:r>
      <w:proofErr w:type="spellStart"/>
      <w:r w:rsidRPr="002E341F">
        <w:rPr>
          <w:sz w:val="20"/>
          <w:szCs w:val="20"/>
          <w:lang w:val="en-GB"/>
        </w:rPr>
        <w:t>behavior</w:t>
      </w:r>
      <w:proofErr w:type="spellEnd"/>
      <w:r w:rsidRPr="002E341F">
        <w:rPr>
          <w:sz w:val="20"/>
          <w:szCs w:val="20"/>
          <w:lang w:val="en-GB"/>
        </w:rPr>
        <w:t xml:space="preserve">, and market stability. </w:t>
      </w:r>
    </w:p>
    <w:p w14:paraId="6465CE32" w14:textId="77777777" w:rsidR="00FE0F15" w:rsidRPr="002E341F" w:rsidRDefault="00FE0F15" w:rsidP="00FE0F15">
      <w:pPr>
        <w:pBdr>
          <w:top w:val="nil"/>
          <w:left w:val="nil"/>
          <w:bottom w:val="nil"/>
          <w:right w:val="nil"/>
          <w:between w:val="nil"/>
        </w:pBdr>
        <w:tabs>
          <w:tab w:val="left" w:pos="284"/>
          <w:tab w:val="left" w:pos="1134"/>
        </w:tabs>
        <w:spacing w:before="120"/>
        <w:jc w:val="both"/>
        <w:rPr>
          <w:sz w:val="20"/>
          <w:szCs w:val="20"/>
          <w:lang w:val="en-GB"/>
        </w:rPr>
      </w:pPr>
      <w:r w:rsidRPr="002E341F">
        <w:rPr>
          <w:sz w:val="20"/>
          <w:szCs w:val="20"/>
          <w:lang w:val="en-GB"/>
        </w:rPr>
        <w:t xml:space="preserve">To address this, machine learning (ML) techniques have been applied to classify and verify </w:t>
      </w:r>
      <w:proofErr w:type="spellStart"/>
      <w:r w:rsidRPr="002E341F">
        <w:rPr>
          <w:sz w:val="20"/>
          <w:szCs w:val="20"/>
          <w:lang w:val="en-GB"/>
        </w:rPr>
        <w:t>rumors</w:t>
      </w:r>
      <w:proofErr w:type="spellEnd"/>
      <w:r w:rsidRPr="002E341F">
        <w:rPr>
          <w:sz w:val="20"/>
          <w:szCs w:val="20"/>
          <w:lang w:val="en-GB"/>
        </w:rPr>
        <w:t xml:space="preserve">. Common classifiers include Naive Bayes, Random Forest, K-Nearest </w:t>
      </w:r>
      <w:proofErr w:type="spellStart"/>
      <w:r w:rsidRPr="002E341F">
        <w:rPr>
          <w:sz w:val="20"/>
          <w:szCs w:val="20"/>
          <w:lang w:val="en-GB"/>
        </w:rPr>
        <w:t>Neighbor</w:t>
      </w:r>
      <w:proofErr w:type="spellEnd"/>
      <w:r w:rsidRPr="002E341F">
        <w:rPr>
          <w:sz w:val="20"/>
          <w:szCs w:val="20"/>
          <w:lang w:val="en-GB"/>
        </w:rPr>
        <w:t xml:space="preserve">, Decision Tree or Support Vector Classifier often combined with Natural Language Processing (NLP) to detect sentiment shifts and recurring themes in textual content (Zayno &amp; Radhi, 2022; Gidwani &amp; Rao, 2023). These tools enable investors and regulators to monitor </w:t>
      </w:r>
      <w:proofErr w:type="spellStart"/>
      <w:r w:rsidRPr="002E341F">
        <w:rPr>
          <w:sz w:val="20"/>
          <w:szCs w:val="20"/>
          <w:lang w:val="en-GB"/>
        </w:rPr>
        <w:t>rumor</w:t>
      </w:r>
      <w:proofErr w:type="spellEnd"/>
      <w:r w:rsidRPr="002E341F">
        <w:rPr>
          <w:sz w:val="20"/>
          <w:szCs w:val="20"/>
          <w:lang w:val="en-GB"/>
        </w:rPr>
        <w:t xml:space="preserve"> propagation and improve decision-making, contributing to a more resilient financial market. </w:t>
      </w:r>
    </w:p>
    <w:p w14:paraId="30A4442F" w14:textId="77777777" w:rsidR="00FE0F15" w:rsidRDefault="00FE0F15" w:rsidP="00FE0F15">
      <w:pPr>
        <w:pBdr>
          <w:top w:val="nil"/>
          <w:left w:val="nil"/>
          <w:bottom w:val="nil"/>
          <w:right w:val="nil"/>
          <w:between w:val="nil"/>
        </w:pBdr>
        <w:tabs>
          <w:tab w:val="left" w:pos="284"/>
          <w:tab w:val="left" w:pos="1134"/>
        </w:tabs>
        <w:spacing w:before="120"/>
        <w:jc w:val="both"/>
        <w:rPr>
          <w:sz w:val="20"/>
          <w:szCs w:val="20"/>
          <w:lang w:val="en-GB"/>
        </w:rPr>
      </w:pPr>
      <w:r w:rsidRPr="002E341F">
        <w:rPr>
          <w:sz w:val="20"/>
          <w:szCs w:val="20"/>
          <w:lang w:val="en-GB"/>
        </w:rPr>
        <w:t xml:space="preserve">Building on prior studies, this research identifies a critical gap in the Vietnamese context. Despite rapid market growth, information flow remains imperfect, regulatory enforcement is evolving, and transparency is limited. These conditions create an environment where </w:t>
      </w:r>
      <w:proofErr w:type="spellStart"/>
      <w:r w:rsidRPr="002E341F">
        <w:rPr>
          <w:sz w:val="20"/>
          <w:szCs w:val="20"/>
          <w:lang w:val="en-GB"/>
        </w:rPr>
        <w:t>rumors</w:t>
      </w:r>
      <w:proofErr w:type="spellEnd"/>
      <w:r w:rsidRPr="002E341F">
        <w:rPr>
          <w:sz w:val="20"/>
          <w:szCs w:val="20"/>
          <w:lang w:val="en-GB"/>
        </w:rPr>
        <w:t xml:space="preserve"> can disproportionately influence banking stock prices, affecting price efficiency, volatility, and systemic risk. By applying AI and ML for </w:t>
      </w:r>
      <w:proofErr w:type="spellStart"/>
      <w:r w:rsidRPr="002E341F">
        <w:rPr>
          <w:sz w:val="20"/>
          <w:szCs w:val="20"/>
          <w:lang w:val="en-GB"/>
        </w:rPr>
        <w:t>rumor</w:t>
      </w:r>
      <w:proofErr w:type="spellEnd"/>
      <w:r w:rsidRPr="002E341F">
        <w:rPr>
          <w:sz w:val="20"/>
          <w:szCs w:val="20"/>
          <w:lang w:val="en-GB"/>
        </w:rPr>
        <w:t xml:space="preserve"> detection and impact analysis, this study contributes both methodologically and empirically, providing insights into </w:t>
      </w:r>
      <w:proofErr w:type="spellStart"/>
      <w:r w:rsidRPr="002E341F">
        <w:rPr>
          <w:sz w:val="20"/>
          <w:szCs w:val="20"/>
          <w:lang w:val="en-GB"/>
        </w:rPr>
        <w:t>rumor</w:t>
      </w:r>
      <w:proofErr w:type="spellEnd"/>
      <w:r w:rsidRPr="002E341F">
        <w:rPr>
          <w:sz w:val="20"/>
          <w:szCs w:val="20"/>
          <w:lang w:val="en-GB"/>
        </w:rPr>
        <w:t>-driven market inefficiencies and informing strategies to enhance investor protection and market stability.</w:t>
      </w:r>
    </w:p>
    <w:p w14:paraId="63D54E30" w14:textId="77777777" w:rsidR="002E341F" w:rsidRPr="00FE0F15" w:rsidRDefault="002E341F" w:rsidP="002E341F">
      <w:pPr>
        <w:pBdr>
          <w:top w:val="nil"/>
          <w:left w:val="nil"/>
          <w:bottom w:val="nil"/>
          <w:right w:val="nil"/>
          <w:between w:val="nil"/>
        </w:pBdr>
        <w:tabs>
          <w:tab w:val="left" w:pos="284"/>
          <w:tab w:val="left" w:pos="1134"/>
        </w:tabs>
        <w:spacing w:before="120"/>
        <w:jc w:val="both"/>
        <w:rPr>
          <w:b/>
          <w:smallCaps/>
          <w:color w:val="000000"/>
          <w:sz w:val="20"/>
          <w:szCs w:val="20"/>
          <w:lang w:val="en-GB"/>
        </w:rPr>
      </w:pPr>
    </w:p>
    <w:p w14:paraId="48D27472" w14:textId="2C0D991A" w:rsidR="00F9546E" w:rsidRPr="000071E2" w:rsidRDefault="00F9546E" w:rsidP="003811E5">
      <w:pPr>
        <w:pBdr>
          <w:top w:val="nil"/>
          <w:left w:val="nil"/>
          <w:bottom w:val="nil"/>
          <w:right w:val="nil"/>
          <w:between w:val="nil"/>
        </w:pBdr>
        <w:tabs>
          <w:tab w:val="left" w:pos="284"/>
          <w:tab w:val="left" w:pos="1134"/>
        </w:tabs>
        <w:spacing w:before="120"/>
        <w:jc w:val="both"/>
        <w:rPr>
          <w:b/>
          <w:smallCaps/>
          <w:color w:val="000000"/>
          <w:sz w:val="20"/>
          <w:szCs w:val="20"/>
        </w:rPr>
      </w:pPr>
      <w:r w:rsidRPr="000071E2">
        <w:rPr>
          <w:b/>
          <w:smallCaps/>
          <w:color w:val="000000"/>
          <w:sz w:val="20"/>
          <w:szCs w:val="20"/>
        </w:rPr>
        <w:t>3. HYPOTHESIS DEVELOPMENT</w:t>
      </w:r>
    </w:p>
    <w:p w14:paraId="694ACD21" w14:textId="77777777" w:rsidR="002E341F" w:rsidRPr="002E341F" w:rsidRDefault="002E341F" w:rsidP="002E341F">
      <w:pPr>
        <w:spacing w:before="120"/>
        <w:jc w:val="both"/>
        <w:rPr>
          <w:sz w:val="20"/>
          <w:szCs w:val="20"/>
          <w:lang w:val="en-GB"/>
        </w:rPr>
      </w:pPr>
      <w:r w:rsidRPr="002E341F">
        <w:rPr>
          <w:sz w:val="20"/>
          <w:szCs w:val="20"/>
          <w:lang w:val="en-GB"/>
        </w:rPr>
        <w:t xml:space="preserve">Financial markets can be </w:t>
      </w:r>
      <w:proofErr w:type="spellStart"/>
      <w:r w:rsidRPr="002E341F">
        <w:rPr>
          <w:sz w:val="20"/>
          <w:szCs w:val="20"/>
          <w:lang w:val="en-GB"/>
        </w:rPr>
        <w:t>analyzed</w:t>
      </w:r>
      <w:proofErr w:type="spellEnd"/>
      <w:r w:rsidRPr="002E341F">
        <w:rPr>
          <w:sz w:val="20"/>
          <w:szCs w:val="20"/>
          <w:lang w:val="en-GB"/>
        </w:rPr>
        <w:t xml:space="preserve"> at three levels – market, industry, and firm – which also provide a framework for assessing the impact of </w:t>
      </w:r>
      <w:proofErr w:type="spellStart"/>
      <w:r w:rsidRPr="002E341F">
        <w:rPr>
          <w:sz w:val="20"/>
          <w:szCs w:val="20"/>
          <w:lang w:val="en-GB"/>
        </w:rPr>
        <w:t>rumors</w:t>
      </w:r>
      <w:proofErr w:type="spellEnd"/>
      <w:r w:rsidRPr="002E341F">
        <w:rPr>
          <w:sz w:val="20"/>
          <w:szCs w:val="20"/>
          <w:lang w:val="en-GB"/>
        </w:rPr>
        <w:t>. For market participants, beyond quantitative indicators such as revenue and stock prices, related information is essential for forming a comprehensive basis for investment decisions. According to the Efficient Market Hypothesis, prices should reflect the financial health of the firm, industry, or market. In practice, however, factors such as policies, external shocks, competition, and analyst reports influence market outcomes, making perfect efficiency difficult to achieve. Empirical evidence shows that markets – particularly emerging markets and newer asset classes such as cryptocurrencies – frequently deviate from EMH, exhibiting predictable price patterns, delayed information incorporation, and opportunities for abnormal returns (García-</w:t>
      </w:r>
      <w:proofErr w:type="spellStart"/>
      <w:r w:rsidRPr="002E341F">
        <w:rPr>
          <w:sz w:val="20"/>
          <w:szCs w:val="20"/>
          <w:lang w:val="en-GB"/>
        </w:rPr>
        <w:t>Figal</w:t>
      </w:r>
      <w:proofErr w:type="spellEnd"/>
      <w:r w:rsidRPr="002E341F">
        <w:rPr>
          <w:sz w:val="20"/>
          <w:szCs w:val="20"/>
          <w:lang w:val="en-GB"/>
        </w:rPr>
        <w:t xml:space="preserve"> et al., 2024; </w:t>
      </w:r>
      <w:proofErr w:type="spellStart"/>
      <w:r w:rsidRPr="002E341F">
        <w:rPr>
          <w:sz w:val="20"/>
          <w:szCs w:val="20"/>
          <w:lang w:val="en-GB"/>
        </w:rPr>
        <w:t>Mahyudin</w:t>
      </w:r>
      <w:proofErr w:type="spellEnd"/>
      <w:r w:rsidRPr="002E341F">
        <w:rPr>
          <w:sz w:val="20"/>
          <w:szCs w:val="20"/>
          <w:lang w:val="en-GB"/>
        </w:rPr>
        <w:t xml:space="preserve"> &amp; </w:t>
      </w:r>
      <w:proofErr w:type="spellStart"/>
      <w:r w:rsidRPr="002E341F">
        <w:rPr>
          <w:sz w:val="20"/>
          <w:szCs w:val="20"/>
          <w:lang w:val="en-GB"/>
        </w:rPr>
        <w:t>Lamsah</w:t>
      </w:r>
      <w:proofErr w:type="spellEnd"/>
      <w:r w:rsidRPr="002E341F">
        <w:rPr>
          <w:sz w:val="20"/>
          <w:szCs w:val="20"/>
          <w:lang w:val="en-GB"/>
        </w:rPr>
        <w:t xml:space="preserve">, 2024). These inefficiencies are further shaped by investor </w:t>
      </w:r>
      <w:proofErr w:type="spellStart"/>
      <w:r w:rsidRPr="002E341F">
        <w:rPr>
          <w:sz w:val="20"/>
          <w:szCs w:val="20"/>
          <w:lang w:val="en-GB"/>
        </w:rPr>
        <w:t>behavior</w:t>
      </w:r>
      <w:proofErr w:type="spellEnd"/>
      <w:r w:rsidRPr="002E341F">
        <w:rPr>
          <w:sz w:val="20"/>
          <w:szCs w:val="20"/>
          <w:lang w:val="en-GB"/>
        </w:rPr>
        <w:t xml:space="preserve">, market structure, and information asymmetry (Lin, 2023). </w:t>
      </w:r>
    </w:p>
    <w:p w14:paraId="709C3F5C" w14:textId="77777777" w:rsidR="002E341F" w:rsidRPr="002E341F" w:rsidRDefault="002E341F" w:rsidP="002E341F">
      <w:pPr>
        <w:spacing w:before="120"/>
        <w:jc w:val="both"/>
        <w:rPr>
          <w:sz w:val="20"/>
          <w:szCs w:val="20"/>
          <w:lang w:val="en-GB"/>
        </w:rPr>
      </w:pPr>
      <w:r w:rsidRPr="002E341F">
        <w:rPr>
          <w:sz w:val="20"/>
          <w:szCs w:val="20"/>
          <w:lang w:val="en-GB"/>
        </w:rPr>
        <w:t xml:space="preserve">In this study, stock price synchronicity (SPS) is used as a measure of price efficiency in the banking sector. SPS quantifies the extent to which an individual stock’s price movements are driven by broader market or industry trends. Prior research indicates an inverse relationship between SPS and price informativeness: lower synchronicity generally reflects a greater incorporation of firm-specific information, </w:t>
      </w:r>
      <w:proofErr w:type="spellStart"/>
      <w:r w:rsidRPr="002E341F">
        <w:rPr>
          <w:sz w:val="20"/>
          <w:szCs w:val="20"/>
          <w:lang w:val="en-GB"/>
        </w:rPr>
        <w:t>signaling</w:t>
      </w:r>
      <w:proofErr w:type="spellEnd"/>
      <w:r w:rsidRPr="002E341F">
        <w:rPr>
          <w:sz w:val="20"/>
          <w:szCs w:val="20"/>
          <w:lang w:val="en-GB"/>
        </w:rPr>
        <w:t xml:space="preserve"> higher price efficiency (Li et al., 2020; Qiu et al., 2019). Nonetheless, </w:t>
      </w:r>
      <w:r w:rsidRPr="002E341F">
        <w:rPr>
          <w:sz w:val="20"/>
          <w:szCs w:val="20"/>
          <w:lang w:val="en-GB"/>
        </w:rPr>
        <w:lastRenderedPageBreak/>
        <w:t xml:space="preserve">this relationship is complex, as low SPS may also indicate poor information environments, heightened noise trading, or slower integration of market-wide information, potentially reducing short-term price efficiency (Hu et al., 2019; Gassen et al. 2019). </w:t>
      </w:r>
    </w:p>
    <w:p w14:paraId="33EC079D" w14:textId="77777777" w:rsidR="002E341F" w:rsidRPr="002E341F" w:rsidRDefault="002E341F" w:rsidP="002E341F">
      <w:pPr>
        <w:spacing w:before="120"/>
        <w:jc w:val="both"/>
        <w:rPr>
          <w:sz w:val="20"/>
          <w:szCs w:val="20"/>
          <w:lang w:val="en-GB"/>
        </w:rPr>
      </w:pPr>
      <w:r w:rsidRPr="002E341F">
        <w:rPr>
          <w:sz w:val="20"/>
          <w:szCs w:val="20"/>
          <w:lang w:val="en-GB"/>
        </w:rPr>
        <w:t xml:space="preserve">In the context of Vietnam’s emerging financial market, the flow and credibility of both formal disclosures and informal signals – such as </w:t>
      </w:r>
      <w:proofErr w:type="spellStart"/>
      <w:r w:rsidRPr="002E341F">
        <w:rPr>
          <w:sz w:val="20"/>
          <w:szCs w:val="20"/>
          <w:lang w:val="en-GB"/>
        </w:rPr>
        <w:t>rumors</w:t>
      </w:r>
      <w:proofErr w:type="spellEnd"/>
      <w:r w:rsidRPr="002E341F">
        <w:rPr>
          <w:sz w:val="20"/>
          <w:szCs w:val="20"/>
          <w:lang w:val="en-GB"/>
        </w:rPr>
        <w:t xml:space="preserve"> – interact with institutional quality and investor </w:t>
      </w:r>
      <w:proofErr w:type="spellStart"/>
      <w:r w:rsidRPr="002E341F">
        <w:rPr>
          <w:sz w:val="20"/>
          <w:szCs w:val="20"/>
          <w:lang w:val="en-GB"/>
        </w:rPr>
        <w:t>behavior</w:t>
      </w:r>
      <w:proofErr w:type="spellEnd"/>
      <w:r w:rsidRPr="002E341F">
        <w:rPr>
          <w:sz w:val="20"/>
          <w:szCs w:val="20"/>
          <w:lang w:val="en-GB"/>
        </w:rPr>
        <w:t xml:space="preserve"> to shape stock price synchronicity. This interplay is particularly relevant when considering the broader range of informational and structural factors that influence synchronicity. Stock price synchronicity refers to the degree that the stock prices co-move in tandem with the overall market or a specific index, rather than reflecting firm-specific information. One such factor is the timing of macroeconomic news releases; synchronicity tends to be higher on days with fewer competing news events, such as Mondays, particularly among large and stable firms, as these announcements dominate market attention (Dang et al., 2019). Media coverage also plays a critical role: greater media attention helps incorporate more firm-specific information into stock prices, thereby reducing synchronicity, a pattern especially evident in countries with weaker institutional infrastructures (Dang et al., 2019). Social trust further affects synchronicity levels, as regions with higher trust enable the dissemination and assimilation of firm-level information more effectively – most notably in state-owned enterprises (SOEs) compared to non-SOEs (Qiu et al., 2020). Finally, corporate ownership and governance characteristics such as ownership concentration, foreign shareholding, and audit quality have been found to negatively correlate with synchronicity. Specifically, lower levels of ownership concentration and foreign shareholding, along with weaker audit quality, are associated with greater stock price synchronicity, suggesting less efficient incorporation of idiosyncratic information (</w:t>
      </w:r>
      <w:proofErr w:type="spellStart"/>
      <w:r w:rsidRPr="002E341F">
        <w:rPr>
          <w:sz w:val="20"/>
          <w:szCs w:val="20"/>
          <w:lang w:val="en-GB"/>
        </w:rPr>
        <w:t>Düzakın</w:t>
      </w:r>
      <w:proofErr w:type="spellEnd"/>
      <w:r w:rsidRPr="002E341F">
        <w:rPr>
          <w:sz w:val="20"/>
          <w:szCs w:val="20"/>
          <w:lang w:val="en-GB"/>
        </w:rPr>
        <w:t xml:space="preserve"> &amp; </w:t>
      </w:r>
      <w:proofErr w:type="spellStart"/>
      <w:r w:rsidRPr="002E341F">
        <w:rPr>
          <w:sz w:val="20"/>
          <w:szCs w:val="20"/>
          <w:lang w:val="en-GB"/>
        </w:rPr>
        <w:t>Isleem</w:t>
      </w:r>
      <w:proofErr w:type="spellEnd"/>
      <w:r w:rsidRPr="002E341F">
        <w:rPr>
          <w:sz w:val="20"/>
          <w:szCs w:val="20"/>
          <w:lang w:val="en-GB"/>
        </w:rPr>
        <w:t xml:space="preserve">, 2021). </w:t>
      </w:r>
    </w:p>
    <w:p w14:paraId="1BDFA506" w14:textId="77777777" w:rsidR="002E341F" w:rsidRPr="002E341F" w:rsidRDefault="002E341F" w:rsidP="002E341F">
      <w:pPr>
        <w:spacing w:before="120"/>
        <w:jc w:val="both"/>
        <w:rPr>
          <w:sz w:val="20"/>
          <w:szCs w:val="20"/>
          <w:lang w:val="en-GB"/>
        </w:rPr>
      </w:pPr>
      <w:r w:rsidRPr="002E341F">
        <w:rPr>
          <w:sz w:val="20"/>
          <w:szCs w:val="20"/>
          <w:lang w:val="en-GB"/>
        </w:rPr>
        <w:t xml:space="preserve">H1: </w:t>
      </w:r>
      <w:proofErr w:type="spellStart"/>
      <w:r w:rsidRPr="002E341F">
        <w:rPr>
          <w:sz w:val="20"/>
          <w:szCs w:val="20"/>
          <w:lang w:val="en-GB"/>
        </w:rPr>
        <w:t>Rumors</w:t>
      </w:r>
      <w:proofErr w:type="spellEnd"/>
      <w:r w:rsidRPr="002E341F">
        <w:rPr>
          <w:sz w:val="20"/>
          <w:szCs w:val="20"/>
          <w:lang w:val="en-GB"/>
        </w:rPr>
        <w:t xml:space="preserve"> have a significant impact on the stock price synchronization of the banking industry. </w:t>
      </w:r>
    </w:p>
    <w:p w14:paraId="10D9ADD1" w14:textId="4AB75968" w:rsidR="002E341F" w:rsidRPr="00074BFE" w:rsidRDefault="002E341F" w:rsidP="002E341F">
      <w:pPr>
        <w:spacing w:before="120"/>
        <w:jc w:val="both"/>
        <w:rPr>
          <w:sz w:val="20"/>
          <w:szCs w:val="20"/>
          <w:lang w:val="en-GB"/>
        </w:rPr>
      </w:pPr>
      <w:r w:rsidRPr="00074BFE">
        <w:rPr>
          <w:sz w:val="20"/>
          <w:szCs w:val="20"/>
          <w:lang w:val="en-GB"/>
        </w:rPr>
        <w:t xml:space="preserve">In the Vietnamese stock market, individual investors account for </w:t>
      </w:r>
      <w:proofErr w:type="gramStart"/>
      <w:r w:rsidRPr="00074BFE">
        <w:rPr>
          <w:sz w:val="20"/>
          <w:szCs w:val="20"/>
          <w:lang w:val="en-GB"/>
        </w:rPr>
        <w:t>the majority of</w:t>
      </w:r>
      <w:proofErr w:type="gramEnd"/>
      <w:r w:rsidRPr="00074BFE">
        <w:rPr>
          <w:sz w:val="20"/>
          <w:szCs w:val="20"/>
          <w:lang w:val="en-GB"/>
        </w:rPr>
        <w:t xml:space="preserve"> trading activities. Their investment decisions are typically based on two sources of information: internal and external. Internal data</w:t>
      </w:r>
      <w:r w:rsidR="00B35A70" w:rsidRPr="00074BFE">
        <w:rPr>
          <w:sz w:val="20"/>
          <w:szCs w:val="20"/>
          <w:lang w:val="en-GB"/>
        </w:rPr>
        <w:t xml:space="preserve"> – </w:t>
      </w:r>
      <w:r w:rsidRPr="00074BFE">
        <w:rPr>
          <w:sz w:val="20"/>
          <w:szCs w:val="20"/>
          <w:lang w:val="en-GB"/>
        </w:rPr>
        <w:t>such as financial statements, annual reports, insider trading disclosures, and third-party analyses</w:t>
      </w:r>
      <w:r w:rsidR="00B35A70" w:rsidRPr="00074BFE">
        <w:rPr>
          <w:sz w:val="20"/>
          <w:szCs w:val="20"/>
          <w:lang w:val="en-GB"/>
        </w:rPr>
        <w:t xml:space="preserve"> – </w:t>
      </w:r>
      <w:r w:rsidRPr="00074BFE">
        <w:rPr>
          <w:sz w:val="20"/>
          <w:szCs w:val="20"/>
          <w:lang w:val="en-GB"/>
        </w:rPr>
        <w:t xml:space="preserve">carry higher credibility as they reflect the firm’s fundamental values. In contrast, external information, while more accessible and faster to spread, often consists of a mix of verified and unverified content. Since individual investors dominate the market, uninformed participants are particularly prone to reacting quickly to such external signals. Consequently, trading decisions based on these noisy inputs may lead to significant fluctuations in bank stock prices, thereby amplifying the deviation from their fundamental values. </w:t>
      </w:r>
    </w:p>
    <w:p w14:paraId="002CB2B8" w14:textId="06379E8F" w:rsidR="003D6CAC" w:rsidRPr="00074BFE" w:rsidRDefault="002E341F" w:rsidP="002E341F">
      <w:pPr>
        <w:spacing w:before="120"/>
        <w:jc w:val="both"/>
        <w:rPr>
          <w:sz w:val="20"/>
          <w:szCs w:val="20"/>
        </w:rPr>
      </w:pPr>
      <w:r w:rsidRPr="00074BFE">
        <w:rPr>
          <w:sz w:val="20"/>
          <w:szCs w:val="20"/>
          <w:lang w:val="en-GB"/>
        </w:rPr>
        <w:t xml:space="preserve">H2: </w:t>
      </w:r>
      <w:proofErr w:type="spellStart"/>
      <w:r w:rsidRPr="00074BFE">
        <w:rPr>
          <w:sz w:val="20"/>
          <w:szCs w:val="20"/>
          <w:lang w:val="en-GB"/>
        </w:rPr>
        <w:t>Rumors</w:t>
      </w:r>
      <w:proofErr w:type="spellEnd"/>
      <w:r w:rsidRPr="00074BFE">
        <w:rPr>
          <w:sz w:val="20"/>
          <w:szCs w:val="20"/>
          <w:lang w:val="en-GB"/>
        </w:rPr>
        <w:t xml:space="preserve"> have positive relations to the deviation between bank stock price and their fundamental values.</w:t>
      </w:r>
    </w:p>
    <w:p w14:paraId="4DD0FFC1" w14:textId="77777777" w:rsidR="003D6CAC" w:rsidRPr="00074BFE" w:rsidRDefault="003D6CAC">
      <w:pPr>
        <w:spacing w:before="120"/>
        <w:rPr>
          <w:sz w:val="20"/>
          <w:szCs w:val="20"/>
        </w:rPr>
      </w:pPr>
    </w:p>
    <w:p w14:paraId="65F070D2" w14:textId="2C585F95" w:rsidR="003D6CAC" w:rsidRPr="000071E2" w:rsidRDefault="00F9546E">
      <w:pPr>
        <w:pBdr>
          <w:top w:val="nil"/>
          <w:left w:val="nil"/>
          <w:bottom w:val="nil"/>
          <w:right w:val="nil"/>
          <w:between w:val="nil"/>
        </w:pBdr>
        <w:tabs>
          <w:tab w:val="left" w:pos="284"/>
          <w:tab w:val="left" w:pos="1134"/>
        </w:tabs>
        <w:spacing w:before="120"/>
        <w:rPr>
          <w:b/>
          <w:smallCaps/>
          <w:color w:val="000000"/>
          <w:sz w:val="20"/>
          <w:szCs w:val="20"/>
        </w:rPr>
      </w:pPr>
      <w:r w:rsidRPr="000071E2">
        <w:rPr>
          <w:b/>
          <w:smallCaps/>
          <w:color w:val="000000"/>
          <w:sz w:val="20"/>
          <w:szCs w:val="20"/>
        </w:rPr>
        <w:t>4</w:t>
      </w:r>
      <w:r w:rsidR="00436226" w:rsidRPr="000071E2">
        <w:rPr>
          <w:b/>
          <w:smallCaps/>
          <w:color w:val="000000"/>
          <w:sz w:val="20"/>
          <w:szCs w:val="20"/>
        </w:rPr>
        <w:t>. METHODOLOGY</w:t>
      </w:r>
    </w:p>
    <w:p w14:paraId="54250B1E" w14:textId="1C083B7D" w:rsidR="003D6CAC" w:rsidRPr="000071E2" w:rsidRDefault="00F9546E">
      <w:pPr>
        <w:spacing w:before="120"/>
        <w:rPr>
          <w:b/>
          <w:sz w:val="20"/>
          <w:szCs w:val="20"/>
        </w:rPr>
      </w:pPr>
      <w:r w:rsidRPr="000071E2">
        <w:rPr>
          <w:b/>
          <w:sz w:val="20"/>
          <w:szCs w:val="20"/>
        </w:rPr>
        <w:t>4</w:t>
      </w:r>
      <w:r w:rsidR="00436226" w:rsidRPr="000071E2">
        <w:rPr>
          <w:b/>
          <w:sz w:val="20"/>
          <w:szCs w:val="20"/>
        </w:rPr>
        <w:t>.1 Sample selection and Data source</w:t>
      </w:r>
    </w:p>
    <w:p w14:paraId="2C286E24" w14:textId="77777777" w:rsidR="003D6CAC" w:rsidRPr="000071E2" w:rsidRDefault="69C09A3B" w:rsidP="003811E5">
      <w:pPr>
        <w:spacing w:before="120"/>
        <w:jc w:val="both"/>
        <w:rPr>
          <w:sz w:val="20"/>
          <w:szCs w:val="20"/>
        </w:rPr>
      </w:pPr>
      <w:r w:rsidRPr="000071E2">
        <w:rPr>
          <w:sz w:val="20"/>
          <w:szCs w:val="20"/>
          <w:lang w:val="en-GB"/>
        </w:rPr>
        <w:t xml:space="preserve">This study investigates all 19 commercial banks listed on the Hanoi Stock Exchange (HNX) and the Ho Chi Minh Stock Exchange (HOSE), thereby encompassing the full population of publicly traded Vietnamese banks. The dataset was constructed by systematically collecting financial news articles from </w:t>
      </w:r>
      <w:proofErr w:type="spellStart"/>
      <w:r w:rsidRPr="000071E2">
        <w:rPr>
          <w:sz w:val="20"/>
          <w:szCs w:val="20"/>
          <w:lang w:val="en-GB"/>
        </w:rPr>
        <w:t>CafeF</w:t>
      </w:r>
      <w:proofErr w:type="spellEnd"/>
      <w:r w:rsidRPr="000071E2">
        <w:rPr>
          <w:sz w:val="20"/>
          <w:szCs w:val="20"/>
          <w:lang w:val="en-GB"/>
        </w:rPr>
        <w:t xml:space="preserve">, Vietnam’s largest licensed financial news portal (licensed by the Hanoi Department of Information and Communications since 2019), using a web-crawling approach with search terms consisting of each bank’s full name, ticker symbol, and abbreviation. </w:t>
      </w:r>
      <w:proofErr w:type="spellStart"/>
      <w:r w:rsidRPr="000071E2">
        <w:rPr>
          <w:sz w:val="20"/>
          <w:szCs w:val="20"/>
          <w:lang w:val="en-GB"/>
        </w:rPr>
        <w:t>Rumor</w:t>
      </w:r>
      <w:proofErr w:type="spellEnd"/>
      <w:r w:rsidRPr="000071E2">
        <w:rPr>
          <w:sz w:val="20"/>
          <w:szCs w:val="20"/>
          <w:lang w:val="en-GB"/>
        </w:rPr>
        <w:t xml:space="preserve">-related content was identified through a secondary filtering process based on Vietnamese lexical markers commonly employed to denote unverified information, including “tin </w:t>
      </w:r>
      <w:proofErr w:type="spellStart"/>
      <w:r w:rsidRPr="000071E2">
        <w:rPr>
          <w:sz w:val="20"/>
          <w:szCs w:val="20"/>
          <w:lang w:val="en-GB"/>
        </w:rPr>
        <w:t>đồn</w:t>
      </w:r>
      <w:proofErr w:type="spellEnd"/>
      <w:r w:rsidRPr="000071E2">
        <w:rPr>
          <w:sz w:val="20"/>
          <w:szCs w:val="20"/>
          <w:lang w:val="en-GB"/>
        </w:rPr>
        <w:t>” (</w:t>
      </w:r>
      <w:proofErr w:type="spellStart"/>
      <w:r w:rsidRPr="000071E2">
        <w:rPr>
          <w:sz w:val="20"/>
          <w:szCs w:val="20"/>
          <w:lang w:val="en-GB"/>
        </w:rPr>
        <w:t>rumor</w:t>
      </w:r>
      <w:proofErr w:type="spellEnd"/>
      <w:r w:rsidRPr="000071E2">
        <w:rPr>
          <w:sz w:val="20"/>
          <w:szCs w:val="20"/>
          <w:lang w:val="en-GB"/>
        </w:rPr>
        <w:t>), “</w:t>
      </w:r>
      <w:proofErr w:type="spellStart"/>
      <w:r w:rsidRPr="000071E2">
        <w:rPr>
          <w:sz w:val="20"/>
          <w:szCs w:val="20"/>
          <w:lang w:val="en-GB"/>
        </w:rPr>
        <w:t>khẳng</w:t>
      </w:r>
      <w:proofErr w:type="spellEnd"/>
      <w:r w:rsidRPr="000071E2">
        <w:rPr>
          <w:sz w:val="20"/>
          <w:szCs w:val="20"/>
          <w:lang w:val="en-GB"/>
        </w:rPr>
        <w:t xml:space="preserve"> </w:t>
      </w:r>
      <w:proofErr w:type="spellStart"/>
      <w:r w:rsidRPr="000071E2">
        <w:rPr>
          <w:sz w:val="20"/>
          <w:szCs w:val="20"/>
          <w:lang w:val="en-GB"/>
        </w:rPr>
        <w:t>định</w:t>
      </w:r>
      <w:proofErr w:type="spellEnd"/>
      <w:r w:rsidRPr="000071E2">
        <w:rPr>
          <w:sz w:val="20"/>
          <w:szCs w:val="20"/>
          <w:lang w:val="en-GB"/>
        </w:rPr>
        <w:t xml:space="preserve"> </w:t>
      </w:r>
      <w:proofErr w:type="spellStart"/>
      <w:r w:rsidRPr="000071E2">
        <w:rPr>
          <w:sz w:val="20"/>
          <w:szCs w:val="20"/>
          <w:lang w:val="en-GB"/>
        </w:rPr>
        <w:t>thông</w:t>
      </w:r>
      <w:proofErr w:type="spellEnd"/>
      <w:r w:rsidRPr="000071E2">
        <w:rPr>
          <w:sz w:val="20"/>
          <w:szCs w:val="20"/>
          <w:lang w:val="en-GB"/>
        </w:rPr>
        <w:t xml:space="preserve"> tin </w:t>
      </w:r>
      <w:proofErr w:type="spellStart"/>
      <w:r w:rsidRPr="000071E2">
        <w:rPr>
          <w:sz w:val="20"/>
          <w:szCs w:val="20"/>
          <w:lang w:val="en-GB"/>
        </w:rPr>
        <w:t>lan</w:t>
      </w:r>
      <w:proofErr w:type="spellEnd"/>
      <w:r w:rsidRPr="000071E2">
        <w:rPr>
          <w:sz w:val="20"/>
          <w:szCs w:val="20"/>
          <w:lang w:val="en-GB"/>
        </w:rPr>
        <w:t xml:space="preserve"> </w:t>
      </w:r>
      <w:proofErr w:type="spellStart"/>
      <w:r w:rsidRPr="000071E2">
        <w:rPr>
          <w:sz w:val="20"/>
          <w:szCs w:val="20"/>
          <w:lang w:val="en-GB"/>
        </w:rPr>
        <w:t>truyền</w:t>
      </w:r>
      <w:proofErr w:type="spellEnd"/>
      <w:r w:rsidRPr="000071E2">
        <w:rPr>
          <w:sz w:val="20"/>
          <w:szCs w:val="20"/>
          <w:lang w:val="en-GB"/>
        </w:rPr>
        <w:t>” (confirmation of circulated information), and “</w:t>
      </w:r>
      <w:proofErr w:type="spellStart"/>
      <w:r w:rsidRPr="000071E2">
        <w:rPr>
          <w:sz w:val="20"/>
          <w:szCs w:val="20"/>
          <w:lang w:val="en-GB"/>
        </w:rPr>
        <w:t>đính</w:t>
      </w:r>
      <w:proofErr w:type="spellEnd"/>
      <w:r w:rsidRPr="000071E2">
        <w:rPr>
          <w:sz w:val="20"/>
          <w:szCs w:val="20"/>
          <w:lang w:val="en-GB"/>
        </w:rPr>
        <w:t xml:space="preserve"> </w:t>
      </w:r>
      <w:proofErr w:type="spellStart"/>
      <w:r w:rsidRPr="000071E2">
        <w:rPr>
          <w:sz w:val="20"/>
          <w:szCs w:val="20"/>
          <w:lang w:val="en-GB"/>
        </w:rPr>
        <w:t>chính</w:t>
      </w:r>
      <w:proofErr w:type="spellEnd"/>
      <w:r w:rsidRPr="000071E2">
        <w:rPr>
          <w:sz w:val="20"/>
          <w:szCs w:val="20"/>
          <w:lang w:val="en-GB"/>
        </w:rPr>
        <w:t xml:space="preserve"> tin </w:t>
      </w:r>
      <w:proofErr w:type="spellStart"/>
      <w:r w:rsidRPr="000071E2">
        <w:rPr>
          <w:sz w:val="20"/>
          <w:szCs w:val="20"/>
          <w:lang w:val="en-GB"/>
        </w:rPr>
        <w:t>đồn</w:t>
      </w:r>
      <w:proofErr w:type="spellEnd"/>
      <w:r w:rsidRPr="000071E2">
        <w:rPr>
          <w:sz w:val="20"/>
          <w:szCs w:val="20"/>
          <w:lang w:val="en-GB"/>
        </w:rPr>
        <w:t xml:space="preserve">” (refutation of </w:t>
      </w:r>
      <w:proofErr w:type="spellStart"/>
      <w:r w:rsidRPr="000071E2">
        <w:rPr>
          <w:sz w:val="20"/>
          <w:szCs w:val="20"/>
          <w:lang w:val="en-GB"/>
        </w:rPr>
        <w:t>rumor</w:t>
      </w:r>
      <w:proofErr w:type="spellEnd"/>
      <w:r w:rsidRPr="000071E2">
        <w:rPr>
          <w:sz w:val="20"/>
          <w:szCs w:val="20"/>
          <w:lang w:val="en-GB"/>
        </w:rPr>
        <w:t xml:space="preserve">). Identified </w:t>
      </w:r>
      <w:proofErr w:type="spellStart"/>
      <w:r w:rsidRPr="000071E2">
        <w:rPr>
          <w:sz w:val="20"/>
          <w:szCs w:val="20"/>
          <w:lang w:val="en-GB"/>
        </w:rPr>
        <w:t>rumor</w:t>
      </w:r>
      <w:proofErr w:type="spellEnd"/>
      <w:r w:rsidRPr="000071E2">
        <w:rPr>
          <w:sz w:val="20"/>
          <w:szCs w:val="20"/>
          <w:lang w:val="en-GB"/>
        </w:rPr>
        <w:t xml:space="preserve"> texts were subsequently subjected to sentiment analysis to classify them into positive, negative, or neutral categories. The final dataset comprises 30 distinct </w:t>
      </w:r>
      <w:proofErr w:type="spellStart"/>
      <w:r w:rsidRPr="000071E2">
        <w:rPr>
          <w:sz w:val="20"/>
          <w:szCs w:val="20"/>
          <w:lang w:val="en-GB"/>
        </w:rPr>
        <w:t>rumor</w:t>
      </w:r>
      <w:proofErr w:type="spellEnd"/>
      <w:r w:rsidRPr="000071E2">
        <w:rPr>
          <w:sz w:val="20"/>
          <w:szCs w:val="20"/>
          <w:lang w:val="en-GB"/>
        </w:rPr>
        <w:t xml:space="preserve"> events, including 22 positive, 2 negative, and 6 neutral cases, each annotated with the affected bank and the date of dissemination.</w:t>
      </w:r>
    </w:p>
    <w:p w14:paraId="261638AA" w14:textId="3E8DD5A0" w:rsidR="003D6CAC" w:rsidRPr="000071E2" w:rsidRDefault="00F9546E">
      <w:pPr>
        <w:spacing w:before="120"/>
        <w:rPr>
          <w:b/>
          <w:sz w:val="20"/>
          <w:szCs w:val="20"/>
        </w:rPr>
      </w:pPr>
      <w:r w:rsidRPr="000071E2">
        <w:rPr>
          <w:b/>
          <w:sz w:val="20"/>
          <w:szCs w:val="20"/>
        </w:rPr>
        <w:t>4</w:t>
      </w:r>
      <w:r w:rsidR="00436226" w:rsidRPr="000071E2">
        <w:rPr>
          <w:b/>
          <w:sz w:val="20"/>
          <w:szCs w:val="20"/>
        </w:rPr>
        <w:t>.2 Rumor variables</w:t>
      </w:r>
    </w:p>
    <w:p w14:paraId="2941FCC1" w14:textId="5E8A7827" w:rsidR="003D6CAC" w:rsidRPr="000071E2" w:rsidRDefault="00436226" w:rsidP="003811E5">
      <w:pPr>
        <w:spacing w:before="120" w:line="259" w:lineRule="auto"/>
        <w:jc w:val="both"/>
        <w:rPr>
          <w:sz w:val="20"/>
          <w:szCs w:val="20"/>
        </w:rPr>
      </w:pPr>
      <w:r w:rsidRPr="000071E2">
        <w:rPr>
          <w:sz w:val="20"/>
          <w:szCs w:val="20"/>
          <w:lang w:val="en-GB"/>
        </w:rPr>
        <w:t xml:space="preserve">To classify each </w:t>
      </w:r>
      <w:proofErr w:type="spellStart"/>
      <w:r w:rsidRPr="000071E2">
        <w:rPr>
          <w:sz w:val="20"/>
          <w:szCs w:val="20"/>
          <w:lang w:val="en-GB"/>
        </w:rPr>
        <w:t>rumor</w:t>
      </w:r>
      <w:proofErr w:type="spellEnd"/>
      <w:r w:rsidRPr="000071E2">
        <w:rPr>
          <w:sz w:val="20"/>
          <w:szCs w:val="20"/>
          <w:lang w:val="en-GB"/>
        </w:rPr>
        <w:t xml:space="preserve">, we employ a sentiment analysis pipeline based on </w:t>
      </w:r>
      <w:proofErr w:type="spellStart"/>
      <w:r w:rsidRPr="000071E2">
        <w:rPr>
          <w:sz w:val="20"/>
          <w:szCs w:val="20"/>
          <w:lang w:val="en-GB"/>
        </w:rPr>
        <w:t>PhoBERT</w:t>
      </w:r>
      <w:proofErr w:type="spellEnd"/>
      <w:r w:rsidRPr="000071E2">
        <w:rPr>
          <w:sz w:val="20"/>
          <w:szCs w:val="20"/>
          <w:lang w:val="en-GB"/>
        </w:rPr>
        <w:t xml:space="preserve">, a state-of-the-art pre-trained transformer model for Vietnamese language processing. The textual content of each </w:t>
      </w:r>
      <w:proofErr w:type="spellStart"/>
      <w:r w:rsidRPr="000071E2">
        <w:rPr>
          <w:sz w:val="20"/>
          <w:szCs w:val="20"/>
          <w:lang w:val="en-GB"/>
        </w:rPr>
        <w:t>rumor</w:t>
      </w:r>
      <w:proofErr w:type="spellEnd"/>
      <w:r w:rsidRPr="000071E2">
        <w:rPr>
          <w:sz w:val="20"/>
          <w:szCs w:val="20"/>
          <w:lang w:val="en-GB"/>
        </w:rPr>
        <w:t xml:space="preserve"> is first pre-processed (e.g., tokenization and vectorization) and transformed into numerical representations, which are then </w:t>
      </w:r>
      <w:proofErr w:type="spellStart"/>
      <w:r w:rsidRPr="000071E2">
        <w:rPr>
          <w:sz w:val="20"/>
          <w:szCs w:val="20"/>
          <w:lang w:val="en-GB"/>
        </w:rPr>
        <w:t>analyzed</w:t>
      </w:r>
      <w:proofErr w:type="spellEnd"/>
      <w:r w:rsidRPr="000071E2">
        <w:rPr>
          <w:sz w:val="20"/>
          <w:szCs w:val="20"/>
          <w:lang w:val="en-GB"/>
        </w:rPr>
        <w:t xml:space="preserve"> by </w:t>
      </w:r>
      <w:proofErr w:type="spellStart"/>
      <w:r w:rsidRPr="000071E2">
        <w:rPr>
          <w:sz w:val="20"/>
          <w:szCs w:val="20"/>
          <w:lang w:val="en-GB"/>
        </w:rPr>
        <w:t>PhoBERT</w:t>
      </w:r>
      <w:proofErr w:type="spellEnd"/>
      <w:r w:rsidRPr="000071E2">
        <w:rPr>
          <w:sz w:val="20"/>
          <w:szCs w:val="20"/>
          <w:lang w:val="en-GB"/>
        </w:rPr>
        <w:t xml:space="preserve"> to generate sentiment scores and classify the </w:t>
      </w:r>
      <w:proofErr w:type="spellStart"/>
      <w:r w:rsidRPr="000071E2">
        <w:rPr>
          <w:sz w:val="20"/>
          <w:szCs w:val="20"/>
          <w:lang w:val="en-GB"/>
        </w:rPr>
        <w:t>rumor</w:t>
      </w:r>
      <w:proofErr w:type="spellEnd"/>
      <w:r w:rsidRPr="000071E2">
        <w:rPr>
          <w:sz w:val="20"/>
          <w:szCs w:val="20"/>
          <w:lang w:val="en-GB"/>
        </w:rPr>
        <w:t xml:space="preserve"> into one of three categories: positive, negative, or neutral. Following the classification framework of Zha</w:t>
      </w:r>
      <w:r w:rsidR="000E7A7B" w:rsidRPr="000071E2">
        <w:rPr>
          <w:sz w:val="20"/>
          <w:szCs w:val="20"/>
          <w:lang w:val="en-GB"/>
        </w:rPr>
        <w:t>ng &amp; Wang</w:t>
      </w:r>
      <w:r w:rsidRPr="000071E2">
        <w:rPr>
          <w:sz w:val="20"/>
          <w:szCs w:val="20"/>
          <w:lang w:val="en-GB"/>
        </w:rPr>
        <w:t xml:space="preserve"> (20</w:t>
      </w:r>
      <w:r w:rsidR="00026560" w:rsidRPr="000071E2">
        <w:rPr>
          <w:sz w:val="20"/>
          <w:szCs w:val="20"/>
          <w:lang w:val="en-GB"/>
        </w:rPr>
        <w:t>24</w:t>
      </w:r>
      <w:r w:rsidRPr="000071E2">
        <w:rPr>
          <w:sz w:val="20"/>
          <w:szCs w:val="20"/>
          <w:lang w:val="en-GB"/>
        </w:rPr>
        <w:t xml:space="preserve">), a </w:t>
      </w:r>
      <w:proofErr w:type="spellStart"/>
      <w:r w:rsidRPr="000071E2">
        <w:rPr>
          <w:sz w:val="20"/>
          <w:szCs w:val="20"/>
          <w:lang w:val="en-GB"/>
        </w:rPr>
        <w:t>favorable</w:t>
      </w:r>
      <w:proofErr w:type="spellEnd"/>
      <w:r w:rsidRPr="000071E2">
        <w:rPr>
          <w:sz w:val="20"/>
          <w:szCs w:val="20"/>
          <w:lang w:val="en-GB"/>
        </w:rPr>
        <w:t xml:space="preserve"> or a positive </w:t>
      </w:r>
      <w:proofErr w:type="spellStart"/>
      <w:r w:rsidRPr="000071E2">
        <w:rPr>
          <w:sz w:val="20"/>
          <w:szCs w:val="20"/>
          <w:lang w:val="en-GB"/>
        </w:rPr>
        <w:t>rumor</w:t>
      </w:r>
      <w:proofErr w:type="spellEnd"/>
      <w:r w:rsidRPr="000071E2">
        <w:rPr>
          <w:sz w:val="20"/>
          <w:szCs w:val="20"/>
          <w:lang w:val="en-GB"/>
        </w:rPr>
        <w:t xml:space="preserve"> implies a potential positive impact on a firm’s value or operations, such as announcements of growth, expansion, or high dividends, whereas a </w:t>
      </w:r>
      <w:proofErr w:type="spellStart"/>
      <w:r w:rsidRPr="000071E2">
        <w:rPr>
          <w:sz w:val="20"/>
          <w:szCs w:val="20"/>
          <w:lang w:val="en-GB"/>
        </w:rPr>
        <w:t>rumor</w:t>
      </w:r>
      <w:proofErr w:type="spellEnd"/>
      <w:r w:rsidRPr="000071E2">
        <w:rPr>
          <w:sz w:val="20"/>
          <w:szCs w:val="20"/>
          <w:lang w:val="en-GB"/>
        </w:rPr>
        <w:t xml:space="preserve"> is categorized as </w:t>
      </w:r>
      <w:proofErr w:type="spellStart"/>
      <w:r w:rsidRPr="000071E2">
        <w:rPr>
          <w:sz w:val="20"/>
          <w:szCs w:val="20"/>
          <w:lang w:val="en-GB"/>
        </w:rPr>
        <w:t>unfavorable</w:t>
      </w:r>
      <w:proofErr w:type="spellEnd"/>
      <w:r w:rsidRPr="000071E2">
        <w:rPr>
          <w:sz w:val="20"/>
          <w:szCs w:val="20"/>
          <w:lang w:val="en-GB"/>
        </w:rPr>
        <w:t xml:space="preserve"> if it implies negative consequences, including performance declines, share reductions, or legal disputes; </w:t>
      </w:r>
      <w:proofErr w:type="spellStart"/>
      <w:r w:rsidRPr="000071E2">
        <w:rPr>
          <w:sz w:val="20"/>
          <w:szCs w:val="20"/>
          <w:lang w:val="en-GB"/>
        </w:rPr>
        <w:t>rumors</w:t>
      </w:r>
      <w:proofErr w:type="spellEnd"/>
      <w:r w:rsidRPr="000071E2">
        <w:rPr>
          <w:sz w:val="20"/>
          <w:szCs w:val="20"/>
          <w:lang w:val="en-GB"/>
        </w:rPr>
        <w:t xml:space="preserve"> that do not strongly align with either direction are considered neutral. Accordingly, this research defines three dependent variables: </w:t>
      </w:r>
      <m:oMath>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Rumor</m:t>
            </m:r>
          </m:e>
          <m:sub>
            <m:r>
              <w:rPr>
                <w:rFonts w:ascii="Cambria Math" w:hAnsi="Cambria Math"/>
                <w:sz w:val="20"/>
                <w:szCs w:val="20"/>
              </w:rPr>
              <m:t>i,y</m:t>
            </m:r>
          </m:sub>
        </m:sSub>
      </m:oMath>
      <w:r w:rsidRPr="000071E2">
        <w:rPr>
          <w:sz w:val="20"/>
          <w:szCs w:val="20"/>
          <w:lang w:val="en-GB"/>
        </w:rPr>
        <w:t xml:space="preserve"> representing the overall count of rumors concerning firm i in year y; </w:t>
      </w:r>
      <m:oMath>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Rpos</m:t>
            </m:r>
          </m:e>
          <m:sub>
            <m:r>
              <w:rPr>
                <w:rFonts w:ascii="Cambria Math" w:hAnsi="Cambria Math"/>
                <w:sz w:val="20"/>
                <w:szCs w:val="20"/>
              </w:rPr>
              <m:t>i,y</m:t>
            </m:r>
          </m:sub>
        </m:sSub>
      </m:oMath>
      <w:r w:rsidRPr="000071E2">
        <w:rPr>
          <w:sz w:val="20"/>
          <w:szCs w:val="20"/>
          <w:lang w:val="en-GB"/>
        </w:rPr>
        <w:t xml:space="preserve"> denotes </w:t>
      </w:r>
      <w:r w:rsidRPr="000071E2">
        <w:rPr>
          <w:sz w:val="20"/>
          <w:szCs w:val="20"/>
          <w:lang w:val="en-GB"/>
        </w:rPr>
        <w:lastRenderedPageBreak/>
        <w:t xml:space="preserve">the count of favorable (positive) rumors for firm i in year y; while </w:t>
      </w:r>
      <m:oMath>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Rneg</m:t>
            </m:r>
          </m:e>
          <m:sub>
            <m:r>
              <w:rPr>
                <w:rFonts w:ascii="Cambria Math" w:hAnsi="Cambria Math"/>
                <w:sz w:val="20"/>
                <w:szCs w:val="20"/>
              </w:rPr>
              <m:t>i,y</m:t>
            </m:r>
          </m:sub>
        </m:sSub>
      </m:oMath>
      <w:r w:rsidRPr="000071E2">
        <w:rPr>
          <w:sz w:val="20"/>
          <w:szCs w:val="20"/>
          <w:lang w:val="en-GB"/>
        </w:rPr>
        <w:t xml:space="preserve"> represents the count of unfavorable (negative) rumors for firm i in year y. After preprocessing and vectorization, the Vietnamese texts are processed by PhoBERT and classified into three output neurons corresponding to these sentiment categories. </w:t>
      </w:r>
      <w:r w:rsidR="69C09A3B" w:rsidRPr="000071E2">
        <w:rPr>
          <w:sz w:val="20"/>
          <w:szCs w:val="20"/>
          <w:lang w:val="en-GB"/>
        </w:rPr>
        <w:t>In the Appendix</w:t>
      </w:r>
      <w:r w:rsidR="003B0624">
        <w:rPr>
          <w:sz w:val="20"/>
          <w:szCs w:val="20"/>
          <w:lang w:val="en-GB"/>
        </w:rPr>
        <w:t xml:space="preserve"> 1</w:t>
      </w:r>
      <w:r w:rsidR="69C09A3B" w:rsidRPr="000071E2">
        <w:rPr>
          <w:sz w:val="20"/>
          <w:szCs w:val="20"/>
          <w:lang w:val="en-GB"/>
        </w:rPr>
        <w:t>, we provide 10 samples of positive</w:t>
      </w:r>
      <w:r w:rsidR="4B2BF9FD" w:rsidRPr="45D79B2B">
        <w:rPr>
          <w:sz w:val="20"/>
          <w:szCs w:val="20"/>
          <w:lang w:val="en-GB"/>
        </w:rPr>
        <w:t xml:space="preserve"> and negative </w:t>
      </w:r>
      <w:proofErr w:type="spellStart"/>
      <w:r w:rsidR="4B2BF9FD" w:rsidRPr="45D79B2B">
        <w:rPr>
          <w:sz w:val="20"/>
          <w:szCs w:val="20"/>
          <w:lang w:val="en-GB"/>
        </w:rPr>
        <w:t>rumors</w:t>
      </w:r>
      <w:proofErr w:type="spellEnd"/>
      <w:r w:rsidR="4B2BF9FD" w:rsidRPr="45D79B2B">
        <w:rPr>
          <w:sz w:val="20"/>
          <w:szCs w:val="20"/>
          <w:lang w:val="en-GB"/>
        </w:rPr>
        <w:t xml:space="preserve"> to clarify their sentiment. </w:t>
      </w:r>
    </w:p>
    <w:p w14:paraId="3E6B46EB" w14:textId="2AAA9120" w:rsidR="003D6CAC" w:rsidRPr="000071E2" w:rsidRDefault="00F9546E">
      <w:pPr>
        <w:spacing w:before="120"/>
        <w:rPr>
          <w:b/>
          <w:sz w:val="20"/>
          <w:szCs w:val="20"/>
        </w:rPr>
      </w:pPr>
      <w:r w:rsidRPr="000071E2">
        <w:rPr>
          <w:b/>
          <w:sz w:val="20"/>
          <w:szCs w:val="20"/>
        </w:rPr>
        <w:t>4</w:t>
      </w:r>
      <w:r w:rsidR="00436226" w:rsidRPr="000071E2">
        <w:rPr>
          <w:b/>
          <w:sz w:val="20"/>
          <w:szCs w:val="20"/>
        </w:rPr>
        <w:t>.3 Stock price synchronicity</w:t>
      </w:r>
    </w:p>
    <w:p w14:paraId="3B21AAEB" w14:textId="346A81A7" w:rsidR="003D6CAC" w:rsidRPr="000071E2" w:rsidRDefault="00A150D6" w:rsidP="00FD2A1A">
      <w:pPr>
        <w:spacing w:before="120"/>
        <w:jc w:val="both"/>
        <w:rPr>
          <w:sz w:val="20"/>
          <w:szCs w:val="20"/>
        </w:rPr>
      </w:pPr>
      <w:r>
        <w:rPr>
          <w:sz w:val="20"/>
          <w:szCs w:val="20"/>
        </w:rPr>
        <w:t>Model</w:t>
      </w:r>
      <w:r w:rsidR="00F76121" w:rsidRPr="000071E2">
        <w:rPr>
          <w:sz w:val="20"/>
          <w:szCs w:val="20"/>
          <w:lang w:val="en-GB"/>
        </w:rPr>
        <w:t xml:space="preserve"> (1) on the regression of stock returns based on the market returns and industry returns is derived from the study of </w:t>
      </w:r>
      <w:proofErr w:type="spellStart"/>
      <w:r w:rsidR="00662229" w:rsidRPr="000071E2">
        <w:rPr>
          <w:sz w:val="20"/>
          <w:szCs w:val="20"/>
          <w:lang w:val="en-GB"/>
        </w:rPr>
        <w:t>Durnev</w:t>
      </w:r>
      <w:proofErr w:type="spellEnd"/>
      <w:r w:rsidR="00662229" w:rsidRPr="000071E2">
        <w:rPr>
          <w:sz w:val="20"/>
          <w:szCs w:val="20"/>
          <w:lang w:val="en-GB"/>
        </w:rPr>
        <w:t xml:space="preserve"> et al. (2003</w:t>
      </w:r>
      <w:r w:rsidR="00F76D7D" w:rsidRPr="000071E2">
        <w:rPr>
          <w:sz w:val="20"/>
          <w:szCs w:val="20"/>
          <w:lang w:val="en-GB"/>
        </w:rPr>
        <w:t>)</w:t>
      </w:r>
      <w:r w:rsidR="00F76121" w:rsidRPr="000071E2">
        <w:rPr>
          <w:sz w:val="20"/>
          <w:szCs w:val="20"/>
          <w:lang w:val="en-GB"/>
        </w:rPr>
        <w:t xml:space="preserve">. From this regression result, the coefficient of determination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F76121" w:rsidRPr="000071E2">
        <w:rPr>
          <w:sz w:val="20"/>
          <w:szCs w:val="20"/>
          <w:lang w:val="en-GB"/>
        </w:rPr>
        <w:t xml:space="preserve"> is used to a</w:t>
      </w:r>
      <w:r w:rsidR="2A713961" w:rsidRPr="2A713961">
        <w:rPr>
          <w:sz w:val="20"/>
          <w:szCs w:val="20"/>
          <w:lang w:val="en-GB"/>
        </w:rPr>
        <w:t>pplied</w:t>
      </w:r>
      <w:r w:rsidR="72E42E87" w:rsidRPr="72E42E87">
        <w:rPr>
          <w:sz w:val="20"/>
          <w:szCs w:val="20"/>
          <w:lang w:val="en-GB"/>
        </w:rPr>
        <w:t xml:space="preserve"> in developing</w:t>
      </w:r>
      <w:r w:rsidR="00F76121" w:rsidRPr="000071E2">
        <w:rPr>
          <w:sz w:val="20"/>
          <w:szCs w:val="20"/>
          <w:lang w:val="en-GB"/>
        </w:rPr>
        <w:t xml:space="preserve"> the stock price synchronicity index </w:t>
      </w:r>
      <w:r w:rsidR="72E42E87" w:rsidRPr="72E42E87">
        <w:rPr>
          <w:sz w:val="20"/>
          <w:szCs w:val="20"/>
          <w:lang w:val="en-GB"/>
        </w:rPr>
        <w:t>(</w:t>
      </w:r>
      <m:oMath>
        <m:r>
          <w:rPr>
            <w:rFonts w:ascii="Cambria Math" w:hAnsi="Cambria Math"/>
            <w:sz w:val="20"/>
            <w:szCs w:val="20"/>
          </w:rPr>
          <m:t>SYN)</m:t>
        </m:r>
      </m:oMath>
      <w:r w:rsidR="003811E5">
        <w:rPr>
          <w:sz w:val="20"/>
          <w:szCs w:val="20"/>
        </w:rPr>
        <w:t xml:space="preserve"> </w:t>
      </w:r>
      <w:r w:rsidR="00F76121" w:rsidRPr="000071E2">
        <w:rPr>
          <w:sz w:val="20"/>
          <w:szCs w:val="20"/>
          <w:lang w:val="en-GB"/>
        </w:rPr>
        <w:t>whole year. This approach helps increase the number of observations for each bank, thereby expecting to improve the accuracy of the model.</w:t>
      </w:r>
    </w:p>
    <w:p w14:paraId="79217E85" w14:textId="1B77FBE3" w:rsidR="005B21FC" w:rsidRPr="000071E2" w:rsidRDefault="00000000" w:rsidP="009578F0">
      <w:pPr>
        <w:pBdr>
          <w:top w:val="nil"/>
          <w:left w:val="nil"/>
          <w:bottom w:val="nil"/>
          <w:right w:val="nil"/>
          <w:between w:val="nil"/>
        </w:pBdr>
        <w:tabs>
          <w:tab w:val="right" w:pos="4536"/>
        </w:tabs>
        <w:spacing w:before="120"/>
        <w:jc w:val="center"/>
        <w:rPr>
          <w:sz w:val="20"/>
          <w:szCs w:val="20"/>
        </w:rPr>
      </w:pPr>
      <m:oMath>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R</m:t>
            </m:r>
          </m:e>
          <m:sub>
            <m:r>
              <w:rPr>
                <w:rFonts w:ascii="Cambria Math" w:hAnsi="Cambria Math"/>
                <w:sz w:val="20"/>
                <w:szCs w:val="20"/>
              </w:rPr>
              <m:t>i, t, y</m:t>
            </m:r>
          </m:sub>
        </m:sSub>
        <m:r>
          <w:rPr>
            <w:rFonts w:ascii="Cambria Math" w:hAnsi="Cambria Math"/>
            <w:sz w:val="20"/>
            <w:szCs w:val="20"/>
          </w:rPr>
          <m:t xml:space="preserve">= </m:t>
        </m:r>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R</m:t>
            </m:r>
          </m:e>
          <m:sub>
            <m:r>
              <w:rPr>
                <w:rFonts w:ascii="Cambria Math" w:hAnsi="Cambria Math"/>
                <w:sz w:val="20"/>
                <w:szCs w:val="20"/>
              </w:rPr>
              <m:t>m,t,y</m:t>
            </m:r>
          </m:sub>
        </m:sSub>
        <m:r>
          <w:rPr>
            <w:rFonts w:ascii="Cambria Math" w:hAnsi="Cambria Math"/>
            <w:sz w:val="20"/>
            <w:szCs w:val="20"/>
          </w:rPr>
          <m:t xml:space="preserve">+ </m:t>
        </m:r>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R</m:t>
            </m:r>
          </m:e>
          <m:sub>
            <m:r>
              <w:rPr>
                <w:rFonts w:ascii="Cambria Math" w:hAnsi="Cambria Math"/>
                <w:sz w:val="20"/>
                <w:szCs w:val="20"/>
              </w:rPr>
              <m:t>ind,t,y</m:t>
            </m:r>
          </m:sub>
        </m:sSub>
        <m:r>
          <w:rPr>
            <w:rFonts w:ascii="Cambria Math" w:hAnsi="Cambria Math"/>
            <w:sz w:val="20"/>
            <w:szCs w:val="20"/>
          </w:rPr>
          <m:t>+ ϵ</m:t>
        </m:r>
      </m:oMath>
      <w:r w:rsidR="009578F0" w:rsidRPr="000071E2">
        <w:rPr>
          <w:sz w:val="20"/>
          <w:szCs w:val="20"/>
        </w:rPr>
        <w:t xml:space="preserve">   (1)</w:t>
      </w:r>
    </w:p>
    <w:p w14:paraId="1E933FBD" w14:textId="390B0054" w:rsidR="00F76121" w:rsidRPr="000071E2" w:rsidRDefault="00F76121" w:rsidP="00FD2A1A">
      <w:pPr>
        <w:pBdr>
          <w:top w:val="nil"/>
          <w:left w:val="nil"/>
          <w:bottom w:val="nil"/>
          <w:right w:val="nil"/>
          <w:between w:val="nil"/>
        </w:pBdr>
        <w:tabs>
          <w:tab w:val="right" w:pos="4536"/>
        </w:tabs>
        <w:spacing w:before="120"/>
        <w:jc w:val="both"/>
        <w:rPr>
          <w:rFonts w:ascii="Cambria Math" w:hAnsi="Cambria Math"/>
          <w:iCs/>
          <w:kern w:val="2"/>
          <w:sz w:val="20"/>
          <w:szCs w:val="20"/>
          <w14:ligatures w14:val="standardContextual"/>
        </w:rPr>
      </w:pPr>
      <w:r w:rsidRPr="000071E2">
        <w:rPr>
          <w:kern w:val="2"/>
          <w:sz w:val="20"/>
          <w:szCs w:val="20"/>
          <w14:ligatures w14:val="standardContextual"/>
        </w:rPr>
        <w:t xml:space="preserve">where </w:t>
      </w:r>
      <m:oMath>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R</m:t>
            </m:r>
          </m:e>
          <m:sub>
            <m:r>
              <w:rPr>
                <w:rFonts w:ascii="Cambria Math" w:hAnsi="Cambria Math"/>
                <w:sz w:val="20"/>
                <w:szCs w:val="20"/>
              </w:rPr>
              <m:t>i, t, y</m:t>
            </m:r>
          </m:sub>
        </m:sSub>
      </m:oMath>
      <w:r w:rsidRPr="000071E2">
        <w:rPr>
          <w:kern w:val="2"/>
          <w:sz w:val="20"/>
          <w:szCs w:val="20"/>
          <w14:ligatures w14:val="standardContextual"/>
        </w:rPr>
        <w:t xml:space="preserve">: stock return of bank </w:t>
      </w:r>
      <m:oMath>
        <m:r>
          <w:rPr>
            <w:rFonts w:ascii="Cambria Math" w:hAnsi="Cambria Math"/>
            <w:kern w:val="2"/>
            <w:sz w:val="20"/>
            <w:szCs w:val="20"/>
            <w14:ligatures w14:val="standardContextual"/>
          </w:rPr>
          <m:t>i</m:t>
        </m:r>
      </m:oMath>
      <w:r w:rsidRPr="000071E2">
        <w:rPr>
          <w:kern w:val="2"/>
          <w:sz w:val="20"/>
          <w:szCs w:val="20"/>
          <w14:ligatures w14:val="standardContextual"/>
        </w:rPr>
        <w:t xml:space="preserve"> on day </w:t>
      </w:r>
      <m:oMath>
        <m:r>
          <w:rPr>
            <w:rFonts w:ascii="Cambria Math" w:hAnsi="Cambria Math"/>
            <w:kern w:val="2"/>
            <w:sz w:val="20"/>
            <w:szCs w:val="20"/>
            <w14:ligatures w14:val="standardContextual"/>
          </w:rPr>
          <m:t>t</m:t>
        </m:r>
      </m:oMath>
      <w:r w:rsidRPr="000071E2">
        <w:rPr>
          <w:kern w:val="2"/>
          <w:sz w:val="20"/>
          <w:szCs w:val="20"/>
          <w14:ligatures w14:val="standardContextual"/>
        </w:rPr>
        <w:t xml:space="preserve"> of the year </w:t>
      </w:r>
      <m:oMath>
        <m:r>
          <w:rPr>
            <w:rFonts w:ascii="Cambria Math" w:hAnsi="Cambria Math"/>
            <w:kern w:val="2"/>
            <w:sz w:val="20"/>
            <w:szCs w:val="20"/>
            <w14:ligatures w14:val="standardContextual"/>
          </w:rPr>
          <m:t>y</m:t>
        </m:r>
      </m:oMath>
      <w:r w:rsidRPr="000071E2">
        <w:rPr>
          <w:kern w:val="2"/>
          <w:sz w:val="20"/>
          <w:szCs w:val="20"/>
          <w14:ligatures w14:val="standardContextual"/>
        </w:rPr>
        <w:t xml:space="preserve">; </w:t>
      </w:r>
      <m:oMath>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R</m:t>
            </m:r>
          </m:e>
          <m:sub>
            <m:r>
              <w:rPr>
                <w:rFonts w:ascii="Cambria Math" w:hAnsi="Cambria Math"/>
                <w:sz w:val="20"/>
                <w:szCs w:val="20"/>
              </w:rPr>
              <m:t>m,t,y</m:t>
            </m:r>
          </m:sub>
        </m:sSub>
      </m:oMath>
      <w:r w:rsidRPr="000071E2">
        <w:rPr>
          <w:kern w:val="2"/>
          <w:sz w:val="20"/>
          <w:szCs w:val="20"/>
          <w14:ligatures w14:val="standardContextual"/>
        </w:rPr>
        <w:t xml:space="preserve">: market return on day </w:t>
      </w:r>
      <m:oMath>
        <m:r>
          <w:rPr>
            <w:rFonts w:ascii="Cambria Math" w:hAnsi="Cambria Math"/>
            <w:kern w:val="2"/>
            <w:sz w:val="20"/>
            <w:szCs w:val="20"/>
            <w14:ligatures w14:val="standardContextual"/>
          </w:rPr>
          <m:t>t</m:t>
        </m:r>
      </m:oMath>
      <w:r w:rsidRPr="000071E2">
        <w:rPr>
          <w:kern w:val="2"/>
          <w:sz w:val="20"/>
          <w:szCs w:val="20"/>
          <w14:ligatures w14:val="standardContextual"/>
        </w:rPr>
        <w:t xml:space="preserve"> of the year </w:t>
      </w:r>
      <m:oMath>
        <m:r>
          <w:rPr>
            <w:rFonts w:ascii="Cambria Math" w:hAnsi="Cambria Math"/>
            <w:kern w:val="2"/>
            <w:sz w:val="20"/>
            <w:szCs w:val="20"/>
            <w14:ligatures w14:val="standardContextual"/>
          </w:rPr>
          <m:t>y</m:t>
        </m:r>
      </m:oMath>
      <w:r w:rsidRPr="000071E2">
        <w:rPr>
          <w:kern w:val="2"/>
          <w:sz w:val="20"/>
          <w:szCs w:val="20"/>
          <w14:ligatures w14:val="standardContextual"/>
        </w:rPr>
        <w:t xml:space="preserve">; </w:t>
      </w:r>
      <m:oMath>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R</m:t>
            </m:r>
          </m:e>
          <m:sub>
            <m:r>
              <w:rPr>
                <w:rFonts w:ascii="Cambria Math" w:hAnsi="Cambria Math"/>
                <w:sz w:val="20"/>
                <w:szCs w:val="20"/>
              </w:rPr>
              <m:t>ind,t,y</m:t>
            </m:r>
          </m:sub>
        </m:sSub>
      </m:oMath>
      <w:r w:rsidRPr="000071E2">
        <w:rPr>
          <w:kern w:val="2"/>
          <w:sz w:val="20"/>
          <w:szCs w:val="20"/>
          <w14:ligatures w14:val="standardContextual"/>
        </w:rPr>
        <w:t xml:space="preserve">: return </w:t>
      </w:r>
      <w:r w:rsidRPr="003811E5">
        <w:rPr>
          <w:kern w:val="2"/>
          <w:sz w:val="20"/>
          <w:szCs w:val="20"/>
          <w14:ligatures w14:val="standardContextual"/>
        </w:rPr>
        <w:t>of banking industry</w:t>
      </w:r>
      <w:r>
        <w:rPr>
          <w:kern w:val="2"/>
          <w14:ligatures w14:val="standardContextual"/>
        </w:rPr>
        <w:t xml:space="preserve"> </w:t>
      </w:r>
      <w:r w:rsidRPr="000071E2">
        <w:rPr>
          <w:kern w:val="2"/>
          <w:sz w:val="20"/>
          <w:szCs w:val="20"/>
          <w14:ligatures w14:val="standardContextual"/>
        </w:rPr>
        <w:t xml:space="preserve">on day </w:t>
      </w:r>
      <m:oMath>
        <m:r>
          <w:rPr>
            <w:rFonts w:ascii="Cambria Math" w:hAnsi="Cambria Math"/>
            <w:kern w:val="2"/>
            <w:sz w:val="20"/>
            <w:szCs w:val="20"/>
            <w14:ligatures w14:val="standardContextual"/>
          </w:rPr>
          <m:t>t</m:t>
        </m:r>
      </m:oMath>
      <w:r w:rsidRPr="000071E2">
        <w:rPr>
          <w:kern w:val="2"/>
          <w:sz w:val="20"/>
          <w:szCs w:val="20"/>
          <w14:ligatures w14:val="standardContextual"/>
        </w:rPr>
        <w:t xml:space="preserve"> of the year </w:t>
      </w:r>
      <m:oMath>
        <m:r>
          <w:rPr>
            <w:rFonts w:ascii="Cambria Math" w:hAnsi="Cambria Math"/>
            <w:kern w:val="2"/>
            <w:sz w:val="20"/>
            <w:szCs w:val="20"/>
            <w14:ligatures w14:val="standardContextual"/>
          </w:rPr>
          <m:t>y</m:t>
        </m:r>
      </m:oMath>
      <w:r w:rsidRPr="000071E2">
        <w:rPr>
          <w:kern w:val="2"/>
          <w:sz w:val="20"/>
          <w:szCs w:val="20"/>
          <w14:ligatures w14:val="standardContextual"/>
        </w:rPr>
        <w:t xml:space="preserve"> (excluding bank</w:t>
      </w:r>
      <w:r w:rsidRPr="000071E2">
        <w:rPr>
          <w:rFonts w:ascii="Cambria Math" w:hAnsi="Cambria Math"/>
          <w:i/>
          <w:kern w:val="2"/>
          <w:sz w:val="20"/>
          <w:szCs w:val="20"/>
          <w14:ligatures w14:val="standardContextual"/>
        </w:rPr>
        <w:t xml:space="preserve"> </w:t>
      </w:r>
      <m:oMath>
        <m:r>
          <w:rPr>
            <w:rFonts w:ascii="Cambria Math" w:hAnsi="Cambria Math"/>
            <w:kern w:val="2"/>
            <w:sz w:val="20"/>
            <w:szCs w:val="20"/>
            <w14:ligatures w14:val="standardContextual"/>
          </w:rPr>
          <m:t>i</m:t>
        </m:r>
      </m:oMath>
      <w:r w:rsidRPr="000071E2">
        <w:rPr>
          <w:rFonts w:ascii="Cambria Math" w:hAnsi="Cambria Math"/>
          <w:iCs/>
          <w:kern w:val="2"/>
          <w:sz w:val="20"/>
          <w:szCs w:val="20"/>
          <w14:ligatures w14:val="standardContextual"/>
        </w:rPr>
        <w:t>).</w:t>
      </w:r>
    </w:p>
    <w:p w14:paraId="2200DA38" w14:textId="096CD48D" w:rsidR="00F76D7D" w:rsidRPr="000071E2" w:rsidRDefault="00A150D6" w:rsidP="00FD2A1A">
      <w:pPr>
        <w:pBdr>
          <w:top w:val="nil"/>
          <w:left w:val="nil"/>
          <w:bottom w:val="nil"/>
          <w:right w:val="nil"/>
          <w:between w:val="nil"/>
        </w:pBdr>
        <w:tabs>
          <w:tab w:val="right" w:pos="4536"/>
        </w:tabs>
        <w:spacing w:before="120"/>
        <w:jc w:val="both"/>
        <w:rPr>
          <w:sz w:val="20"/>
          <w:szCs w:val="20"/>
        </w:rPr>
      </w:pPr>
      <w:r>
        <w:rPr>
          <w:sz w:val="20"/>
          <w:szCs w:val="20"/>
          <w:lang w:val="en-GB"/>
        </w:rPr>
        <w:t>Model</w:t>
      </w:r>
      <w:r w:rsidR="00F76D7D" w:rsidRPr="000071E2">
        <w:rPr>
          <w:sz w:val="20"/>
          <w:szCs w:val="20"/>
          <w:lang w:val="en-GB"/>
        </w:rPr>
        <w:t xml:space="preserve"> (2) applies the logit transformation to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F76121" w:rsidRPr="000071E2">
        <w:rPr>
          <w:sz w:val="20"/>
          <w:szCs w:val="20"/>
          <w:lang w:val="en-GB"/>
        </w:rPr>
        <w:t xml:space="preserve">, </w:t>
      </w:r>
      <w:r w:rsidR="00F76D7D" w:rsidRPr="000071E2">
        <w:rPr>
          <w:sz w:val="20"/>
          <w:szCs w:val="20"/>
          <w:lang w:val="en-GB"/>
        </w:rPr>
        <w:t xml:space="preserve">converting its value from the interval </w:t>
      </w:r>
      <m:oMath>
        <m:d>
          <m:dPr>
            <m:ctrlPr>
              <w:rPr>
                <w:rFonts w:ascii="Cambria Math" w:hAnsi="Cambria Math"/>
                <w:i/>
                <w:sz w:val="20"/>
                <w:szCs w:val="20"/>
              </w:rPr>
            </m:ctrlPr>
          </m:dPr>
          <m:e>
            <m:r>
              <w:rPr>
                <w:rFonts w:ascii="Cambria Math" w:hAnsi="Cambria Math"/>
                <w:sz w:val="20"/>
                <w:szCs w:val="20"/>
              </w:rPr>
              <m:t>0,1</m:t>
            </m:r>
          </m:e>
        </m:d>
      </m:oMath>
      <w:r w:rsidR="00F76121" w:rsidRPr="000071E2">
        <w:rPr>
          <w:sz w:val="20"/>
          <w:szCs w:val="20"/>
          <w:lang w:val="en-GB"/>
        </w:rPr>
        <w:t xml:space="preserve"> into an index on the real number line, </w:t>
      </w:r>
      <w:r w:rsidR="00F76D7D" w:rsidRPr="000071E2">
        <w:rPr>
          <w:sz w:val="20"/>
          <w:szCs w:val="20"/>
          <w:lang w:val="en-GB"/>
        </w:rPr>
        <w:t>which facilitates comparison across firms and across years</w:t>
      </w:r>
      <w:r w:rsidR="00F76121" w:rsidRPr="000071E2">
        <w:rPr>
          <w:sz w:val="20"/>
          <w:szCs w:val="20"/>
          <w:lang w:val="en-GB"/>
        </w:rPr>
        <w:t xml:space="preserve">. </w:t>
      </w:r>
    </w:p>
    <w:p w14:paraId="10F31FE4" w14:textId="037DC0BD" w:rsidR="00F76D7D" w:rsidRPr="000071E2" w:rsidRDefault="00000000" w:rsidP="009578F0">
      <w:pPr>
        <w:pBdr>
          <w:top w:val="nil"/>
          <w:left w:val="nil"/>
          <w:bottom w:val="nil"/>
          <w:right w:val="nil"/>
          <w:between w:val="nil"/>
        </w:pBdr>
        <w:tabs>
          <w:tab w:val="right" w:pos="4536"/>
        </w:tabs>
        <w:spacing w:before="120"/>
        <w:jc w:val="center"/>
        <w:rPr>
          <w:kern w:val="2"/>
          <w:sz w:val="20"/>
          <w:szCs w:val="20"/>
          <w14:ligatures w14:val="standardContextual"/>
        </w:rPr>
      </w:pPr>
      <m:oMath>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SYN</m:t>
            </m:r>
          </m:e>
          <m:sub>
            <m:r>
              <w:rPr>
                <w:rFonts w:ascii="Cambria Math" w:hAnsi="Cambria Math"/>
                <w:sz w:val="20"/>
                <w:szCs w:val="20"/>
              </w:rPr>
              <m:t>i, y</m:t>
            </m:r>
          </m:sub>
        </m:sSub>
        <m:r>
          <w:rPr>
            <w:rFonts w:ascii="Cambria Math" w:hAnsi="Cambria Math"/>
            <w:sz w:val="20"/>
            <w:szCs w:val="20"/>
          </w:rPr>
          <m:t>= Ln</m:t>
        </m:r>
        <m:d>
          <m:dPr>
            <m:ctrlPr>
              <w:rPr>
                <w:rFonts w:ascii="Cambria Math" w:eastAsiaTheme="minorEastAsia" w:hAnsi="Cambria Math" w:cstheme="minorBidi"/>
                <w:i/>
                <w:kern w:val="2"/>
                <w:sz w:val="20"/>
                <w:szCs w:val="20"/>
                <w14:ligatures w14:val="standardContextual"/>
              </w:rPr>
            </m:ctrlPr>
          </m:dPr>
          <m:e>
            <m:f>
              <m:fPr>
                <m:ctrlPr>
                  <w:rPr>
                    <w:rFonts w:ascii="Cambria Math" w:eastAsiaTheme="minorEastAsia" w:hAnsi="Cambria Math" w:cstheme="minorBidi"/>
                    <w:i/>
                    <w:kern w:val="2"/>
                    <w:sz w:val="20"/>
                    <w:szCs w:val="20"/>
                    <w14:ligatures w14:val="standardContextual"/>
                  </w:rPr>
                </m:ctrlPr>
              </m:fPr>
              <m:num>
                <m:sSup>
                  <m:sSupPr>
                    <m:ctrlPr>
                      <w:rPr>
                        <w:rFonts w:ascii="Cambria Math" w:eastAsiaTheme="minorEastAsia" w:hAnsi="Cambria Math" w:cstheme="minorBidi"/>
                        <w:i/>
                        <w:kern w:val="2"/>
                        <w:sz w:val="20"/>
                        <w:szCs w:val="20"/>
                        <w14:ligatures w14:val="standardContextual"/>
                      </w:rPr>
                    </m:ctrlPr>
                  </m:sSupPr>
                  <m:e>
                    <m:r>
                      <w:rPr>
                        <w:rFonts w:ascii="Cambria Math" w:eastAsiaTheme="minorEastAsia" w:hAnsi="Cambria Math" w:cstheme="minorBidi"/>
                        <w:kern w:val="2"/>
                        <w:sz w:val="20"/>
                        <w:szCs w:val="20"/>
                        <w14:ligatures w14:val="standardContextual"/>
                      </w:rPr>
                      <m:t>R</m:t>
                    </m:r>
                  </m:e>
                  <m:sup>
                    <m:r>
                      <w:rPr>
                        <w:rFonts w:ascii="Cambria Math" w:eastAsiaTheme="minorEastAsia" w:hAnsi="Cambria Math" w:cstheme="minorBidi"/>
                        <w:kern w:val="2"/>
                        <w:sz w:val="20"/>
                        <w:szCs w:val="20"/>
                        <w14:ligatures w14:val="standardContextual"/>
                      </w:rPr>
                      <m:t>2</m:t>
                    </m:r>
                  </m:sup>
                </m:sSup>
              </m:num>
              <m:den>
                <m:r>
                  <w:rPr>
                    <w:rFonts w:ascii="Cambria Math" w:eastAsiaTheme="minorEastAsia" w:hAnsi="Cambria Math" w:cstheme="minorBidi"/>
                    <w:kern w:val="2"/>
                    <w:sz w:val="20"/>
                    <w:szCs w:val="20"/>
                    <w14:ligatures w14:val="standardContextual"/>
                  </w:rPr>
                  <m:t xml:space="preserve">1- </m:t>
                </m:r>
                <m:sSup>
                  <m:sSupPr>
                    <m:ctrlPr>
                      <w:rPr>
                        <w:rFonts w:ascii="Cambria Math" w:eastAsiaTheme="minorEastAsia" w:hAnsi="Cambria Math" w:cstheme="minorBidi"/>
                        <w:i/>
                        <w:kern w:val="2"/>
                        <w:sz w:val="20"/>
                        <w:szCs w:val="20"/>
                        <w14:ligatures w14:val="standardContextual"/>
                      </w:rPr>
                    </m:ctrlPr>
                  </m:sSupPr>
                  <m:e>
                    <m:r>
                      <w:rPr>
                        <w:rFonts w:ascii="Cambria Math" w:eastAsiaTheme="minorEastAsia" w:hAnsi="Cambria Math" w:cstheme="minorBidi"/>
                        <w:kern w:val="2"/>
                        <w:sz w:val="20"/>
                        <w:szCs w:val="20"/>
                        <w14:ligatures w14:val="standardContextual"/>
                      </w:rPr>
                      <m:t>R</m:t>
                    </m:r>
                  </m:e>
                  <m:sup>
                    <m:r>
                      <w:rPr>
                        <w:rFonts w:ascii="Cambria Math" w:eastAsiaTheme="minorEastAsia" w:hAnsi="Cambria Math" w:cstheme="minorBidi"/>
                        <w:kern w:val="2"/>
                        <w:sz w:val="20"/>
                        <w:szCs w:val="20"/>
                        <w14:ligatures w14:val="standardContextual"/>
                      </w:rPr>
                      <m:t>2</m:t>
                    </m:r>
                  </m:sup>
                </m:sSup>
              </m:den>
            </m:f>
          </m:e>
        </m:d>
      </m:oMath>
      <w:r w:rsidR="009578F0" w:rsidRPr="000071E2">
        <w:rPr>
          <w:kern w:val="2"/>
          <w:sz w:val="20"/>
          <w:szCs w:val="20"/>
          <w14:ligatures w14:val="standardContextual"/>
        </w:rPr>
        <w:t xml:space="preserve">   (2)</w:t>
      </w:r>
    </w:p>
    <w:p w14:paraId="1E799860" w14:textId="15C06519" w:rsidR="00F76D7D" w:rsidRPr="000071E2" w:rsidRDefault="00F76D7D" w:rsidP="003811E5">
      <w:pPr>
        <w:pBdr>
          <w:top w:val="nil"/>
          <w:left w:val="nil"/>
          <w:bottom w:val="nil"/>
          <w:right w:val="nil"/>
          <w:between w:val="nil"/>
        </w:pBdr>
        <w:tabs>
          <w:tab w:val="right" w:pos="4536"/>
        </w:tabs>
        <w:spacing w:before="120"/>
        <w:jc w:val="both"/>
        <w:rPr>
          <w:sz w:val="20"/>
          <w:szCs w:val="20"/>
        </w:rPr>
      </w:pPr>
      <w:r w:rsidRPr="000071E2">
        <w:rPr>
          <w:sz w:val="20"/>
          <w:szCs w:val="20"/>
          <w:lang w:val="en-GB"/>
        </w:rPr>
        <w:t xml:space="preserve">The interpretation of the SYN index is straightforward: a high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Pr="000071E2">
        <w:rPr>
          <w:sz w:val="20"/>
          <w:szCs w:val="20"/>
          <w:lang w:val="en-GB"/>
        </w:rPr>
        <w:t xml:space="preserve"> indicates that stock fluctuations are largely explained by market and industry factors, implying little firm-specific information and thus a high </w:t>
      </w:r>
      <m:oMath>
        <m:r>
          <w:rPr>
            <w:rFonts w:ascii="Cambria Math" w:hAnsi="Cambria Math"/>
            <w:sz w:val="20"/>
            <w:szCs w:val="20"/>
          </w:rPr>
          <m:t>SYN</m:t>
        </m:r>
      </m:oMath>
      <w:r w:rsidRPr="000071E2">
        <w:rPr>
          <w:sz w:val="20"/>
          <w:szCs w:val="20"/>
          <w:lang w:val="en-GB"/>
        </w:rPr>
        <w:t xml:space="preserve">; conversely, a low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Pr="000071E2">
        <w:rPr>
          <w:sz w:val="20"/>
          <w:szCs w:val="20"/>
          <w:lang w:val="en-GB"/>
        </w:rPr>
        <w:t xml:space="preserve"> reflects a greater role of firm-specific information, resulting in a lower </w:t>
      </w:r>
      <m:oMath>
        <m:r>
          <w:rPr>
            <w:rFonts w:ascii="Cambria Math" w:hAnsi="Cambria Math"/>
            <w:sz w:val="20"/>
            <w:szCs w:val="20"/>
          </w:rPr>
          <m:t>SYN</m:t>
        </m:r>
      </m:oMath>
      <w:r w:rsidRPr="000071E2">
        <w:rPr>
          <w:sz w:val="20"/>
          <w:szCs w:val="20"/>
          <w:lang w:val="en-GB"/>
        </w:rPr>
        <w:t>.</w:t>
      </w:r>
    </w:p>
    <w:p w14:paraId="51809FFF" w14:textId="22F909EE" w:rsidR="00C0103E" w:rsidRPr="00074BFE" w:rsidRDefault="00F9546E" w:rsidP="003811E5">
      <w:pPr>
        <w:pBdr>
          <w:top w:val="nil"/>
          <w:left w:val="nil"/>
          <w:bottom w:val="nil"/>
          <w:right w:val="nil"/>
          <w:between w:val="nil"/>
        </w:pBdr>
        <w:tabs>
          <w:tab w:val="right" w:pos="4536"/>
        </w:tabs>
        <w:spacing w:before="120"/>
        <w:jc w:val="both"/>
        <w:rPr>
          <w:b/>
          <w:sz w:val="20"/>
          <w:szCs w:val="20"/>
        </w:rPr>
      </w:pPr>
      <w:r w:rsidRPr="00074BFE">
        <w:rPr>
          <w:b/>
          <w:sz w:val="20"/>
          <w:szCs w:val="20"/>
        </w:rPr>
        <w:t>4</w:t>
      </w:r>
      <w:r w:rsidR="00436226" w:rsidRPr="00074BFE">
        <w:rPr>
          <w:b/>
          <w:sz w:val="20"/>
          <w:szCs w:val="20"/>
        </w:rPr>
        <w:t>.</w:t>
      </w:r>
      <w:r w:rsidRPr="00074BFE">
        <w:rPr>
          <w:b/>
          <w:sz w:val="20"/>
          <w:szCs w:val="20"/>
        </w:rPr>
        <w:t>4</w:t>
      </w:r>
      <w:r w:rsidR="00436226" w:rsidRPr="00074BFE">
        <w:rPr>
          <w:b/>
          <w:sz w:val="20"/>
          <w:szCs w:val="20"/>
        </w:rPr>
        <w:t xml:space="preserve"> </w:t>
      </w:r>
      <w:r w:rsidR="00C0103E" w:rsidRPr="00074BFE">
        <w:rPr>
          <w:b/>
          <w:sz w:val="20"/>
          <w:szCs w:val="20"/>
        </w:rPr>
        <w:t>Mispricing</w:t>
      </w:r>
    </w:p>
    <w:p w14:paraId="367AAC49" w14:textId="1DBD0038" w:rsidR="00C0103E" w:rsidRPr="00074BFE" w:rsidRDefault="00C42DD7" w:rsidP="003811E5">
      <w:pPr>
        <w:pBdr>
          <w:top w:val="nil"/>
          <w:left w:val="nil"/>
          <w:bottom w:val="nil"/>
          <w:right w:val="nil"/>
          <w:between w:val="nil"/>
        </w:pBdr>
        <w:tabs>
          <w:tab w:val="right" w:pos="4536"/>
        </w:tabs>
        <w:spacing w:before="120"/>
        <w:jc w:val="both"/>
        <w:rPr>
          <w:bCs/>
          <w:sz w:val="20"/>
          <w:szCs w:val="20"/>
        </w:rPr>
      </w:pPr>
      <w:r w:rsidRPr="00074BFE">
        <w:rPr>
          <w:bCs/>
          <w:sz w:val="20"/>
          <w:szCs w:val="20"/>
        </w:rPr>
        <w:t>Mispricing measure</w:t>
      </w:r>
      <w:r w:rsidR="008C5C33">
        <w:rPr>
          <w:bCs/>
          <w:sz w:val="20"/>
          <w:szCs w:val="20"/>
        </w:rPr>
        <w:t>s</w:t>
      </w:r>
      <w:r w:rsidRPr="00074BFE">
        <w:rPr>
          <w:bCs/>
          <w:sz w:val="20"/>
          <w:szCs w:val="20"/>
        </w:rPr>
        <w:t xml:space="preserve"> the difference between the market price of shares and the </w:t>
      </w:r>
      <w:r w:rsidR="008C5C33">
        <w:rPr>
          <w:bCs/>
          <w:sz w:val="20"/>
          <w:szCs w:val="20"/>
        </w:rPr>
        <w:t>underlying value</w:t>
      </w:r>
      <w:r w:rsidRPr="00074BFE">
        <w:rPr>
          <w:bCs/>
          <w:sz w:val="20"/>
          <w:szCs w:val="20"/>
        </w:rPr>
        <w:t xml:space="preserve"> of the bank based on the financial statements. In this paper, two indices </w:t>
      </w:r>
      <m:oMath>
        <m:r>
          <w:rPr>
            <w:rFonts w:ascii="Cambria Math" w:hAnsi="Cambria Math"/>
            <w:sz w:val="20"/>
            <w:szCs w:val="20"/>
          </w:rPr>
          <m:t>Misp1</m:t>
        </m:r>
      </m:oMath>
      <w:r w:rsidRPr="00074BFE">
        <w:rPr>
          <w:bCs/>
          <w:sz w:val="20"/>
          <w:szCs w:val="20"/>
        </w:rPr>
        <w:t xml:space="preserve"> and </w:t>
      </w:r>
      <m:oMath>
        <m:r>
          <w:rPr>
            <w:rFonts w:ascii="Cambria Math" w:hAnsi="Cambria Math"/>
            <w:sz w:val="20"/>
            <w:szCs w:val="20"/>
          </w:rPr>
          <m:t>Misp2</m:t>
        </m:r>
      </m:oMath>
      <w:r w:rsidRPr="00074BFE">
        <w:rPr>
          <w:bCs/>
          <w:sz w:val="20"/>
          <w:szCs w:val="20"/>
        </w:rPr>
        <w:t xml:space="preserve"> are constructed as additional measures for Price Inefficiency in </w:t>
      </w:r>
      <w:r w:rsidR="00A150D6" w:rsidRPr="00074BFE">
        <w:rPr>
          <w:bCs/>
          <w:sz w:val="20"/>
          <w:szCs w:val="20"/>
        </w:rPr>
        <w:t>M</w:t>
      </w:r>
      <w:r w:rsidRPr="00074BFE">
        <w:rPr>
          <w:bCs/>
          <w:sz w:val="20"/>
          <w:szCs w:val="20"/>
        </w:rPr>
        <w:t>odel (6).</w:t>
      </w:r>
    </w:p>
    <w:p w14:paraId="1C0281A2" w14:textId="4BDBB100" w:rsidR="00C42DD7" w:rsidRPr="00074BFE" w:rsidRDefault="00C42DD7" w:rsidP="003811E5">
      <w:pPr>
        <w:pBdr>
          <w:top w:val="nil"/>
          <w:left w:val="nil"/>
          <w:bottom w:val="nil"/>
          <w:right w:val="nil"/>
          <w:between w:val="nil"/>
        </w:pBdr>
        <w:tabs>
          <w:tab w:val="right" w:pos="4536"/>
        </w:tabs>
        <w:spacing w:before="120"/>
        <w:jc w:val="both"/>
        <w:rPr>
          <w:bCs/>
          <w:sz w:val="20"/>
          <w:szCs w:val="20"/>
        </w:rPr>
      </w:pPr>
      <w:r w:rsidRPr="00074BFE">
        <w:rPr>
          <w:bCs/>
          <w:sz w:val="20"/>
          <w:szCs w:val="20"/>
        </w:rPr>
        <w:t xml:space="preserve">The first method is based on Model (3) and Model (4). Specifically, regression (3) is performed year by year for the entire banking industry, following the approach of Hertzel &amp; Li (2010) and Zhang &amp; Wang (2024), to estimate the “typical” </w:t>
      </w:r>
      <m:oMath>
        <m:r>
          <w:rPr>
            <w:rFonts w:ascii="Cambria Math" w:hAnsi="Cambria Math"/>
            <w:sz w:val="20"/>
            <w:szCs w:val="20"/>
          </w:rPr>
          <m:t>β</m:t>
        </m:r>
      </m:oMath>
      <w:r w:rsidRPr="00074BFE">
        <w:rPr>
          <w:bCs/>
          <w:sz w:val="20"/>
          <w:szCs w:val="20"/>
        </w:rPr>
        <w:t xml:space="preserve"> coefficients. From there, the fundamental value </w:t>
      </w:r>
      <m:oMath>
        <m:r>
          <w:rPr>
            <w:rFonts w:ascii="Cambria Math" w:hAnsi="Cambria Math"/>
            <w:sz w:val="20"/>
            <w:szCs w:val="20"/>
          </w:rPr>
          <m:t>V</m:t>
        </m:r>
      </m:oMath>
      <w:r w:rsidRPr="00074BFE">
        <w:rPr>
          <w:bCs/>
          <w:sz w:val="20"/>
          <w:szCs w:val="20"/>
        </w:rPr>
        <w:t xml:space="preserve"> of each bank is predicted and used as input to calculate the </w:t>
      </w:r>
      <m:oMath>
        <m:r>
          <w:rPr>
            <w:rFonts w:ascii="Cambria Math" w:hAnsi="Cambria Math"/>
            <w:sz w:val="20"/>
            <w:szCs w:val="20"/>
          </w:rPr>
          <m:t>Misp1</m:t>
        </m:r>
      </m:oMath>
      <w:r w:rsidRPr="00074BFE">
        <w:rPr>
          <w:bCs/>
          <w:sz w:val="20"/>
          <w:szCs w:val="20"/>
        </w:rPr>
        <w:t xml:space="preserve"> index according to Model (4).</w:t>
      </w:r>
    </w:p>
    <w:p w14:paraId="240E1FDB" w14:textId="53CEA863" w:rsidR="00C0103E" w:rsidRPr="00074BFE" w:rsidRDefault="00000000" w:rsidP="004E74D3">
      <w:pPr>
        <w:pBdr>
          <w:top w:val="nil"/>
          <w:left w:val="nil"/>
          <w:bottom w:val="nil"/>
          <w:right w:val="nil"/>
          <w:between w:val="nil"/>
        </w:pBdr>
        <w:tabs>
          <w:tab w:val="right" w:pos="4536"/>
        </w:tabs>
        <w:spacing w:before="120"/>
        <w:jc w:val="center"/>
        <w:rPr>
          <w:bCs/>
          <w:sz w:val="20"/>
          <w:szCs w:val="20"/>
        </w:rPr>
      </w:pPr>
      <m:oMath>
        <m:sSub>
          <m:sSubPr>
            <m:ctrlPr>
              <w:rPr>
                <w:rFonts w:ascii="Cambria Math" w:hAnsi="Cambria Math"/>
                <w:bCs/>
                <w:i/>
                <w:sz w:val="20"/>
                <w:szCs w:val="20"/>
              </w:rPr>
            </m:ctrlPr>
          </m:sSubPr>
          <m:e>
            <m:r>
              <w:rPr>
                <w:rFonts w:ascii="Cambria Math" w:hAnsi="Cambria Math"/>
                <w:sz w:val="20"/>
                <w:szCs w:val="20"/>
              </w:rPr>
              <m:t>LnM</m:t>
            </m:r>
          </m:e>
          <m:sub>
            <m:r>
              <w:rPr>
                <w:rFonts w:ascii="Cambria Math" w:hAnsi="Cambria Math"/>
                <w:sz w:val="20"/>
                <w:szCs w:val="20"/>
              </w:rPr>
              <m:t>i,y</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bCs/>
                <w:i/>
                <w:sz w:val="20"/>
                <w:szCs w:val="20"/>
              </w:rPr>
            </m:ctrlPr>
          </m:sSubPr>
          <m:e>
            <m:r>
              <w:rPr>
                <w:rFonts w:ascii="Cambria Math" w:hAnsi="Cambria Math"/>
                <w:sz w:val="20"/>
                <w:szCs w:val="20"/>
              </w:rPr>
              <m:t>B</m:t>
            </m:r>
          </m:e>
          <m:sub>
            <m:r>
              <w:rPr>
                <w:rFonts w:ascii="Cambria Math" w:hAnsi="Cambria Math"/>
                <w:sz w:val="20"/>
                <w:szCs w:val="20"/>
              </w:rPr>
              <m:t>i,y</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sSubSup>
          <m:sSubSupPr>
            <m:ctrlPr>
              <w:rPr>
                <w:rFonts w:ascii="Cambria Math" w:hAnsi="Cambria Math"/>
                <w:bCs/>
                <w:i/>
                <w:sz w:val="20"/>
                <w:szCs w:val="20"/>
              </w:rPr>
            </m:ctrlPr>
          </m:sSubSupPr>
          <m:e>
            <m:r>
              <w:rPr>
                <w:rFonts w:ascii="Cambria Math" w:hAnsi="Cambria Math"/>
                <w:sz w:val="20"/>
                <w:szCs w:val="20"/>
              </w:rPr>
              <m:t>Ln(NI)</m:t>
            </m:r>
          </m:e>
          <m:sub>
            <m:r>
              <w:rPr>
                <w:rFonts w:ascii="Cambria Math" w:hAnsi="Cambria Math"/>
                <w:sz w:val="20"/>
                <w:szCs w:val="20"/>
              </w:rPr>
              <m:t>i,y</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3</m:t>
            </m:r>
          </m:sub>
        </m:sSub>
        <m:sSub>
          <m:sSubPr>
            <m:ctrlPr>
              <w:rPr>
                <w:rFonts w:ascii="Cambria Math" w:hAnsi="Cambria Math"/>
                <w:bCs/>
                <w:i/>
                <w:sz w:val="20"/>
                <w:szCs w:val="20"/>
              </w:rPr>
            </m:ctrlPr>
          </m:sSubPr>
          <m:e>
            <m:r>
              <w:rPr>
                <w:rFonts w:ascii="Cambria Math" w:hAnsi="Cambria Math"/>
                <w:sz w:val="20"/>
                <w:szCs w:val="20"/>
              </w:rPr>
              <m:t>I</m:t>
            </m:r>
          </m:e>
          <m:sub>
            <m:r>
              <w:rPr>
                <w:rFonts w:ascii="Cambria Math" w:hAnsi="Cambria Math"/>
                <w:sz w:val="20"/>
                <w:szCs w:val="20"/>
              </w:rPr>
              <m:t>(&lt;0)</m:t>
            </m:r>
          </m:sub>
        </m:sSub>
        <m:sSubSup>
          <m:sSubSupPr>
            <m:ctrlPr>
              <w:rPr>
                <w:rFonts w:ascii="Cambria Math" w:hAnsi="Cambria Math"/>
                <w:bCs/>
                <w:i/>
                <w:sz w:val="20"/>
                <w:szCs w:val="20"/>
              </w:rPr>
            </m:ctrlPr>
          </m:sSubSupPr>
          <m:e>
            <m:r>
              <w:rPr>
                <w:rFonts w:ascii="Cambria Math" w:hAnsi="Cambria Math"/>
                <w:sz w:val="20"/>
                <w:szCs w:val="20"/>
              </w:rPr>
              <m:t>Ln(NI)</m:t>
            </m:r>
          </m:e>
          <m:sub>
            <m:r>
              <w:rPr>
                <w:rFonts w:ascii="Cambria Math" w:hAnsi="Cambria Math"/>
                <w:sz w:val="20"/>
                <w:szCs w:val="20"/>
              </w:rPr>
              <m:t>i,y</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4</m:t>
            </m:r>
          </m:sub>
        </m:sSub>
        <m:sSub>
          <m:sSubPr>
            <m:ctrlPr>
              <w:rPr>
                <w:rFonts w:ascii="Cambria Math" w:hAnsi="Cambria Math"/>
                <w:bCs/>
                <w:i/>
                <w:sz w:val="20"/>
                <w:szCs w:val="20"/>
              </w:rPr>
            </m:ctrlPr>
          </m:sSubPr>
          <m:e>
            <m:r>
              <w:rPr>
                <w:rFonts w:ascii="Cambria Math" w:hAnsi="Cambria Math"/>
                <w:sz w:val="20"/>
                <w:szCs w:val="20"/>
              </w:rPr>
              <m:t>Lev</m:t>
            </m:r>
          </m:e>
          <m:sub>
            <m:r>
              <w:rPr>
                <w:rFonts w:ascii="Cambria Math" w:hAnsi="Cambria Math"/>
                <w:sz w:val="20"/>
                <w:szCs w:val="20"/>
              </w:rPr>
              <m:t>i,y</m:t>
            </m:r>
          </m:sub>
        </m:sSub>
        <m:r>
          <w:rPr>
            <w:rFonts w:ascii="Cambria Math" w:hAnsi="Cambria Math"/>
            <w:sz w:val="20"/>
            <w:szCs w:val="20"/>
          </w:rPr>
          <m:t>+ϵ</m:t>
        </m:r>
      </m:oMath>
      <w:r w:rsidR="00C0103E" w:rsidRPr="00074BFE">
        <w:rPr>
          <w:bCs/>
          <w:sz w:val="20"/>
          <w:szCs w:val="20"/>
        </w:rPr>
        <w:t xml:space="preserve"> </w:t>
      </w:r>
      <w:r w:rsidR="004E74D3" w:rsidRPr="00074BFE">
        <w:rPr>
          <w:bCs/>
          <w:sz w:val="20"/>
          <w:szCs w:val="20"/>
        </w:rPr>
        <w:t xml:space="preserve">  </w:t>
      </w:r>
      <w:r w:rsidR="00C0103E" w:rsidRPr="00074BFE">
        <w:rPr>
          <w:bCs/>
          <w:sz w:val="20"/>
          <w:szCs w:val="20"/>
        </w:rPr>
        <w:t>(</w:t>
      </w:r>
      <w:r w:rsidR="004E74D3" w:rsidRPr="00074BFE">
        <w:rPr>
          <w:bCs/>
          <w:sz w:val="20"/>
          <w:szCs w:val="20"/>
        </w:rPr>
        <w:t>3)</w:t>
      </w:r>
    </w:p>
    <w:p w14:paraId="78836A78" w14:textId="498953F8" w:rsidR="004E74D3" w:rsidRPr="00074BFE" w:rsidRDefault="00000000" w:rsidP="004E74D3">
      <w:pPr>
        <w:pBdr>
          <w:top w:val="nil"/>
          <w:left w:val="nil"/>
          <w:bottom w:val="nil"/>
          <w:right w:val="nil"/>
          <w:between w:val="nil"/>
        </w:pBdr>
        <w:tabs>
          <w:tab w:val="right" w:pos="4536"/>
        </w:tabs>
        <w:spacing w:before="120"/>
        <w:jc w:val="center"/>
        <w:rPr>
          <w:bCs/>
          <w:sz w:val="20"/>
          <w:szCs w:val="20"/>
        </w:rPr>
      </w:pPr>
      <m:oMath>
        <m:sSub>
          <m:sSubPr>
            <m:ctrlPr>
              <w:rPr>
                <w:rFonts w:ascii="Cambria Math" w:hAnsi="Cambria Math"/>
                <w:bCs/>
                <w:i/>
                <w:sz w:val="20"/>
                <w:szCs w:val="20"/>
              </w:rPr>
            </m:ctrlPr>
          </m:sSubPr>
          <m:e>
            <m:r>
              <w:rPr>
                <w:rFonts w:ascii="Cambria Math" w:hAnsi="Cambria Math"/>
                <w:sz w:val="20"/>
                <w:szCs w:val="20"/>
              </w:rPr>
              <m:t>Misp</m:t>
            </m:r>
          </m:e>
          <m:sub>
            <m:r>
              <w:rPr>
                <w:rFonts w:ascii="Cambria Math" w:hAnsi="Cambria Math"/>
                <w:sz w:val="20"/>
                <w:szCs w:val="20"/>
              </w:rPr>
              <m:t>i,y</m:t>
            </m:r>
          </m:sub>
        </m:sSub>
        <m:r>
          <w:rPr>
            <w:rFonts w:ascii="Cambria Math" w:hAnsi="Cambria Math"/>
            <w:sz w:val="20"/>
            <w:szCs w:val="20"/>
          </w:rPr>
          <m:t>=Ln</m:t>
        </m:r>
        <m:d>
          <m:dPr>
            <m:ctrlPr>
              <w:rPr>
                <w:rFonts w:ascii="Cambria Math" w:hAnsi="Cambria Math"/>
                <w:bCs/>
                <w:i/>
                <w:sz w:val="20"/>
                <w:szCs w:val="20"/>
              </w:rPr>
            </m:ctrlPr>
          </m:dPr>
          <m:e>
            <m:f>
              <m:fPr>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V</m:t>
                </m:r>
              </m:den>
            </m:f>
          </m:e>
        </m:d>
      </m:oMath>
      <w:r w:rsidR="004E74D3" w:rsidRPr="00074BFE">
        <w:rPr>
          <w:bCs/>
          <w:sz w:val="20"/>
          <w:szCs w:val="20"/>
        </w:rPr>
        <w:t xml:space="preserve">   (4)</w:t>
      </w:r>
    </w:p>
    <w:p w14:paraId="22EB2B14" w14:textId="3AF3F43D" w:rsidR="004E74D3" w:rsidRPr="00074BFE" w:rsidRDefault="00C42DD7" w:rsidP="00C42DD7">
      <w:pPr>
        <w:pBdr>
          <w:top w:val="nil"/>
          <w:left w:val="nil"/>
          <w:bottom w:val="nil"/>
          <w:right w:val="nil"/>
          <w:between w:val="nil"/>
        </w:pBdr>
        <w:tabs>
          <w:tab w:val="right" w:pos="4536"/>
        </w:tabs>
        <w:spacing w:before="120"/>
        <w:rPr>
          <w:bCs/>
          <w:sz w:val="20"/>
          <w:szCs w:val="20"/>
        </w:rPr>
      </w:pPr>
      <w:r w:rsidRPr="00074BFE">
        <w:rPr>
          <w:bCs/>
          <w:sz w:val="20"/>
          <w:szCs w:val="20"/>
        </w:rPr>
        <w:t xml:space="preserve">where </w:t>
      </w:r>
      <m:oMath>
        <m:r>
          <w:rPr>
            <w:rFonts w:ascii="Cambria Math" w:hAnsi="Cambria Math"/>
            <w:sz w:val="20"/>
            <w:szCs w:val="20"/>
          </w:rPr>
          <m:t>M</m:t>
        </m:r>
      </m:oMath>
      <w:r w:rsidRPr="00074BFE">
        <w:rPr>
          <w:bCs/>
          <w:sz w:val="20"/>
          <w:szCs w:val="20"/>
        </w:rPr>
        <w:t xml:space="preserve"> is market capitalization, </w:t>
      </w:r>
      <m:oMath>
        <m:r>
          <w:rPr>
            <w:rFonts w:ascii="Cambria Math" w:hAnsi="Cambria Math"/>
            <w:sz w:val="20"/>
            <w:szCs w:val="20"/>
          </w:rPr>
          <m:t>B</m:t>
        </m:r>
      </m:oMath>
      <w:r w:rsidRPr="00074BFE">
        <w:rPr>
          <w:bCs/>
          <w:sz w:val="20"/>
          <w:szCs w:val="20"/>
        </w:rPr>
        <w:t xml:space="preserve"> is book value (total assets), </w:t>
      </w:r>
      <m:oMath>
        <m:sSup>
          <m:sSupPr>
            <m:ctrlPr>
              <w:rPr>
                <w:rFonts w:ascii="Cambria Math" w:hAnsi="Cambria Math"/>
                <w:bCs/>
                <w:i/>
                <w:sz w:val="20"/>
                <w:szCs w:val="20"/>
              </w:rPr>
            </m:ctrlPr>
          </m:sSupPr>
          <m:e>
            <m:d>
              <m:dPr>
                <m:ctrlPr>
                  <w:rPr>
                    <w:rFonts w:ascii="Cambria Math" w:hAnsi="Cambria Math"/>
                    <w:bCs/>
                    <w:i/>
                    <w:sz w:val="20"/>
                    <w:szCs w:val="20"/>
                  </w:rPr>
                </m:ctrlPr>
              </m:dPr>
              <m:e>
                <m:r>
                  <w:rPr>
                    <w:rFonts w:ascii="Cambria Math" w:hAnsi="Cambria Math"/>
                    <w:sz w:val="20"/>
                    <w:szCs w:val="20"/>
                  </w:rPr>
                  <m:t>NI</m:t>
                </m:r>
              </m:e>
            </m:d>
          </m:e>
          <m:sup>
            <m:r>
              <w:rPr>
                <w:rFonts w:ascii="Cambria Math" w:hAnsi="Cambria Math"/>
                <w:sz w:val="20"/>
                <w:szCs w:val="20"/>
              </w:rPr>
              <m:t>+</m:t>
            </m:r>
          </m:sup>
        </m:sSup>
      </m:oMath>
      <w:r w:rsidR="00A150D6" w:rsidRPr="00074BFE">
        <w:rPr>
          <w:bCs/>
          <w:sz w:val="20"/>
          <w:szCs w:val="20"/>
        </w:rPr>
        <w:t xml:space="preserve"> </w:t>
      </w:r>
      <w:r w:rsidR="008C5C33">
        <w:rPr>
          <w:bCs/>
          <w:sz w:val="20"/>
          <w:szCs w:val="20"/>
        </w:rPr>
        <w:t xml:space="preserve">represents </w:t>
      </w:r>
      <w:r w:rsidRPr="00074BFE">
        <w:rPr>
          <w:bCs/>
          <w:sz w:val="20"/>
          <w:szCs w:val="20"/>
        </w:rPr>
        <w:t xml:space="preserve">the absolute value of net profit, </w:t>
      </w:r>
      <m:oMath>
        <m:sSub>
          <m:sSubPr>
            <m:ctrlPr>
              <w:rPr>
                <w:rFonts w:ascii="Cambria Math" w:hAnsi="Cambria Math"/>
                <w:bCs/>
                <w:i/>
                <w:sz w:val="20"/>
                <w:szCs w:val="20"/>
              </w:rPr>
            </m:ctrlPr>
          </m:sSubPr>
          <m:e>
            <m:r>
              <w:rPr>
                <w:rFonts w:ascii="Cambria Math" w:hAnsi="Cambria Math"/>
                <w:sz w:val="20"/>
                <w:szCs w:val="20"/>
              </w:rPr>
              <m:t>I</m:t>
            </m:r>
          </m:e>
          <m:sub>
            <m:r>
              <w:rPr>
                <w:rFonts w:ascii="Cambria Math" w:hAnsi="Cambria Math"/>
                <w:sz w:val="20"/>
                <w:szCs w:val="20"/>
              </w:rPr>
              <m:t>(&lt;0)</m:t>
            </m:r>
          </m:sub>
        </m:sSub>
      </m:oMath>
      <w:r w:rsidRPr="00074BFE">
        <w:rPr>
          <w:bCs/>
          <w:sz w:val="20"/>
          <w:szCs w:val="20"/>
        </w:rPr>
        <w:t xml:space="preserve"> is a </w:t>
      </w:r>
      <w:r w:rsidR="008C5C33">
        <w:rPr>
          <w:bCs/>
          <w:sz w:val="20"/>
          <w:szCs w:val="20"/>
        </w:rPr>
        <w:t>binary</w:t>
      </w:r>
      <w:r w:rsidRPr="00074BFE">
        <w:rPr>
          <w:bCs/>
          <w:sz w:val="20"/>
          <w:szCs w:val="20"/>
        </w:rPr>
        <w:t xml:space="preserve"> variable that </w:t>
      </w:r>
      <w:r w:rsidR="008C5C33">
        <w:rPr>
          <w:bCs/>
          <w:sz w:val="20"/>
          <w:szCs w:val="20"/>
        </w:rPr>
        <w:t>equals to</w:t>
      </w:r>
      <w:r w:rsidRPr="00074BFE">
        <w:rPr>
          <w:bCs/>
          <w:sz w:val="20"/>
          <w:szCs w:val="20"/>
        </w:rPr>
        <w:t xml:space="preserve"> 1 when profit is negative and 0 otherwise, and </w:t>
      </w:r>
      <m:oMath>
        <m:r>
          <w:rPr>
            <w:rFonts w:ascii="Cambria Math" w:hAnsi="Cambria Math"/>
            <w:sz w:val="20"/>
            <w:szCs w:val="20"/>
          </w:rPr>
          <m:t>Lev</m:t>
        </m:r>
      </m:oMath>
      <w:r w:rsidRPr="00074BFE">
        <w:rPr>
          <w:bCs/>
          <w:sz w:val="20"/>
          <w:szCs w:val="20"/>
        </w:rPr>
        <w:t xml:space="preserve"> is financial leverage, calculated as total debt over total assets.</w:t>
      </w:r>
    </w:p>
    <w:p w14:paraId="2C9083FF" w14:textId="4E08CDA0" w:rsidR="00C42DD7" w:rsidRPr="00074BFE" w:rsidRDefault="00C42DD7" w:rsidP="00C42DD7">
      <w:pPr>
        <w:pBdr>
          <w:top w:val="nil"/>
          <w:left w:val="nil"/>
          <w:bottom w:val="nil"/>
          <w:right w:val="nil"/>
          <w:between w:val="nil"/>
        </w:pBdr>
        <w:tabs>
          <w:tab w:val="right" w:pos="4536"/>
        </w:tabs>
        <w:spacing w:before="120"/>
        <w:rPr>
          <w:bCs/>
          <w:sz w:val="20"/>
          <w:szCs w:val="20"/>
        </w:rPr>
      </w:pPr>
      <w:r w:rsidRPr="00074BFE">
        <w:rPr>
          <w:bCs/>
          <w:sz w:val="20"/>
          <w:szCs w:val="20"/>
        </w:rPr>
        <w:t xml:space="preserve">The second method uses the standardized residuals from regression Model (5) to create the </w:t>
      </w:r>
      <m:oMath>
        <m:r>
          <w:rPr>
            <w:rFonts w:ascii="Cambria Math" w:hAnsi="Cambria Math"/>
            <w:sz w:val="20"/>
            <w:szCs w:val="20"/>
          </w:rPr>
          <m:t>Misp2</m:t>
        </m:r>
      </m:oMath>
      <w:r w:rsidRPr="00074BFE">
        <w:rPr>
          <w:bCs/>
          <w:sz w:val="20"/>
          <w:szCs w:val="20"/>
        </w:rPr>
        <w:t xml:space="preserve"> index. In this model, </w:t>
      </w:r>
      <m:oMath>
        <m:r>
          <w:rPr>
            <w:rFonts w:ascii="Cambria Math" w:hAnsi="Cambria Math"/>
            <w:sz w:val="20"/>
            <w:szCs w:val="20"/>
          </w:rPr>
          <m:t>Tobin'sQ</m:t>
        </m:r>
      </m:oMath>
      <w:r w:rsidRPr="00074BFE">
        <w:rPr>
          <w:bCs/>
          <w:sz w:val="20"/>
          <w:szCs w:val="20"/>
        </w:rPr>
        <w:t xml:space="preserve"> (representing market value over replacement cost of assets) is regressed on control variables including firm size (</w:t>
      </w:r>
      <m:oMath>
        <m:r>
          <w:rPr>
            <w:rFonts w:ascii="Cambria Math" w:hAnsi="Cambria Math"/>
            <w:sz w:val="20"/>
            <w:szCs w:val="20"/>
          </w:rPr>
          <m:t>Size</m:t>
        </m:r>
      </m:oMath>
      <w:r w:rsidRPr="00074BFE">
        <w:rPr>
          <w:bCs/>
          <w:sz w:val="20"/>
          <w:szCs w:val="20"/>
        </w:rPr>
        <w:t>), financial leverage (</w:t>
      </w:r>
      <m:oMath>
        <m:r>
          <w:rPr>
            <w:rFonts w:ascii="Cambria Math" w:hAnsi="Cambria Math"/>
            <w:sz w:val="20"/>
            <w:szCs w:val="20"/>
          </w:rPr>
          <m:t>Lev</m:t>
        </m:r>
      </m:oMath>
      <w:r w:rsidRPr="00074BFE">
        <w:rPr>
          <w:bCs/>
          <w:sz w:val="20"/>
          <w:szCs w:val="20"/>
        </w:rPr>
        <w:t>) and profitability (</w:t>
      </w:r>
      <m:oMath>
        <m:r>
          <w:rPr>
            <w:rFonts w:ascii="Cambria Math" w:hAnsi="Cambria Math"/>
            <w:sz w:val="20"/>
            <w:szCs w:val="20"/>
          </w:rPr>
          <m:t>ROA</m:t>
        </m:r>
      </m:oMath>
      <w:r w:rsidRPr="00074BFE">
        <w:rPr>
          <w:bCs/>
          <w:sz w:val="20"/>
          <w:szCs w:val="20"/>
        </w:rPr>
        <w:t xml:space="preserve">). The error term reflects the difference between the market value and the intrinsic value, thus forming </w:t>
      </w:r>
      <m:oMath>
        <m:r>
          <w:rPr>
            <w:rFonts w:ascii="Cambria Math" w:hAnsi="Cambria Math"/>
            <w:sz w:val="20"/>
            <w:szCs w:val="20"/>
          </w:rPr>
          <m:t>Misp2</m:t>
        </m:r>
      </m:oMath>
      <w:r w:rsidRPr="00074BFE">
        <w:rPr>
          <w:bCs/>
          <w:sz w:val="20"/>
          <w:szCs w:val="20"/>
        </w:rPr>
        <w:t xml:space="preserve">. </w:t>
      </w:r>
    </w:p>
    <w:p w14:paraId="1E7357B6" w14:textId="49992D33" w:rsidR="00C0103E" w:rsidRPr="00074BFE" w:rsidRDefault="004E74D3" w:rsidP="004E74D3">
      <w:pPr>
        <w:pBdr>
          <w:top w:val="nil"/>
          <w:left w:val="nil"/>
          <w:bottom w:val="nil"/>
          <w:right w:val="nil"/>
          <w:between w:val="nil"/>
        </w:pBdr>
        <w:tabs>
          <w:tab w:val="right" w:pos="4536"/>
        </w:tabs>
        <w:spacing w:before="120"/>
        <w:jc w:val="center"/>
        <w:rPr>
          <w:bCs/>
          <w:sz w:val="20"/>
          <w:szCs w:val="20"/>
        </w:rPr>
      </w:pPr>
      <m:oMath>
        <m:r>
          <w:rPr>
            <w:rFonts w:ascii="Cambria Math" w:hAnsi="Cambria Math"/>
            <w:sz w:val="20"/>
            <w:szCs w:val="20"/>
          </w:rPr>
          <m:t>Tobi</m:t>
        </m:r>
        <m:sSup>
          <m:sSupPr>
            <m:ctrlPr>
              <w:rPr>
                <w:rFonts w:ascii="Cambria Math" w:hAnsi="Cambria Math"/>
                <w:bCs/>
                <w:i/>
                <w:sz w:val="20"/>
                <w:szCs w:val="20"/>
              </w:rPr>
            </m:ctrlPr>
          </m:sSupPr>
          <m:e>
            <m:r>
              <w:rPr>
                <w:rFonts w:ascii="Cambria Math" w:hAnsi="Cambria Math"/>
                <w:sz w:val="20"/>
                <w:szCs w:val="20"/>
              </w:rPr>
              <m:t>n</m:t>
            </m:r>
          </m:e>
          <m:sup>
            <m:r>
              <w:rPr>
                <w:rFonts w:ascii="Cambria Math" w:hAnsi="Cambria Math"/>
                <w:sz w:val="20"/>
                <w:szCs w:val="20"/>
              </w:rPr>
              <m:t>'</m:t>
            </m:r>
          </m:sup>
        </m:sSup>
        <m:r>
          <w:rPr>
            <w:rFonts w:ascii="Cambria Math" w:hAnsi="Cambria Math"/>
            <w:sz w:val="20"/>
            <w:szCs w:val="20"/>
          </w:rPr>
          <m:t>sQ=</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bCs/>
                <w:i/>
                <w:sz w:val="20"/>
                <w:szCs w:val="20"/>
              </w:rPr>
            </m:ctrlPr>
          </m:sSubPr>
          <m:e>
            <m:r>
              <w:rPr>
                <w:rFonts w:ascii="Cambria Math" w:hAnsi="Cambria Math"/>
                <w:sz w:val="20"/>
                <w:szCs w:val="20"/>
              </w:rPr>
              <m:t>Size</m:t>
            </m:r>
          </m:e>
          <m:sub>
            <m:r>
              <w:rPr>
                <w:rFonts w:ascii="Cambria Math" w:hAnsi="Cambria Math"/>
                <w:sz w:val="20"/>
                <w:szCs w:val="20"/>
              </w:rPr>
              <m:t>i,y</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bCs/>
                <w:i/>
                <w:sz w:val="20"/>
                <w:szCs w:val="20"/>
              </w:rPr>
            </m:ctrlPr>
          </m:sSubPr>
          <m:e>
            <m:r>
              <w:rPr>
                <w:rFonts w:ascii="Cambria Math" w:hAnsi="Cambria Math"/>
                <w:sz w:val="20"/>
                <w:szCs w:val="20"/>
              </w:rPr>
              <m:t>Lev</m:t>
            </m:r>
          </m:e>
          <m:sub>
            <m:r>
              <w:rPr>
                <w:rFonts w:ascii="Cambria Math" w:hAnsi="Cambria Math"/>
                <w:sz w:val="20"/>
                <w:szCs w:val="20"/>
              </w:rPr>
              <m:t>i,y</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3</m:t>
            </m:r>
          </m:sub>
        </m:sSub>
        <m:sSub>
          <m:sSubPr>
            <m:ctrlPr>
              <w:rPr>
                <w:rFonts w:ascii="Cambria Math" w:hAnsi="Cambria Math"/>
                <w:bCs/>
                <w:i/>
                <w:sz w:val="20"/>
                <w:szCs w:val="20"/>
              </w:rPr>
            </m:ctrlPr>
          </m:sSubPr>
          <m:e>
            <m:r>
              <w:rPr>
                <w:rFonts w:ascii="Cambria Math" w:hAnsi="Cambria Math"/>
                <w:sz w:val="20"/>
                <w:szCs w:val="20"/>
              </w:rPr>
              <m:t>ROA</m:t>
            </m:r>
          </m:e>
          <m:sub>
            <m:r>
              <w:rPr>
                <w:rFonts w:ascii="Cambria Math" w:hAnsi="Cambria Math"/>
                <w:sz w:val="20"/>
                <w:szCs w:val="20"/>
              </w:rPr>
              <m:t>i,y</m:t>
            </m:r>
          </m:sub>
        </m:sSub>
        <m:r>
          <w:rPr>
            <w:rFonts w:ascii="Cambria Math" w:hAnsi="Cambria Math"/>
            <w:sz w:val="20"/>
            <w:szCs w:val="20"/>
          </w:rPr>
          <m:t>+ϵ</m:t>
        </m:r>
      </m:oMath>
      <w:r w:rsidRPr="00074BFE">
        <w:rPr>
          <w:bCs/>
          <w:sz w:val="20"/>
          <w:szCs w:val="20"/>
        </w:rPr>
        <w:t xml:space="preserve">  (5)</w:t>
      </w:r>
    </w:p>
    <w:p w14:paraId="69B90E84" w14:textId="29D89A21" w:rsidR="00C42DD7" w:rsidRPr="00074BFE" w:rsidRDefault="00C42DD7" w:rsidP="00C42DD7">
      <w:pPr>
        <w:pBdr>
          <w:top w:val="nil"/>
          <w:left w:val="nil"/>
          <w:bottom w:val="nil"/>
          <w:right w:val="nil"/>
          <w:between w:val="nil"/>
        </w:pBdr>
        <w:tabs>
          <w:tab w:val="right" w:pos="4536"/>
        </w:tabs>
        <w:spacing w:before="120"/>
        <w:rPr>
          <w:bCs/>
          <w:sz w:val="20"/>
          <w:szCs w:val="20"/>
        </w:rPr>
      </w:pPr>
      <w:r w:rsidRPr="00074BFE">
        <w:rPr>
          <w:bCs/>
          <w:sz w:val="20"/>
          <w:szCs w:val="20"/>
        </w:rPr>
        <w:t xml:space="preserve">For both measures, a </w:t>
      </w:r>
      <m:oMath>
        <m:r>
          <w:rPr>
            <w:rFonts w:ascii="Cambria Math" w:hAnsi="Cambria Math"/>
            <w:sz w:val="20"/>
            <w:szCs w:val="20"/>
          </w:rPr>
          <m:t>Misp</m:t>
        </m:r>
      </m:oMath>
      <w:r w:rsidRPr="00074BFE">
        <w:rPr>
          <w:bCs/>
          <w:sz w:val="20"/>
          <w:szCs w:val="20"/>
        </w:rPr>
        <w:t xml:space="preserve"> value greater than zero indicates that the stock of bank </w:t>
      </w:r>
      <m:oMath>
        <m:r>
          <w:rPr>
            <w:rFonts w:ascii="Cambria Math" w:hAnsi="Cambria Math"/>
            <w:sz w:val="20"/>
            <w:szCs w:val="20"/>
          </w:rPr>
          <m:t>i</m:t>
        </m:r>
      </m:oMath>
      <w:r w:rsidRPr="00074BFE">
        <w:rPr>
          <w:bCs/>
          <w:sz w:val="20"/>
          <w:szCs w:val="20"/>
        </w:rPr>
        <w:t xml:space="preserve"> is overvalued, while a </w:t>
      </w:r>
      <m:oMath>
        <m:r>
          <w:rPr>
            <w:rFonts w:ascii="Cambria Math" w:hAnsi="Cambria Math"/>
            <w:sz w:val="20"/>
            <w:szCs w:val="20"/>
          </w:rPr>
          <m:t>Misp</m:t>
        </m:r>
      </m:oMath>
      <w:r w:rsidRPr="00074BFE">
        <w:rPr>
          <w:bCs/>
          <w:sz w:val="20"/>
          <w:szCs w:val="20"/>
        </w:rPr>
        <w:t xml:space="preserve"> less than zero indicates undervalued.</w:t>
      </w:r>
    </w:p>
    <w:p w14:paraId="3B80361C" w14:textId="369ABFB3" w:rsidR="003D6CAC" w:rsidRPr="00074BFE" w:rsidRDefault="00C0103E" w:rsidP="003811E5">
      <w:pPr>
        <w:pBdr>
          <w:top w:val="nil"/>
          <w:left w:val="nil"/>
          <w:bottom w:val="nil"/>
          <w:right w:val="nil"/>
          <w:between w:val="nil"/>
        </w:pBdr>
        <w:tabs>
          <w:tab w:val="right" w:pos="4536"/>
        </w:tabs>
        <w:spacing w:before="120"/>
        <w:jc w:val="both"/>
        <w:rPr>
          <w:b/>
          <w:sz w:val="20"/>
          <w:szCs w:val="20"/>
        </w:rPr>
      </w:pPr>
      <w:r w:rsidRPr="00074BFE">
        <w:rPr>
          <w:b/>
          <w:sz w:val="20"/>
          <w:szCs w:val="20"/>
        </w:rPr>
        <w:t xml:space="preserve">4.5 </w:t>
      </w:r>
      <w:r w:rsidR="005B21FC" w:rsidRPr="00074BFE">
        <w:rPr>
          <w:b/>
          <w:sz w:val="20"/>
          <w:szCs w:val="20"/>
        </w:rPr>
        <w:t>Model</w:t>
      </w:r>
    </w:p>
    <w:p w14:paraId="341C4DF7" w14:textId="229E5381" w:rsidR="00F00E6D" w:rsidRPr="00074BFE" w:rsidRDefault="69C09A3B" w:rsidP="003811E5">
      <w:pPr>
        <w:spacing w:before="120"/>
        <w:jc w:val="both"/>
        <w:rPr>
          <w:sz w:val="20"/>
          <w:szCs w:val="20"/>
        </w:rPr>
      </w:pPr>
      <w:r w:rsidRPr="00074BFE">
        <w:rPr>
          <w:sz w:val="20"/>
          <w:szCs w:val="20"/>
          <w:lang w:val="en-GB"/>
        </w:rPr>
        <w:t xml:space="preserve">To </w:t>
      </w:r>
      <w:r w:rsidR="7C01DD76" w:rsidRPr="00074BFE">
        <w:rPr>
          <w:sz w:val="20"/>
          <w:szCs w:val="20"/>
          <w:lang w:val="en-GB"/>
        </w:rPr>
        <w:t>conduct a</w:t>
      </w:r>
      <w:r w:rsidR="017A6E23" w:rsidRPr="00074BFE">
        <w:rPr>
          <w:sz w:val="20"/>
          <w:szCs w:val="20"/>
          <w:lang w:val="en-GB"/>
        </w:rPr>
        <w:t xml:space="preserve"> deeper </w:t>
      </w:r>
      <w:r w:rsidR="7C01DD76" w:rsidRPr="00074BFE">
        <w:rPr>
          <w:sz w:val="20"/>
          <w:szCs w:val="20"/>
          <w:lang w:val="en-GB"/>
        </w:rPr>
        <w:t>examination of</w:t>
      </w:r>
      <w:r w:rsidRPr="00074BFE">
        <w:rPr>
          <w:sz w:val="20"/>
          <w:szCs w:val="20"/>
          <w:lang w:val="en-GB"/>
        </w:rPr>
        <w:t xml:space="preserve"> the relationship between </w:t>
      </w:r>
      <w:r w:rsidR="017A6E23" w:rsidRPr="00074BFE">
        <w:rPr>
          <w:sz w:val="20"/>
          <w:szCs w:val="20"/>
          <w:lang w:val="en-GB"/>
        </w:rPr>
        <w:t>bank</w:t>
      </w:r>
      <w:r w:rsidR="7C01DD76" w:rsidRPr="00074BFE">
        <w:rPr>
          <w:sz w:val="20"/>
          <w:szCs w:val="20"/>
          <w:lang w:val="en-GB"/>
        </w:rPr>
        <w:t>-</w:t>
      </w:r>
      <w:r w:rsidR="017A6E23" w:rsidRPr="00074BFE">
        <w:rPr>
          <w:sz w:val="20"/>
          <w:szCs w:val="20"/>
          <w:lang w:val="en-GB"/>
        </w:rPr>
        <w:t>related</w:t>
      </w:r>
      <w:r w:rsidRPr="00074BFE">
        <w:rPr>
          <w:sz w:val="20"/>
          <w:szCs w:val="20"/>
          <w:lang w:val="en-GB"/>
        </w:rPr>
        <w:t xml:space="preserve"> </w:t>
      </w:r>
      <w:proofErr w:type="spellStart"/>
      <w:r w:rsidRPr="00074BFE">
        <w:rPr>
          <w:sz w:val="20"/>
          <w:szCs w:val="20"/>
          <w:lang w:val="en-GB"/>
        </w:rPr>
        <w:t>rumors</w:t>
      </w:r>
      <w:proofErr w:type="spellEnd"/>
      <w:r w:rsidRPr="00074BFE">
        <w:rPr>
          <w:sz w:val="20"/>
          <w:szCs w:val="20"/>
          <w:lang w:val="en-GB"/>
        </w:rPr>
        <w:t xml:space="preserve"> and stock price </w:t>
      </w:r>
      <w:r w:rsidR="017A6E23" w:rsidRPr="00074BFE">
        <w:rPr>
          <w:sz w:val="20"/>
          <w:szCs w:val="20"/>
          <w:lang w:val="en-GB"/>
        </w:rPr>
        <w:t>inefficiency</w:t>
      </w:r>
      <w:r w:rsidRPr="00074BFE">
        <w:rPr>
          <w:sz w:val="20"/>
          <w:szCs w:val="20"/>
          <w:lang w:val="en-GB"/>
        </w:rPr>
        <w:t>, the study uses the following regression model (</w:t>
      </w:r>
      <w:r w:rsidR="004E74D3" w:rsidRPr="00074BFE">
        <w:rPr>
          <w:sz w:val="20"/>
          <w:szCs w:val="20"/>
          <w:lang w:val="en-GB"/>
        </w:rPr>
        <w:t>6</w:t>
      </w:r>
      <w:r w:rsidRPr="00074BFE">
        <w:rPr>
          <w:sz w:val="20"/>
          <w:szCs w:val="20"/>
          <w:lang w:val="en-GB"/>
        </w:rPr>
        <w:t>):</w:t>
      </w:r>
    </w:p>
    <w:p w14:paraId="1BCE19C1" w14:textId="3768B86C" w:rsidR="005B21FC" w:rsidRPr="00074BFE" w:rsidRDefault="00000000" w:rsidP="004E74D3">
      <w:pPr>
        <w:spacing w:before="120"/>
        <w:jc w:val="center"/>
        <w:rPr>
          <w:sz w:val="20"/>
          <w:szCs w:val="20"/>
        </w:rPr>
      </w:pPr>
      <m:oMath>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PriceInefficiency</m:t>
            </m:r>
          </m:e>
          <m:sub>
            <m:r>
              <w:rPr>
                <w:rFonts w:ascii="Cambria Math" w:hAnsi="Cambria Math"/>
                <w:sz w:val="20"/>
                <w:szCs w:val="20"/>
              </w:rPr>
              <m:t>i, y</m:t>
            </m:r>
          </m:sub>
        </m:sSub>
        <m:r>
          <w:rPr>
            <w:rFonts w:ascii="Cambria Math" w:hAnsi="Cambria Math"/>
            <w:sz w:val="20"/>
            <w:szCs w:val="20"/>
          </w:rPr>
          <m:t xml:space="preserve">= </m:t>
        </m:r>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Rumor</m:t>
            </m:r>
          </m:e>
          <m:sub>
            <m:r>
              <w:rPr>
                <w:rFonts w:ascii="Cambria Math" w:hAnsi="Cambria Math"/>
                <w:sz w:val="20"/>
                <w:szCs w:val="20"/>
              </w:rPr>
              <m:t>i,y</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Rpos</m:t>
                </m:r>
              </m:e>
              <m:sub>
                <m:r>
                  <w:rPr>
                    <w:rFonts w:ascii="Cambria Math" w:hAnsi="Cambria Math"/>
                    <w:sz w:val="20"/>
                    <w:szCs w:val="20"/>
                  </w:rPr>
                  <m:t>i,y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Rneg</m:t>
                </m:r>
              </m:e>
              <m:sub>
                <m:r>
                  <w:rPr>
                    <w:rFonts w:ascii="Cambria Math" w:hAnsi="Cambria Math"/>
                    <w:sz w:val="20"/>
                    <w:szCs w:val="20"/>
                  </w:rPr>
                  <m:t>i,y</m:t>
                </m:r>
              </m:sub>
            </m:sSub>
          </m:e>
        </m:d>
        <m:r>
          <w:rPr>
            <w:rFonts w:ascii="Cambria Math" w:hAnsi="Cambria Math"/>
            <w:sz w:val="20"/>
            <w:szCs w:val="20"/>
          </w:rPr>
          <m:t xml:space="preserve">+ </m:t>
        </m:r>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CV</m:t>
            </m:r>
          </m:e>
          <m:sub>
            <m:r>
              <w:rPr>
                <w:rFonts w:ascii="Cambria Math" w:hAnsi="Cambria Math"/>
                <w:sz w:val="20"/>
                <w:szCs w:val="20"/>
              </w:rPr>
              <m:t>i,t</m:t>
            </m:r>
          </m:sub>
        </m:sSub>
        <m:r>
          <w:rPr>
            <w:rFonts w:ascii="Cambria Math" w:hAnsi="Cambria Math"/>
            <w:sz w:val="20"/>
            <w:szCs w:val="20"/>
          </w:rPr>
          <m:t>+</m:t>
        </m:r>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β</m:t>
            </m:r>
          </m:e>
          <m:sub>
            <m:r>
              <w:rPr>
                <w:rFonts w:ascii="Cambria Math" w:hAnsi="Cambria Math"/>
                <w:sz w:val="20"/>
                <w:szCs w:val="20"/>
              </w:rPr>
              <m:t>3</m:t>
            </m:r>
          </m:sub>
        </m:sSub>
        <m:r>
          <w:rPr>
            <w:rFonts w:ascii="Cambria Math" w:eastAsiaTheme="minorEastAsia" w:hAnsi="Cambria Math" w:cstheme="minorBidi"/>
            <w:kern w:val="2"/>
            <w:sz w:val="20"/>
            <w:szCs w:val="20"/>
            <w14:ligatures w14:val="standardContextual"/>
          </w:rPr>
          <m:t>Year</m:t>
        </m:r>
        <m:r>
          <w:rPr>
            <w:rFonts w:ascii="Cambria Math" w:hAnsi="Cambria Math"/>
            <w:sz w:val="20"/>
            <w:szCs w:val="20"/>
          </w:rPr>
          <m:t>+ε</m:t>
        </m:r>
      </m:oMath>
      <w:r w:rsidR="009578F0" w:rsidRPr="00074BFE">
        <w:rPr>
          <w:sz w:val="20"/>
          <w:szCs w:val="20"/>
        </w:rPr>
        <w:t xml:space="preserve">   (</w:t>
      </w:r>
      <w:r w:rsidR="004E74D3" w:rsidRPr="00074BFE">
        <w:rPr>
          <w:sz w:val="20"/>
          <w:szCs w:val="20"/>
        </w:rPr>
        <w:t>6</w:t>
      </w:r>
      <w:r w:rsidR="009578F0" w:rsidRPr="00074BFE">
        <w:rPr>
          <w:sz w:val="20"/>
          <w:szCs w:val="20"/>
        </w:rPr>
        <w:t>)</w:t>
      </w:r>
    </w:p>
    <w:p w14:paraId="104A3183" w14:textId="736EBB5A" w:rsidR="00723B1F" w:rsidRPr="00074BFE" w:rsidRDefault="0050555B" w:rsidP="00FD2A1A">
      <w:pPr>
        <w:spacing w:before="120"/>
        <w:jc w:val="both"/>
        <w:rPr>
          <w:sz w:val="20"/>
          <w:szCs w:val="20"/>
        </w:rPr>
      </w:pPr>
      <w:r w:rsidRPr="00074BFE">
        <w:rPr>
          <w:sz w:val="20"/>
          <w:szCs w:val="20"/>
          <w:lang w:val="en-GB"/>
        </w:rPr>
        <w:t xml:space="preserve">Model (6) is regressed with both proxies, </w:t>
      </w:r>
      <w:r w:rsidR="00601DA2" w:rsidRPr="00074BFE">
        <w:rPr>
          <w:sz w:val="20"/>
          <w:szCs w:val="20"/>
          <w:lang w:val="en-GB"/>
        </w:rPr>
        <w:t>stock price s</w:t>
      </w:r>
      <w:r w:rsidRPr="00074BFE">
        <w:rPr>
          <w:sz w:val="20"/>
          <w:szCs w:val="20"/>
          <w:lang w:val="en-GB"/>
        </w:rPr>
        <w:t>ynchroni</w:t>
      </w:r>
      <w:r w:rsidR="00601DA2" w:rsidRPr="00074BFE">
        <w:rPr>
          <w:sz w:val="20"/>
          <w:szCs w:val="20"/>
          <w:lang w:val="en-GB"/>
        </w:rPr>
        <w:t>city</w:t>
      </w:r>
      <w:r w:rsidRPr="00074BFE">
        <w:rPr>
          <w:sz w:val="20"/>
          <w:szCs w:val="20"/>
          <w:lang w:val="en-GB"/>
        </w:rPr>
        <w:t xml:space="preserve"> and </w:t>
      </w:r>
      <w:r w:rsidR="00601DA2" w:rsidRPr="00074BFE">
        <w:rPr>
          <w:sz w:val="20"/>
          <w:szCs w:val="20"/>
          <w:lang w:val="en-GB"/>
        </w:rPr>
        <w:t>m</w:t>
      </w:r>
      <w:r w:rsidRPr="00074BFE">
        <w:rPr>
          <w:sz w:val="20"/>
          <w:szCs w:val="20"/>
          <w:lang w:val="en-GB"/>
        </w:rPr>
        <w:t xml:space="preserve">ispricing, to investigate the impact of </w:t>
      </w:r>
      <w:proofErr w:type="spellStart"/>
      <w:r w:rsidRPr="00074BFE">
        <w:rPr>
          <w:sz w:val="20"/>
          <w:szCs w:val="20"/>
          <w:lang w:val="en-GB"/>
        </w:rPr>
        <w:t>rumors</w:t>
      </w:r>
      <w:proofErr w:type="spellEnd"/>
      <w:r w:rsidRPr="00074BFE">
        <w:rPr>
          <w:sz w:val="20"/>
          <w:szCs w:val="20"/>
          <w:lang w:val="en-GB"/>
        </w:rPr>
        <w:t xml:space="preserve"> on different dimensions. </w:t>
      </w:r>
      <w:r w:rsidR="00F00E6D" w:rsidRPr="00074BFE">
        <w:rPr>
          <w:sz w:val="20"/>
          <w:szCs w:val="20"/>
          <w:lang w:val="en-GB"/>
        </w:rPr>
        <w:t xml:space="preserve">The model is specified with the dependent variable </w:t>
      </w:r>
      <m:oMath>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PriceInefficiency</m:t>
            </m:r>
          </m:e>
          <m:sub>
            <m:r>
              <w:rPr>
                <w:rFonts w:ascii="Cambria Math" w:hAnsi="Cambria Math"/>
                <w:sz w:val="20"/>
                <w:szCs w:val="20"/>
              </w:rPr>
              <m:t>i, y</m:t>
            </m:r>
          </m:sub>
        </m:sSub>
      </m:oMath>
      <w:r w:rsidR="00F00E6D" w:rsidRPr="00074BFE">
        <w:rPr>
          <w:kern w:val="2"/>
          <w:sz w:val="20"/>
          <w:szCs w:val="20"/>
          <w:lang w:val="en-GB"/>
          <w14:ligatures w14:val="standardContextual"/>
        </w:rPr>
        <w:t xml:space="preserve">, an inverse index of price efficiency for company </w:t>
      </w:r>
      <m:oMath>
        <m:r>
          <w:rPr>
            <w:rFonts w:ascii="Cambria Math" w:hAnsi="Cambria Math"/>
            <w:kern w:val="2"/>
            <w:sz w:val="20"/>
            <w:szCs w:val="20"/>
            <w14:ligatures w14:val="standardContextual"/>
          </w:rPr>
          <m:t>i</m:t>
        </m:r>
      </m:oMath>
      <w:r w:rsidR="00F00E6D" w:rsidRPr="00074BFE">
        <w:rPr>
          <w:kern w:val="2"/>
          <w:sz w:val="20"/>
          <w:szCs w:val="20"/>
          <w:lang w:val="en-GB"/>
          <w14:ligatures w14:val="standardContextual"/>
        </w:rPr>
        <w:t xml:space="preserve"> in year </w:t>
      </w:r>
      <m:oMath>
        <m:r>
          <w:rPr>
            <w:rFonts w:ascii="Cambria Math" w:hAnsi="Cambria Math"/>
            <w:kern w:val="2"/>
            <w:sz w:val="20"/>
            <w:szCs w:val="20"/>
            <w14:ligatures w14:val="standardContextual"/>
          </w:rPr>
          <m:t>y</m:t>
        </m:r>
      </m:oMath>
      <w:r w:rsidR="00F00E6D" w:rsidRPr="00074BFE">
        <w:rPr>
          <w:kern w:val="2"/>
          <w:sz w:val="20"/>
          <w:szCs w:val="20"/>
          <w:lang w:val="en-GB"/>
          <w14:ligatures w14:val="standardContextual"/>
        </w:rPr>
        <w:t xml:space="preserve">, where a larger value indicates that the market reflects information less efficiently. </w:t>
      </w:r>
      <w:r w:rsidR="00F00E6D" w:rsidRPr="00074BFE">
        <w:rPr>
          <w:kern w:val="2"/>
          <w:sz w:val="20"/>
          <w:szCs w:val="20"/>
          <w:lang w:val="en-GB"/>
          <w14:ligatures w14:val="standardContextual"/>
        </w:rPr>
        <w:lastRenderedPageBreak/>
        <w:t xml:space="preserve">The main explanatory variable is </w:t>
      </w:r>
      <m:oMath>
        <m:sSub>
          <m:sSubPr>
            <m:ctrlPr>
              <w:rPr>
                <w:rFonts w:ascii="Cambria Math" w:eastAsiaTheme="minorEastAsia" w:hAnsi="Cambria Math" w:cstheme="minorBidi"/>
                <w:i/>
                <w:kern w:val="2"/>
                <w:sz w:val="20"/>
                <w:szCs w:val="20"/>
                <w14:ligatures w14:val="standardContextual"/>
              </w:rPr>
            </m:ctrlPr>
          </m:sSubPr>
          <m:e>
            <m:r>
              <w:rPr>
                <w:rFonts w:ascii="Cambria Math" w:hAnsi="Cambria Math"/>
                <w:sz w:val="20"/>
                <w:szCs w:val="20"/>
              </w:rPr>
              <m:t>Rumor</m:t>
            </m:r>
          </m:e>
          <m:sub>
            <m:r>
              <w:rPr>
                <w:rFonts w:ascii="Cambria Math" w:hAnsi="Cambria Math"/>
                <w:sz w:val="20"/>
                <w:szCs w:val="20"/>
              </w:rPr>
              <m:t>i,y</m:t>
            </m:r>
          </m:sub>
        </m:sSub>
      </m:oMath>
      <w:r w:rsidR="00F00E6D" w:rsidRPr="00074BFE">
        <w:rPr>
          <w:kern w:val="2"/>
          <w:sz w:val="20"/>
          <w:szCs w:val="20"/>
          <w:lang w:val="en-GB"/>
          <w14:ligatures w14:val="standardContextual"/>
        </w:rPr>
        <w:t xml:space="preserve"> representing the total number of rumors related to company </w:t>
      </w:r>
      <m:oMath>
        <m:r>
          <w:rPr>
            <w:rFonts w:ascii="Cambria Math" w:hAnsi="Cambria Math"/>
            <w:kern w:val="2"/>
            <w:sz w:val="20"/>
            <w:szCs w:val="20"/>
            <w14:ligatures w14:val="standardContextual"/>
          </w:rPr>
          <m:t>i</m:t>
        </m:r>
      </m:oMath>
      <w:r w:rsidR="00F00E6D" w:rsidRPr="00074BFE">
        <w:rPr>
          <w:kern w:val="2"/>
          <w:sz w:val="20"/>
          <w:szCs w:val="20"/>
          <w:lang w:val="en-GB"/>
          <w14:ligatures w14:val="standardContextual"/>
        </w:rPr>
        <w:t xml:space="preserve"> in year </w:t>
      </w:r>
      <m:oMath>
        <m:r>
          <w:rPr>
            <w:rFonts w:ascii="Cambria Math" w:hAnsi="Cambria Math"/>
            <w:kern w:val="2"/>
            <w:sz w:val="20"/>
            <w:szCs w:val="20"/>
            <w14:ligatures w14:val="standardContextual"/>
          </w:rPr>
          <m:t>y</m:t>
        </m:r>
      </m:oMath>
      <w:r w:rsidR="00F00E6D" w:rsidRPr="00074BFE">
        <w:rPr>
          <w:kern w:val="2"/>
          <w:sz w:val="20"/>
          <w:szCs w:val="20"/>
          <w:lang w:val="en-GB"/>
          <w14:ligatures w14:val="standardContextual"/>
        </w:rPr>
        <w:t xml:space="preserve">, including the number of positive rumors </w:t>
      </w:r>
      <m:oMath>
        <m:r>
          <w:rPr>
            <w:rFonts w:ascii="Cambria Math" w:hAnsi="Cambria Math"/>
            <w:kern w:val="2"/>
            <w:sz w:val="20"/>
            <w:szCs w:val="20"/>
            <w14:ligatures w14:val="standardContextual"/>
          </w:rPr>
          <m:t>(Rpos)</m:t>
        </m:r>
      </m:oMath>
      <w:r w:rsidR="00F00E6D" w:rsidRPr="00074BFE">
        <w:rPr>
          <w:kern w:val="2"/>
          <w:sz w:val="20"/>
          <w:szCs w:val="20"/>
          <w:lang w:val="en-GB"/>
          <w14:ligatures w14:val="standardContextual"/>
        </w:rPr>
        <w:t xml:space="preserve"> and negative rumors </w:t>
      </w:r>
      <m:oMath>
        <m:r>
          <w:rPr>
            <w:rFonts w:ascii="Cambria Math" w:hAnsi="Cambria Math"/>
            <w:kern w:val="2"/>
            <w:sz w:val="20"/>
            <w:szCs w:val="20"/>
            <w14:ligatures w14:val="standardContextual"/>
          </w:rPr>
          <m:t>(Rneg)</m:t>
        </m:r>
      </m:oMath>
      <w:r w:rsidR="00F00E6D" w:rsidRPr="00074BFE">
        <w:rPr>
          <w:kern w:val="2"/>
          <w:sz w:val="20"/>
          <w:szCs w:val="20"/>
          <w:lang w:val="en-GB"/>
          <w14:ligatures w14:val="standardContextual"/>
        </w:rPr>
        <w:t xml:space="preserve">, which serves as the central factor for assessing whether </w:t>
      </w:r>
      <w:proofErr w:type="spellStart"/>
      <w:r w:rsidR="00F00E6D" w:rsidRPr="00074BFE">
        <w:rPr>
          <w:kern w:val="2"/>
          <w:sz w:val="20"/>
          <w:szCs w:val="20"/>
          <w:lang w:val="en-GB"/>
          <w14:ligatures w14:val="standardContextual"/>
        </w:rPr>
        <w:t>rumors</w:t>
      </w:r>
      <w:proofErr w:type="spellEnd"/>
      <w:r w:rsidR="00F00E6D" w:rsidRPr="00074BFE">
        <w:rPr>
          <w:kern w:val="2"/>
          <w:sz w:val="20"/>
          <w:szCs w:val="20"/>
          <w:lang w:val="en-GB"/>
          <w14:ligatures w14:val="standardContextual"/>
        </w:rPr>
        <w:t xml:space="preserve"> </w:t>
      </w:r>
      <w:r w:rsidR="008C5C33">
        <w:rPr>
          <w:kern w:val="2"/>
          <w:sz w:val="20"/>
          <w:szCs w:val="20"/>
          <w:lang w:val="en-GB"/>
          <w14:ligatures w14:val="standardContextual"/>
        </w:rPr>
        <w:t>diminish</w:t>
      </w:r>
      <w:r w:rsidR="00F00E6D" w:rsidRPr="00074BFE">
        <w:rPr>
          <w:kern w:val="2"/>
          <w:sz w:val="20"/>
          <w:szCs w:val="20"/>
          <w:lang w:val="en-GB"/>
          <w14:ligatures w14:val="standardContextual"/>
        </w:rPr>
        <w:t xml:space="preserve"> the efficiency of information reflection in stock prices. Control variables </w:t>
      </w:r>
      <m:oMath>
        <m:r>
          <w:rPr>
            <w:rFonts w:ascii="Cambria Math" w:hAnsi="Cambria Math"/>
            <w:kern w:val="2"/>
            <w:sz w:val="20"/>
            <w:szCs w:val="20"/>
            <w14:ligatures w14:val="standardContextual"/>
          </w:rPr>
          <m:t>(CV)</m:t>
        </m:r>
      </m:oMath>
      <w:r w:rsidR="00F00E6D" w:rsidRPr="00074BFE">
        <w:rPr>
          <w:kern w:val="2"/>
          <w:sz w:val="20"/>
          <w:szCs w:val="20"/>
          <w:lang w:val="en-GB"/>
          <w14:ligatures w14:val="standardContextual"/>
        </w:rPr>
        <w:t xml:space="preserve"> capture firm characteristics such as size </w:t>
      </w:r>
      <m:oMath>
        <m:r>
          <w:rPr>
            <w:rFonts w:ascii="Cambria Math" w:hAnsi="Cambria Math"/>
            <w:kern w:val="2"/>
            <w:sz w:val="20"/>
            <w:szCs w:val="20"/>
            <w14:ligatures w14:val="standardContextual"/>
          </w:rPr>
          <m:t>(Size)</m:t>
        </m:r>
      </m:oMath>
      <w:r w:rsidR="00F00E6D" w:rsidRPr="00074BFE">
        <w:rPr>
          <w:kern w:val="2"/>
          <w:sz w:val="20"/>
          <w:szCs w:val="20"/>
          <w:lang w:val="en-GB"/>
          <w14:ligatures w14:val="standardContextual"/>
        </w:rPr>
        <w:t xml:space="preserve">, financial leverage </w:t>
      </w:r>
      <m:oMath>
        <m:r>
          <w:rPr>
            <w:rFonts w:ascii="Cambria Math" w:hAnsi="Cambria Math"/>
            <w:kern w:val="2"/>
            <w:sz w:val="20"/>
            <w:szCs w:val="20"/>
            <w14:ligatures w14:val="standardContextual"/>
          </w:rPr>
          <m:t>(Lev)</m:t>
        </m:r>
      </m:oMath>
      <w:r w:rsidR="00F00E6D" w:rsidRPr="00074BFE">
        <w:rPr>
          <w:kern w:val="2"/>
          <w:sz w:val="20"/>
          <w:szCs w:val="20"/>
          <w:lang w:val="en-GB"/>
          <w14:ligatures w14:val="standardContextual"/>
        </w:rPr>
        <w:t xml:space="preserve">, growth </w:t>
      </w:r>
      <m:oMath>
        <m:r>
          <w:rPr>
            <w:rFonts w:ascii="Cambria Math" w:hAnsi="Cambria Math"/>
            <w:kern w:val="2"/>
            <w:sz w:val="20"/>
            <w:szCs w:val="20"/>
            <w14:ligatures w14:val="standardContextual"/>
          </w:rPr>
          <m:t>(Growth)</m:t>
        </m:r>
      </m:oMath>
      <w:r w:rsidR="00F00E6D" w:rsidRPr="00074BFE">
        <w:rPr>
          <w:kern w:val="2"/>
          <w:sz w:val="20"/>
          <w:szCs w:val="20"/>
          <w:lang w:val="en-GB"/>
          <w14:ligatures w14:val="standardContextual"/>
        </w:rPr>
        <w:t xml:space="preserve">, and profitability </w:t>
      </w:r>
      <m:oMath>
        <m:r>
          <w:rPr>
            <w:rFonts w:ascii="Cambria Math" w:hAnsi="Cambria Math"/>
            <w:kern w:val="2"/>
            <w:sz w:val="20"/>
            <w:szCs w:val="20"/>
            <w14:ligatures w14:val="standardContextual"/>
          </w:rPr>
          <m:t>(ROA)</m:t>
        </m:r>
      </m:oMath>
      <w:r w:rsidR="00F00E6D" w:rsidRPr="00074BFE">
        <w:rPr>
          <w:kern w:val="2"/>
          <w:sz w:val="20"/>
          <w:szCs w:val="20"/>
          <w:lang w:val="en-GB"/>
          <w14:ligatures w14:val="standardContextual"/>
        </w:rPr>
        <w:t xml:space="preserve">. A year control effect is also included to eliminate the inherent impact of each </w:t>
      </w:r>
      <w:proofErr w:type="gramStart"/>
      <w:r w:rsidR="00F00E6D" w:rsidRPr="00074BFE">
        <w:rPr>
          <w:kern w:val="2"/>
          <w:sz w:val="20"/>
          <w:szCs w:val="20"/>
          <w:lang w:val="en-GB"/>
          <w14:ligatures w14:val="standardContextual"/>
        </w:rPr>
        <w:t>time period</w:t>
      </w:r>
      <w:proofErr w:type="gramEnd"/>
      <w:r w:rsidR="00F00E6D" w:rsidRPr="00074BFE">
        <w:rPr>
          <w:kern w:val="2"/>
          <w:sz w:val="20"/>
          <w:szCs w:val="20"/>
          <w:lang w:val="en-GB"/>
          <w14:ligatures w14:val="standardContextual"/>
        </w:rPr>
        <w:t>. This model enables direct testing of the influence of rumors on stock valuation efficiency while ensuring that results are not confounded by firm-specific attributes or temporal factors.</w:t>
      </w:r>
    </w:p>
    <w:p w14:paraId="76A36334" w14:textId="77777777" w:rsidR="003D6CAC" w:rsidRPr="000071E2" w:rsidRDefault="003D6CAC" w:rsidP="005448F6">
      <w:pPr>
        <w:pBdr>
          <w:top w:val="nil"/>
          <w:left w:val="nil"/>
          <w:bottom w:val="nil"/>
          <w:right w:val="nil"/>
          <w:between w:val="nil"/>
        </w:pBdr>
        <w:tabs>
          <w:tab w:val="left" w:pos="284"/>
          <w:tab w:val="left" w:pos="1134"/>
        </w:tabs>
        <w:spacing w:before="120"/>
        <w:rPr>
          <w:b/>
          <w:smallCaps/>
          <w:color w:val="000000"/>
          <w:sz w:val="20"/>
          <w:szCs w:val="20"/>
        </w:rPr>
      </w:pPr>
    </w:p>
    <w:p w14:paraId="7521C191" w14:textId="7DCCA8AF" w:rsidR="003D6CAC" w:rsidRPr="000071E2" w:rsidRDefault="00F9546E">
      <w:pPr>
        <w:pBdr>
          <w:top w:val="nil"/>
          <w:left w:val="nil"/>
          <w:bottom w:val="nil"/>
          <w:right w:val="nil"/>
          <w:between w:val="nil"/>
        </w:pBdr>
        <w:tabs>
          <w:tab w:val="left" w:pos="284"/>
          <w:tab w:val="left" w:pos="1134"/>
        </w:tabs>
        <w:spacing w:before="120"/>
        <w:rPr>
          <w:b/>
          <w:smallCaps/>
          <w:color w:val="000000"/>
          <w:sz w:val="20"/>
          <w:szCs w:val="20"/>
        </w:rPr>
      </w:pPr>
      <w:r w:rsidRPr="000071E2">
        <w:rPr>
          <w:b/>
          <w:smallCaps/>
          <w:color w:val="000000"/>
          <w:sz w:val="20"/>
          <w:szCs w:val="20"/>
        </w:rPr>
        <w:t>5</w:t>
      </w:r>
      <w:r w:rsidR="00436226" w:rsidRPr="000071E2">
        <w:rPr>
          <w:b/>
          <w:smallCaps/>
          <w:color w:val="000000"/>
          <w:sz w:val="20"/>
          <w:szCs w:val="20"/>
        </w:rPr>
        <w:t>. R</w:t>
      </w:r>
      <w:r w:rsidR="00436226" w:rsidRPr="000071E2">
        <w:rPr>
          <w:b/>
          <w:smallCaps/>
          <w:sz w:val="20"/>
          <w:szCs w:val="20"/>
        </w:rPr>
        <w:t>ESULTS AND DISCUSSION</w:t>
      </w:r>
    </w:p>
    <w:p w14:paraId="5857E021" w14:textId="045A529B" w:rsidR="00E20EDD" w:rsidRPr="000071E2" w:rsidRDefault="000E7A7B" w:rsidP="003811E5">
      <w:pPr>
        <w:spacing w:before="120"/>
        <w:jc w:val="both"/>
        <w:rPr>
          <w:sz w:val="20"/>
          <w:szCs w:val="20"/>
        </w:rPr>
      </w:pPr>
      <w:r w:rsidRPr="000071E2">
        <w:rPr>
          <w:sz w:val="20"/>
          <w:szCs w:val="20"/>
          <w:lang w:val="en-GB"/>
        </w:rPr>
        <w:t xml:space="preserve">Table 1 descriptive statistics reveal notable patterns in market information and financial characteristics. The analysis of </w:t>
      </w:r>
      <w:proofErr w:type="spellStart"/>
      <w:r w:rsidRPr="000071E2">
        <w:rPr>
          <w:sz w:val="20"/>
          <w:szCs w:val="20"/>
          <w:lang w:val="en-GB"/>
        </w:rPr>
        <w:t>rumors</w:t>
      </w:r>
      <w:proofErr w:type="spellEnd"/>
      <w:r w:rsidRPr="000071E2">
        <w:rPr>
          <w:sz w:val="20"/>
          <w:szCs w:val="20"/>
          <w:lang w:val="en-GB"/>
        </w:rPr>
        <w:t xml:space="preserve"> indicates a relatively low frequency, with an average of 0.235 </w:t>
      </w:r>
      <w:proofErr w:type="spellStart"/>
      <w:r w:rsidRPr="000071E2">
        <w:rPr>
          <w:sz w:val="20"/>
          <w:szCs w:val="20"/>
          <w:lang w:val="en-GB"/>
        </w:rPr>
        <w:t>rumors</w:t>
      </w:r>
      <w:proofErr w:type="spellEnd"/>
      <w:r w:rsidRPr="000071E2">
        <w:rPr>
          <w:sz w:val="20"/>
          <w:szCs w:val="20"/>
          <w:lang w:val="en-GB"/>
        </w:rPr>
        <w:t xml:space="preserve"> per firm-year. </w:t>
      </w:r>
      <w:proofErr w:type="spellStart"/>
      <w:r w:rsidRPr="000071E2">
        <w:rPr>
          <w:sz w:val="20"/>
          <w:szCs w:val="20"/>
          <w:lang w:val="en-GB"/>
        </w:rPr>
        <w:t>Favorable</w:t>
      </w:r>
      <w:proofErr w:type="spellEnd"/>
      <w:r w:rsidRPr="000071E2">
        <w:rPr>
          <w:sz w:val="20"/>
          <w:szCs w:val="20"/>
          <w:lang w:val="en-GB"/>
        </w:rPr>
        <w:t xml:space="preserve"> </w:t>
      </w:r>
      <w:proofErr w:type="spellStart"/>
      <w:r w:rsidRPr="000071E2">
        <w:rPr>
          <w:sz w:val="20"/>
          <w:szCs w:val="20"/>
          <w:lang w:val="en-GB"/>
        </w:rPr>
        <w:t>rumors</w:t>
      </w:r>
      <w:proofErr w:type="spellEnd"/>
      <w:r w:rsidRPr="000071E2">
        <w:rPr>
          <w:sz w:val="20"/>
          <w:szCs w:val="20"/>
          <w:lang w:val="en-GB"/>
        </w:rPr>
        <w:t xml:space="preserve"> (</w:t>
      </w:r>
      <m:oMath>
        <m:r>
          <w:rPr>
            <w:rFonts w:ascii="Cambria Math" w:hAnsi="Cambria Math"/>
            <w:kern w:val="2"/>
            <w:sz w:val="20"/>
            <w:szCs w:val="20"/>
            <w14:ligatures w14:val="standardContextual"/>
          </w:rPr>
          <m:t>Rpos</m:t>
        </m:r>
      </m:oMath>
      <w:r w:rsidRPr="000071E2">
        <w:rPr>
          <w:sz w:val="20"/>
          <w:szCs w:val="20"/>
          <w:lang w:val="en-GB"/>
        </w:rPr>
        <w:t>) dominate this landscape, constituting approximately 71% of all rumors with a mean of 0.168. This finding of a market predominantly influenced by positive speculation is consistent with existing literature (e.g., Zhao et al., 2010). Furthermore, the synchronicity measure (</w:t>
      </w:r>
      <m:oMath>
        <m:r>
          <w:rPr>
            <w:rFonts w:ascii="Cambria Math" w:hAnsi="Cambria Math"/>
            <w:sz w:val="20"/>
            <w:szCs w:val="20"/>
          </w:rPr>
          <m:t>SYN</m:t>
        </m:r>
      </m:oMath>
      <w:r w:rsidRPr="000071E2">
        <w:rPr>
          <w:sz w:val="20"/>
          <w:szCs w:val="20"/>
          <w:lang w:val="en-GB"/>
        </w:rPr>
        <w:t>) exhibits a negative mean (-0.874) with a considerable standard deviation (1.403), indicating significant cross-sectional variation among listed banks. On average, bank stock prices do not move in tandem with the market; however, the high dispersion suggests a spectrum of information environments. Banks with high synchronicity suggest that investors should heed industry-wide information, while those with low synchronicity are inundated with firm-specific noise, reflecting an unevenly efficient market where information incorporation varies substantially.</w:t>
      </w:r>
      <w:r w:rsidR="00C5227D">
        <w:rPr>
          <w:sz w:val="20"/>
          <w:szCs w:val="20"/>
          <w:lang w:val="en-GB"/>
        </w:rPr>
        <w:t xml:space="preserve"> </w:t>
      </w:r>
      <w:r w:rsidR="00C5227D" w:rsidRPr="00C5227D">
        <w:rPr>
          <w:sz w:val="20"/>
          <w:szCs w:val="20"/>
          <w:lang w:val="en-GB"/>
        </w:rPr>
        <w:t>Both mispricing measures (</w:t>
      </w:r>
      <m:oMath>
        <m:r>
          <w:rPr>
            <w:rFonts w:ascii="Cambria Math" w:hAnsi="Cambria Math"/>
            <w:sz w:val="20"/>
            <w:szCs w:val="20"/>
          </w:rPr>
          <m:t>Misp1</m:t>
        </m:r>
      </m:oMath>
      <w:r w:rsidR="00C5227D" w:rsidRPr="00C42DD7">
        <w:rPr>
          <w:bCs/>
          <w:sz w:val="20"/>
          <w:szCs w:val="20"/>
        </w:rPr>
        <w:t xml:space="preserve"> and </w:t>
      </w:r>
      <m:oMath>
        <m:r>
          <w:rPr>
            <w:rFonts w:ascii="Cambria Math" w:hAnsi="Cambria Math"/>
            <w:sz w:val="20"/>
            <w:szCs w:val="20"/>
          </w:rPr>
          <m:t>Misp2</m:t>
        </m:r>
      </m:oMath>
      <w:r w:rsidR="00C5227D" w:rsidRPr="00C5227D">
        <w:rPr>
          <w:sz w:val="20"/>
          <w:szCs w:val="20"/>
          <w:lang w:val="en-GB"/>
        </w:rPr>
        <w:t>) show moderate mean values ​​(0.095 and 0.000, respectively), with high volatility, reinforcing the mixed pricing environment in the industry.</w:t>
      </w:r>
    </w:p>
    <w:p w14:paraId="64492F22" w14:textId="0C7174B6" w:rsidR="000E7A7B" w:rsidRPr="000071E2" w:rsidRDefault="000E7A7B" w:rsidP="003811E5">
      <w:pPr>
        <w:spacing w:before="120"/>
        <w:jc w:val="both"/>
        <w:rPr>
          <w:sz w:val="20"/>
          <w:szCs w:val="20"/>
        </w:rPr>
      </w:pPr>
      <w:r w:rsidRPr="000071E2">
        <w:rPr>
          <w:sz w:val="20"/>
          <w:szCs w:val="20"/>
          <w:lang w:val="en-GB"/>
        </w:rPr>
        <w:t xml:space="preserve">Financially, the variables accurately reflect the inherent nature of the banking sector. Leverage </w:t>
      </w:r>
      <m:oMath>
        <m:d>
          <m:dPr>
            <m:ctrlPr>
              <w:rPr>
                <w:rFonts w:ascii="Cambria Math" w:hAnsi="Cambria Math"/>
                <w:i/>
                <w:kern w:val="2"/>
                <w:sz w:val="20"/>
                <w:szCs w:val="20"/>
                <w14:ligatures w14:val="standardContextual"/>
              </w:rPr>
            </m:ctrlPr>
          </m:dPr>
          <m:e>
            <m:r>
              <w:rPr>
                <w:rFonts w:ascii="Cambria Math" w:hAnsi="Cambria Math"/>
                <w:kern w:val="2"/>
                <w:sz w:val="20"/>
                <w:szCs w:val="20"/>
                <w14:ligatures w14:val="standardContextual"/>
              </w:rPr>
              <m:t>Lev</m:t>
            </m:r>
          </m:e>
        </m:d>
      </m:oMath>
      <w:r w:rsidRPr="000071E2">
        <w:rPr>
          <w:kern w:val="2"/>
          <w:sz w:val="20"/>
          <w:szCs w:val="20"/>
          <w:lang w:val="en-GB"/>
          <w14:ligatures w14:val="standardContextual"/>
        </w:rPr>
        <w:t xml:space="preserve"> </w:t>
      </w:r>
      <w:r w:rsidRPr="000071E2">
        <w:rPr>
          <w:sz w:val="20"/>
          <w:szCs w:val="20"/>
          <w:lang w:val="en-GB"/>
        </w:rPr>
        <w:t xml:space="preserve">is characteristically high, averaging 91.5% with minimal variation, underscoring the sector's reliance on debt financing. Conversely, return on assets </w:t>
      </w:r>
      <m:oMath>
        <m:r>
          <w:rPr>
            <w:rFonts w:ascii="Cambria Math" w:hAnsi="Cambria Math"/>
            <w:kern w:val="2"/>
            <w:sz w:val="20"/>
            <w:szCs w:val="20"/>
            <w14:ligatures w14:val="standardContextual"/>
          </w:rPr>
          <m:t>(ROA)</m:t>
        </m:r>
      </m:oMath>
      <w:r w:rsidRPr="000071E2">
        <w:rPr>
          <w:sz w:val="20"/>
          <w:szCs w:val="20"/>
          <w:lang w:val="en-GB"/>
        </w:rPr>
        <w:t xml:space="preserve"> is low (mean of 1.3%), which can be attributed to the burden of risk provisioning costs and the impact of non-performing loans. Growth rates, however, demonstrate significant disparity with a standard deviation of 11.6%, highlighting the pronounced performance difference between larger and smaller banks in the Vietnamese market.</w:t>
      </w:r>
      <w:r w:rsidR="00C5227D">
        <w:rPr>
          <w:sz w:val="20"/>
          <w:szCs w:val="20"/>
          <w:lang w:val="en-GB"/>
        </w:rPr>
        <w:t xml:space="preserve"> </w:t>
      </w:r>
      <w:r w:rsidR="00C5227D" w:rsidRPr="00C5227D">
        <w:rPr>
          <w:sz w:val="20"/>
          <w:szCs w:val="20"/>
          <w:lang w:val="en-GB"/>
        </w:rPr>
        <w:t xml:space="preserve">Finally, the </w:t>
      </w:r>
      <m:oMath>
        <m:r>
          <w:rPr>
            <w:rFonts w:ascii="Cambria Math" w:hAnsi="Cambria Math"/>
            <w:sz w:val="20"/>
            <w:szCs w:val="20"/>
          </w:rPr>
          <m:t>Tobin'sQ</m:t>
        </m:r>
      </m:oMath>
      <w:r w:rsidR="00C5227D" w:rsidRPr="00C5227D">
        <w:rPr>
          <w:sz w:val="20"/>
          <w:szCs w:val="20"/>
          <w:lang w:val="en-GB"/>
        </w:rPr>
        <w:t xml:space="preserve"> index averaged 1.058, close to parity, suggesting that market valuations are only slightly higher than book value.</w:t>
      </w:r>
    </w:p>
    <w:p w14:paraId="5DA967D5" w14:textId="77777777" w:rsidR="00C26B7A" w:rsidRDefault="00C26B7A">
      <w:pPr>
        <w:spacing w:before="120"/>
        <w:jc w:val="center"/>
        <w:rPr>
          <w:b/>
          <w:sz w:val="20"/>
          <w:szCs w:val="20"/>
        </w:rPr>
      </w:pPr>
    </w:p>
    <w:p w14:paraId="022D7486" w14:textId="2B4A54F1" w:rsidR="003D6CAC" w:rsidRPr="000071E2" w:rsidRDefault="00436226">
      <w:pPr>
        <w:spacing w:before="120"/>
        <w:jc w:val="center"/>
        <w:rPr>
          <w:sz w:val="20"/>
          <w:szCs w:val="20"/>
        </w:rPr>
      </w:pPr>
      <w:r w:rsidRPr="000071E2">
        <w:rPr>
          <w:b/>
          <w:sz w:val="20"/>
          <w:szCs w:val="20"/>
        </w:rPr>
        <w:t>Table 1.</w:t>
      </w:r>
      <w:r w:rsidRPr="000071E2">
        <w:rPr>
          <w:sz w:val="20"/>
          <w:szCs w:val="20"/>
        </w:rPr>
        <w:t xml:space="preserve"> </w:t>
      </w:r>
      <w:r w:rsidR="00E20EDD" w:rsidRPr="000071E2">
        <w:rPr>
          <w:sz w:val="20"/>
          <w:szCs w:val="20"/>
        </w:rPr>
        <w:t>Descriptive Statistics</w:t>
      </w:r>
    </w:p>
    <w:tbl>
      <w:tblPr>
        <w:tblW w:w="7440" w:type="dxa"/>
        <w:jc w:val="center"/>
        <w:tblLook w:val="04A0" w:firstRow="1" w:lastRow="0" w:firstColumn="1" w:lastColumn="0" w:noHBand="0" w:noVBand="1"/>
      </w:tblPr>
      <w:tblGrid>
        <w:gridCol w:w="1240"/>
        <w:gridCol w:w="1240"/>
        <w:gridCol w:w="1240"/>
        <w:gridCol w:w="1240"/>
        <w:gridCol w:w="1240"/>
        <w:gridCol w:w="1240"/>
      </w:tblGrid>
      <w:tr w:rsidR="00DD4179" w14:paraId="2CBAC562" w14:textId="77777777" w:rsidTr="00DD4179">
        <w:trPr>
          <w:trHeight w:val="288"/>
          <w:jc w:val="center"/>
        </w:trPr>
        <w:tc>
          <w:tcPr>
            <w:tcW w:w="1240" w:type="dxa"/>
            <w:tcBorders>
              <w:top w:val="single" w:sz="4" w:space="0" w:color="auto"/>
              <w:left w:val="nil"/>
              <w:bottom w:val="single" w:sz="4" w:space="0" w:color="auto"/>
              <w:right w:val="nil"/>
            </w:tcBorders>
            <w:noWrap/>
            <w:vAlign w:val="center"/>
            <w:hideMark/>
          </w:tcPr>
          <w:p w14:paraId="57BFB7CC" w14:textId="4B22AD2F" w:rsidR="00DD4179" w:rsidRDefault="00DD4179" w:rsidP="00DD4179">
            <w:pPr>
              <w:jc w:val="center"/>
              <w:rPr>
                <w:color w:val="000000"/>
                <w:sz w:val="20"/>
                <w:szCs w:val="20"/>
              </w:rPr>
            </w:pPr>
          </w:p>
        </w:tc>
        <w:tc>
          <w:tcPr>
            <w:tcW w:w="1240" w:type="dxa"/>
            <w:tcBorders>
              <w:top w:val="single" w:sz="4" w:space="0" w:color="auto"/>
              <w:left w:val="nil"/>
              <w:bottom w:val="single" w:sz="4" w:space="0" w:color="auto"/>
              <w:right w:val="nil"/>
            </w:tcBorders>
            <w:noWrap/>
            <w:vAlign w:val="center"/>
            <w:hideMark/>
          </w:tcPr>
          <w:p w14:paraId="70FAE393" w14:textId="77777777" w:rsidR="00DD4179" w:rsidRPr="00DD4179" w:rsidRDefault="00DD4179" w:rsidP="00DD4179">
            <w:pPr>
              <w:jc w:val="center"/>
              <w:rPr>
                <w:i/>
                <w:iCs/>
                <w:color w:val="000000"/>
                <w:sz w:val="20"/>
                <w:szCs w:val="20"/>
              </w:rPr>
            </w:pPr>
            <w:r w:rsidRPr="00DD4179">
              <w:rPr>
                <w:i/>
                <w:iCs/>
                <w:color w:val="000000"/>
                <w:sz w:val="20"/>
                <w:szCs w:val="20"/>
              </w:rPr>
              <w:t>N</w:t>
            </w:r>
          </w:p>
        </w:tc>
        <w:tc>
          <w:tcPr>
            <w:tcW w:w="1240" w:type="dxa"/>
            <w:tcBorders>
              <w:top w:val="single" w:sz="4" w:space="0" w:color="auto"/>
              <w:left w:val="nil"/>
              <w:bottom w:val="single" w:sz="4" w:space="0" w:color="auto"/>
              <w:right w:val="nil"/>
            </w:tcBorders>
            <w:noWrap/>
            <w:vAlign w:val="center"/>
            <w:hideMark/>
          </w:tcPr>
          <w:p w14:paraId="63F96FC4" w14:textId="77777777" w:rsidR="00DD4179" w:rsidRPr="00DD4179" w:rsidRDefault="00DD4179" w:rsidP="00DD4179">
            <w:pPr>
              <w:jc w:val="center"/>
              <w:rPr>
                <w:i/>
                <w:iCs/>
                <w:color w:val="000000"/>
                <w:sz w:val="20"/>
                <w:szCs w:val="20"/>
              </w:rPr>
            </w:pPr>
            <w:r w:rsidRPr="00DD4179">
              <w:rPr>
                <w:i/>
                <w:iCs/>
                <w:color w:val="000000"/>
                <w:sz w:val="20"/>
                <w:szCs w:val="20"/>
              </w:rPr>
              <w:t>Mean</w:t>
            </w:r>
          </w:p>
        </w:tc>
        <w:tc>
          <w:tcPr>
            <w:tcW w:w="1240" w:type="dxa"/>
            <w:tcBorders>
              <w:top w:val="single" w:sz="4" w:space="0" w:color="auto"/>
              <w:left w:val="nil"/>
              <w:bottom w:val="single" w:sz="4" w:space="0" w:color="auto"/>
              <w:right w:val="nil"/>
            </w:tcBorders>
            <w:noWrap/>
            <w:vAlign w:val="center"/>
            <w:hideMark/>
          </w:tcPr>
          <w:p w14:paraId="7341ABA9" w14:textId="77777777" w:rsidR="00DD4179" w:rsidRPr="00DD4179" w:rsidRDefault="00DD4179" w:rsidP="00DD4179">
            <w:pPr>
              <w:jc w:val="center"/>
              <w:rPr>
                <w:i/>
                <w:iCs/>
                <w:color w:val="000000"/>
                <w:sz w:val="20"/>
                <w:szCs w:val="20"/>
              </w:rPr>
            </w:pPr>
            <w:r w:rsidRPr="00DD4179">
              <w:rPr>
                <w:i/>
                <w:iCs/>
                <w:color w:val="000000"/>
                <w:sz w:val="20"/>
                <w:szCs w:val="20"/>
              </w:rPr>
              <w:t>Std. Dev.</w:t>
            </w:r>
          </w:p>
        </w:tc>
        <w:tc>
          <w:tcPr>
            <w:tcW w:w="1240" w:type="dxa"/>
            <w:tcBorders>
              <w:top w:val="single" w:sz="4" w:space="0" w:color="auto"/>
              <w:left w:val="nil"/>
              <w:bottom w:val="single" w:sz="4" w:space="0" w:color="auto"/>
              <w:right w:val="nil"/>
            </w:tcBorders>
            <w:noWrap/>
            <w:vAlign w:val="center"/>
            <w:hideMark/>
          </w:tcPr>
          <w:p w14:paraId="39635D18" w14:textId="77777777" w:rsidR="00DD4179" w:rsidRPr="00DD4179" w:rsidRDefault="00DD4179" w:rsidP="00DD4179">
            <w:pPr>
              <w:jc w:val="center"/>
              <w:rPr>
                <w:i/>
                <w:iCs/>
                <w:color w:val="000000"/>
                <w:sz w:val="20"/>
                <w:szCs w:val="20"/>
              </w:rPr>
            </w:pPr>
            <w:r w:rsidRPr="00DD4179">
              <w:rPr>
                <w:i/>
                <w:iCs/>
                <w:color w:val="000000"/>
                <w:sz w:val="20"/>
                <w:szCs w:val="20"/>
              </w:rPr>
              <w:t>Min</w:t>
            </w:r>
          </w:p>
        </w:tc>
        <w:tc>
          <w:tcPr>
            <w:tcW w:w="1240" w:type="dxa"/>
            <w:tcBorders>
              <w:top w:val="single" w:sz="4" w:space="0" w:color="auto"/>
              <w:left w:val="nil"/>
              <w:bottom w:val="single" w:sz="4" w:space="0" w:color="auto"/>
              <w:right w:val="nil"/>
            </w:tcBorders>
            <w:noWrap/>
            <w:vAlign w:val="center"/>
            <w:hideMark/>
          </w:tcPr>
          <w:p w14:paraId="33F72E5F" w14:textId="77777777" w:rsidR="00DD4179" w:rsidRPr="00DD4179" w:rsidRDefault="00DD4179" w:rsidP="00DD4179">
            <w:pPr>
              <w:jc w:val="center"/>
              <w:rPr>
                <w:i/>
                <w:iCs/>
                <w:color w:val="000000"/>
                <w:sz w:val="20"/>
                <w:szCs w:val="20"/>
              </w:rPr>
            </w:pPr>
            <w:r w:rsidRPr="00DD4179">
              <w:rPr>
                <w:i/>
                <w:iCs/>
                <w:color w:val="000000"/>
                <w:sz w:val="20"/>
                <w:szCs w:val="20"/>
              </w:rPr>
              <w:t>Max</w:t>
            </w:r>
          </w:p>
        </w:tc>
      </w:tr>
      <w:tr w:rsidR="00DD4179" w14:paraId="7CA0E4F0" w14:textId="77777777" w:rsidTr="00DD4179">
        <w:trPr>
          <w:trHeight w:val="288"/>
          <w:jc w:val="center"/>
        </w:trPr>
        <w:tc>
          <w:tcPr>
            <w:tcW w:w="1240" w:type="dxa"/>
            <w:tcBorders>
              <w:top w:val="nil"/>
              <w:left w:val="nil"/>
              <w:bottom w:val="nil"/>
              <w:right w:val="nil"/>
            </w:tcBorders>
            <w:noWrap/>
            <w:vAlign w:val="center"/>
            <w:hideMark/>
          </w:tcPr>
          <w:p w14:paraId="14331666" w14:textId="77777777" w:rsidR="00DD4179" w:rsidRDefault="00DD4179" w:rsidP="00DD4179">
            <w:pPr>
              <w:jc w:val="center"/>
              <w:rPr>
                <w:i/>
                <w:iCs/>
                <w:color w:val="000000"/>
                <w:sz w:val="20"/>
                <w:szCs w:val="20"/>
              </w:rPr>
            </w:pPr>
            <w:r>
              <w:rPr>
                <w:i/>
                <w:iCs/>
                <w:color w:val="000000"/>
                <w:sz w:val="20"/>
                <w:szCs w:val="20"/>
              </w:rPr>
              <w:t>SYN</w:t>
            </w:r>
          </w:p>
        </w:tc>
        <w:tc>
          <w:tcPr>
            <w:tcW w:w="1240" w:type="dxa"/>
            <w:tcBorders>
              <w:top w:val="nil"/>
              <w:left w:val="nil"/>
              <w:bottom w:val="nil"/>
              <w:right w:val="nil"/>
            </w:tcBorders>
            <w:noWrap/>
            <w:vAlign w:val="center"/>
            <w:hideMark/>
          </w:tcPr>
          <w:p w14:paraId="06EEF9B6" w14:textId="0C5AB740" w:rsidR="00DD4179" w:rsidRDefault="00DD4179" w:rsidP="00DD4179">
            <w:pPr>
              <w:jc w:val="center"/>
              <w:rPr>
                <w:color w:val="000000"/>
                <w:sz w:val="20"/>
                <w:szCs w:val="20"/>
              </w:rPr>
            </w:pPr>
            <w:r>
              <w:rPr>
                <w:color w:val="000000"/>
                <w:sz w:val="20"/>
                <w:szCs w:val="20"/>
              </w:rPr>
              <w:t>119</w:t>
            </w:r>
          </w:p>
        </w:tc>
        <w:tc>
          <w:tcPr>
            <w:tcW w:w="1240" w:type="dxa"/>
            <w:tcBorders>
              <w:top w:val="nil"/>
              <w:left w:val="nil"/>
              <w:bottom w:val="nil"/>
              <w:right w:val="nil"/>
            </w:tcBorders>
            <w:noWrap/>
            <w:vAlign w:val="center"/>
            <w:hideMark/>
          </w:tcPr>
          <w:p w14:paraId="18EE6681" w14:textId="77777777" w:rsidR="00DD4179" w:rsidRDefault="00DD4179" w:rsidP="00DD4179">
            <w:pPr>
              <w:jc w:val="center"/>
              <w:rPr>
                <w:color w:val="000000"/>
                <w:sz w:val="20"/>
                <w:szCs w:val="20"/>
              </w:rPr>
            </w:pPr>
            <w:r>
              <w:rPr>
                <w:color w:val="000000"/>
                <w:sz w:val="20"/>
                <w:szCs w:val="20"/>
              </w:rPr>
              <w:t>(0.874)</w:t>
            </w:r>
          </w:p>
        </w:tc>
        <w:tc>
          <w:tcPr>
            <w:tcW w:w="1240" w:type="dxa"/>
            <w:tcBorders>
              <w:top w:val="nil"/>
              <w:left w:val="nil"/>
              <w:bottom w:val="nil"/>
              <w:right w:val="nil"/>
            </w:tcBorders>
            <w:noWrap/>
            <w:vAlign w:val="center"/>
            <w:hideMark/>
          </w:tcPr>
          <w:p w14:paraId="0CDF1CDC" w14:textId="0F34B731" w:rsidR="00DD4179" w:rsidRDefault="00DD4179" w:rsidP="00DD4179">
            <w:pPr>
              <w:jc w:val="center"/>
              <w:rPr>
                <w:color w:val="000000"/>
                <w:sz w:val="20"/>
                <w:szCs w:val="20"/>
              </w:rPr>
            </w:pPr>
            <w:r>
              <w:rPr>
                <w:color w:val="000000"/>
                <w:sz w:val="20"/>
                <w:szCs w:val="20"/>
              </w:rPr>
              <w:t>1,403</w:t>
            </w:r>
          </w:p>
        </w:tc>
        <w:tc>
          <w:tcPr>
            <w:tcW w:w="1240" w:type="dxa"/>
            <w:tcBorders>
              <w:top w:val="nil"/>
              <w:left w:val="nil"/>
              <w:bottom w:val="nil"/>
              <w:right w:val="nil"/>
            </w:tcBorders>
            <w:noWrap/>
            <w:vAlign w:val="center"/>
            <w:hideMark/>
          </w:tcPr>
          <w:p w14:paraId="6662EE06" w14:textId="77777777" w:rsidR="00DD4179" w:rsidRDefault="00DD4179" w:rsidP="00DD4179">
            <w:pPr>
              <w:jc w:val="center"/>
              <w:rPr>
                <w:color w:val="000000"/>
                <w:sz w:val="20"/>
                <w:szCs w:val="20"/>
              </w:rPr>
            </w:pPr>
            <w:r>
              <w:rPr>
                <w:color w:val="000000"/>
                <w:sz w:val="20"/>
                <w:szCs w:val="20"/>
              </w:rPr>
              <w:t>(4,726)</w:t>
            </w:r>
          </w:p>
        </w:tc>
        <w:tc>
          <w:tcPr>
            <w:tcW w:w="1240" w:type="dxa"/>
            <w:tcBorders>
              <w:top w:val="nil"/>
              <w:left w:val="nil"/>
              <w:bottom w:val="nil"/>
              <w:right w:val="nil"/>
            </w:tcBorders>
            <w:noWrap/>
            <w:vAlign w:val="center"/>
            <w:hideMark/>
          </w:tcPr>
          <w:p w14:paraId="7C524EAB" w14:textId="74649B54" w:rsidR="00DD4179" w:rsidRDefault="00DD4179" w:rsidP="00DD4179">
            <w:pPr>
              <w:jc w:val="center"/>
              <w:rPr>
                <w:color w:val="000000"/>
                <w:sz w:val="20"/>
                <w:szCs w:val="20"/>
              </w:rPr>
            </w:pPr>
            <w:r>
              <w:rPr>
                <w:color w:val="000000"/>
                <w:sz w:val="20"/>
                <w:szCs w:val="20"/>
              </w:rPr>
              <w:t>0.772</w:t>
            </w:r>
          </w:p>
        </w:tc>
      </w:tr>
      <w:tr w:rsidR="00DD4179" w14:paraId="7786EC85" w14:textId="77777777" w:rsidTr="00DD4179">
        <w:trPr>
          <w:trHeight w:val="288"/>
          <w:jc w:val="center"/>
        </w:trPr>
        <w:tc>
          <w:tcPr>
            <w:tcW w:w="1240" w:type="dxa"/>
            <w:tcBorders>
              <w:top w:val="nil"/>
              <w:left w:val="nil"/>
              <w:bottom w:val="nil"/>
              <w:right w:val="nil"/>
            </w:tcBorders>
            <w:noWrap/>
            <w:vAlign w:val="center"/>
            <w:hideMark/>
          </w:tcPr>
          <w:p w14:paraId="437BBDE7" w14:textId="77777777" w:rsidR="00DD4179" w:rsidRDefault="00DD4179" w:rsidP="00DD4179">
            <w:pPr>
              <w:jc w:val="center"/>
              <w:rPr>
                <w:i/>
                <w:iCs/>
                <w:color w:val="000000"/>
                <w:sz w:val="20"/>
                <w:szCs w:val="20"/>
              </w:rPr>
            </w:pPr>
            <w:r>
              <w:rPr>
                <w:i/>
                <w:iCs/>
                <w:color w:val="000000"/>
                <w:sz w:val="20"/>
                <w:szCs w:val="20"/>
              </w:rPr>
              <w:t>MISP1</w:t>
            </w:r>
          </w:p>
        </w:tc>
        <w:tc>
          <w:tcPr>
            <w:tcW w:w="1240" w:type="dxa"/>
            <w:tcBorders>
              <w:top w:val="nil"/>
              <w:left w:val="nil"/>
              <w:bottom w:val="nil"/>
              <w:right w:val="nil"/>
            </w:tcBorders>
            <w:noWrap/>
            <w:vAlign w:val="center"/>
            <w:hideMark/>
          </w:tcPr>
          <w:p w14:paraId="7D31245A" w14:textId="52A7DF20" w:rsidR="00DD4179" w:rsidRDefault="00DD4179" w:rsidP="00DD4179">
            <w:pPr>
              <w:jc w:val="center"/>
              <w:rPr>
                <w:color w:val="000000"/>
                <w:sz w:val="20"/>
                <w:szCs w:val="20"/>
              </w:rPr>
            </w:pPr>
            <w:r>
              <w:rPr>
                <w:color w:val="000000"/>
                <w:sz w:val="20"/>
                <w:szCs w:val="20"/>
              </w:rPr>
              <w:t>115</w:t>
            </w:r>
          </w:p>
        </w:tc>
        <w:tc>
          <w:tcPr>
            <w:tcW w:w="1240" w:type="dxa"/>
            <w:tcBorders>
              <w:top w:val="nil"/>
              <w:left w:val="nil"/>
              <w:bottom w:val="nil"/>
              <w:right w:val="nil"/>
            </w:tcBorders>
            <w:noWrap/>
            <w:vAlign w:val="center"/>
            <w:hideMark/>
          </w:tcPr>
          <w:p w14:paraId="614C7DF0" w14:textId="0D27A0FA" w:rsidR="00DD4179" w:rsidRDefault="00DD4179" w:rsidP="00DD4179">
            <w:pPr>
              <w:jc w:val="center"/>
              <w:rPr>
                <w:color w:val="000000"/>
                <w:sz w:val="20"/>
                <w:szCs w:val="20"/>
              </w:rPr>
            </w:pPr>
            <w:r>
              <w:rPr>
                <w:color w:val="000000"/>
                <w:sz w:val="20"/>
                <w:szCs w:val="20"/>
              </w:rPr>
              <w:t>0.095</w:t>
            </w:r>
          </w:p>
        </w:tc>
        <w:tc>
          <w:tcPr>
            <w:tcW w:w="1240" w:type="dxa"/>
            <w:tcBorders>
              <w:top w:val="nil"/>
              <w:left w:val="nil"/>
              <w:bottom w:val="nil"/>
              <w:right w:val="nil"/>
            </w:tcBorders>
            <w:noWrap/>
            <w:vAlign w:val="center"/>
            <w:hideMark/>
          </w:tcPr>
          <w:p w14:paraId="4E885A18" w14:textId="44573BD6" w:rsidR="00DD4179" w:rsidRDefault="00DD4179" w:rsidP="00DD4179">
            <w:pPr>
              <w:jc w:val="center"/>
              <w:rPr>
                <w:color w:val="000000"/>
                <w:sz w:val="20"/>
                <w:szCs w:val="20"/>
              </w:rPr>
            </w:pPr>
            <w:r>
              <w:rPr>
                <w:color w:val="000000"/>
                <w:sz w:val="20"/>
                <w:szCs w:val="20"/>
              </w:rPr>
              <w:t>1.615</w:t>
            </w:r>
          </w:p>
        </w:tc>
        <w:tc>
          <w:tcPr>
            <w:tcW w:w="1240" w:type="dxa"/>
            <w:tcBorders>
              <w:top w:val="nil"/>
              <w:left w:val="nil"/>
              <w:bottom w:val="nil"/>
              <w:right w:val="nil"/>
            </w:tcBorders>
            <w:noWrap/>
            <w:vAlign w:val="center"/>
            <w:hideMark/>
          </w:tcPr>
          <w:p w14:paraId="5FF538DD" w14:textId="77777777" w:rsidR="00DD4179" w:rsidRDefault="00DD4179" w:rsidP="00DD4179">
            <w:pPr>
              <w:jc w:val="center"/>
              <w:rPr>
                <w:color w:val="000000"/>
                <w:sz w:val="20"/>
                <w:szCs w:val="20"/>
              </w:rPr>
            </w:pPr>
            <w:r>
              <w:rPr>
                <w:color w:val="000000"/>
                <w:sz w:val="20"/>
                <w:szCs w:val="20"/>
              </w:rPr>
              <w:t>(1.334)</w:t>
            </w:r>
          </w:p>
        </w:tc>
        <w:tc>
          <w:tcPr>
            <w:tcW w:w="1240" w:type="dxa"/>
            <w:tcBorders>
              <w:top w:val="nil"/>
              <w:left w:val="nil"/>
              <w:bottom w:val="nil"/>
              <w:right w:val="nil"/>
            </w:tcBorders>
            <w:noWrap/>
            <w:vAlign w:val="center"/>
            <w:hideMark/>
          </w:tcPr>
          <w:p w14:paraId="5D935093" w14:textId="619F503D" w:rsidR="00DD4179" w:rsidRDefault="00DD4179" w:rsidP="00DD4179">
            <w:pPr>
              <w:jc w:val="center"/>
              <w:rPr>
                <w:color w:val="000000"/>
                <w:sz w:val="20"/>
                <w:szCs w:val="20"/>
              </w:rPr>
            </w:pPr>
            <w:r>
              <w:rPr>
                <w:color w:val="000000"/>
                <w:sz w:val="20"/>
                <w:szCs w:val="20"/>
              </w:rPr>
              <w:t>12.475</w:t>
            </w:r>
          </w:p>
        </w:tc>
      </w:tr>
      <w:tr w:rsidR="00DD4179" w14:paraId="28FECE3F" w14:textId="77777777" w:rsidTr="00DD4179">
        <w:trPr>
          <w:trHeight w:val="288"/>
          <w:jc w:val="center"/>
        </w:trPr>
        <w:tc>
          <w:tcPr>
            <w:tcW w:w="1240" w:type="dxa"/>
            <w:tcBorders>
              <w:top w:val="nil"/>
              <w:left w:val="nil"/>
              <w:bottom w:val="nil"/>
              <w:right w:val="nil"/>
            </w:tcBorders>
            <w:noWrap/>
            <w:vAlign w:val="center"/>
            <w:hideMark/>
          </w:tcPr>
          <w:p w14:paraId="0E2C9159" w14:textId="77777777" w:rsidR="00DD4179" w:rsidRDefault="00DD4179" w:rsidP="00DD4179">
            <w:pPr>
              <w:jc w:val="center"/>
              <w:rPr>
                <w:i/>
                <w:iCs/>
                <w:color w:val="000000"/>
                <w:sz w:val="20"/>
                <w:szCs w:val="20"/>
              </w:rPr>
            </w:pPr>
            <w:r>
              <w:rPr>
                <w:i/>
                <w:iCs/>
                <w:color w:val="000000"/>
                <w:sz w:val="20"/>
                <w:szCs w:val="20"/>
              </w:rPr>
              <w:t>MISP2</w:t>
            </w:r>
          </w:p>
        </w:tc>
        <w:tc>
          <w:tcPr>
            <w:tcW w:w="1240" w:type="dxa"/>
            <w:tcBorders>
              <w:top w:val="nil"/>
              <w:left w:val="nil"/>
              <w:bottom w:val="nil"/>
              <w:right w:val="nil"/>
            </w:tcBorders>
            <w:noWrap/>
            <w:vAlign w:val="center"/>
            <w:hideMark/>
          </w:tcPr>
          <w:p w14:paraId="5ED0AD84" w14:textId="37D629A6" w:rsidR="00DD4179" w:rsidRDefault="00DD4179" w:rsidP="00DD4179">
            <w:pPr>
              <w:jc w:val="center"/>
              <w:rPr>
                <w:color w:val="000000"/>
                <w:sz w:val="20"/>
                <w:szCs w:val="20"/>
              </w:rPr>
            </w:pPr>
            <w:r>
              <w:rPr>
                <w:color w:val="000000"/>
                <w:sz w:val="20"/>
                <w:szCs w:val="20"/>
              </w:rPr>
              <w:t>115</w:t>
            </w:r>
          </w:p>
        </w:tc>
        <w:tc>
          <w:tcPr>
            <w:tcW w:w="1240" w:type="dxa"/>
            <w:tcBorders>
              <w:top w:val="nil"/>
              <w:left w:val="nil"/>
              <w:bottom w:val="nil"/>
              <w:right w:val="nil"/>
            </w:tcBorders>
            <w:noWrap/>
            <w:vAlign w:val="center"/>
            <w:hideMark/>
          </w:tcPr>
          <w:p w14:paraId="069D84E9" w14:textId="0C7400A6" w:rsidR="00DD4179" w:rsidRDefault="00DD4179" w:rsidP="00DD4179">
            <w:pPr>
              <w:jc w:val="center"/>
              <w:rPr>
                <w:color w:val="000000"/>
                <w:sz w:val="20"/>
                <w:szCs w:val="20"/>
              </w:rPr>
            </w:pPr>
            <w:r>
              <w:rPr>
                <w:color w:val="000000"/>
                <w:sz w:val="20"/>
                <w:szCs w:val="20"/>
              </w:rPr>
              <w:t>0.000</w:t>
            </w:r>
          </w:p>
        </w:tc>
        <w:tc>
          <w:tcPr>
            <w:tcW w:w="1240" w:type="dxa"/>
            <w:tcBorders>
              <w:top w:val="nil"/>
              <w:left w:val="nil"/>
              <w:bottom w:val="nil"/>
              <w:right w:val="nil"/>
            </w:tcBorders>
            <w:noWrap/>
            <w:vAlign w:val="center"/>
            <w:hideMark/>
          </w:tcPr>
          <w:p w14:paraId="64009DF5" w14:textId="2E0897F4" w:rsidR="00DD4179" w:rsidRDefault="00DD4179" w:rsidP="00DD4179">
            <w:pPr>
              <w:jc w:val="center"/>
              <w:rPr>
                <w:color w:val="000000"/>
                <w:sz w:val="20"/>
                <w:szCs w:val="20"/>
              </w:rPr>
            </w:pPr>
            <w:r>
              <w:rPr>
                <w:color w:val="000000"/>
                <w:sz w:val="20"/>
                <w:szCs w:val="20"/>
              </w:rPr>
              <w:t>1.004</w:t>
            </w:r>
          </w:p>
        </w:tc>
        <w:tc>
          <w:tcPr>
            <w:tcW w:w="1240" w:type="dxa"/>
            <w:tcBorders>
              <w:top w:val="nil"/>
              <w:left w:val="nil"/>
              <w:bottom w:val="nil"/>
              <w:right w:val="nil"/>
            </w:tcBorders>
            <w:noWrap/>
            <w:vAlign w:val="center"/>
            <w:hideMark/>
          </w:tcPr>
          <w:p w14:paraId="06B8AC81" w14:textId="77777777" w:rsidR="00DD4179" w:rsidRDefault="00DD4179" w:rsidP="00DD4179">
            <w:pPr>
              <w:jc w:val="center"/>
              <w:rPr>
                <w:color w:val="000000"/>
                <w:sz w:val="20"/>
                <w:szCs w:val="20"/>
              </w:rPr>
            </w:pPr>
            <w:r>
              <w:rPr>
                <w:color w:val="000000"/>
                <w:sz w:val="20"/>
                <w:szCs w:val="20"/>
              </w:rPr>
              <w:t>(2.065)</w:t>
            </w:r>
          </w:p>
        </w:tc>
        <w:tc>
          <w:tcPr>
            <w:tcW w:w="1240" w:type="dxa"/>
            <w:tcBorders>
              <w:top w:val="nil"/>
              <w:left w:val="nil"/>
              <w:bottom w:val="nil"/>
              <w:right w:val="nil"/>
            </w:tcBorders>
            <w:noWrap/>
            <w:vAlign w:val="center"/>
            <w:hideMark/>
          </w:tcPr>
          <w:p w14:paraId="75BE84EF" w14:textId="1ABA2C88" w:rsidR="00DD4179" w:rsidRDefault="00DD4179" w:rsidP="00DD4179">
            <w:pPr>
              <w:jc w:val="center"/>
              <w:rPr>
                <w:color w:val="000000"/>
                <w:sz w:val="20"/>
                <w:szCs w:val="20"/>
              </w:rPr>
            </w:pPr>
            <w:r>
              <w:rPr>
                <w:color w:val="000000"/>
                <w:sz w:val="20"/>
                <w:szCs w:val="20"/>
              </w:rPr>
              <w:t>3.010</w:t>
            </w:r>
          </w:p>
        </w:tc>
      </w:tr>
      <w:tr w:rsidR="00DD4179" w14:paraId="7ED515FA" w14:textId="77777777" w:rsidTr="00DD4179">
        <w:trPr>
          <w:trHeight w:val="288"/>
          <w:jc w:val="center"/>
        </w:trPr>
        <w:tc>
          <w:tcPr>
            <w:tcW w:w="1240" w:type="dxa"/>
            <w:tcBorders>
              <w:top w:val="nil"/>
              <w:left w:val="nil"/>
              <w:bottom w:val="nil"/>
              <w:right w:val="nil"/>
            </w:tcBorders>
            <w:noWrap/>
            <w:vAlign w:val="center"/>
            <w:hideMark/>
          </w:tcPr>
          <w:p w14:paraId="523AFF75" w14:textId="77777777" w:rsidR="00DD4179" w:rsidRDefault="00DD4179" w:rsidP="00DD4179">
            <w:pPr>
              <w:jc w:val="center"/>
              <w:rPr>
                <w:i/>
                <w:iCs/>
                <w:color w:val="000000"/>
                <w:sz w:val="20"/>
                <w:szCs w:val="20"/>
              </w:rPr>
            </w:pPr>
            <w:r>
              <w:rPr>
                <w:i/>
                <w:iCs/>
                <w:color w:val="000000"/>
                <w:sz w:val="20"/>
                <w:szCs w:val="20"/>
              </w:rPr>
              <w:t>Rumor</w:t>
            </w:r>
          </w:p>
        </w:tc>
        <w:tc>
          <w:tcPr>
            <w:tcW w:w="1240" w:type="dxa"/>
            <w:tcBorders>
              <w:top w:val="nil"/>
              <w:left w:val="nil"/>
              <w:bottom w:val="nil"/>
              <w:right w:val="nil"/>
            </w:tcBorders>
            <w:noWrap/>
            <w:vAlign w:val="center"/>
            <w:hideMark/>
          </w:tcPr>
          <w:p w14:paraId="3C670AAA" w14:textId="734B1C6B" w:rsidR="00DD4179" w:rsidRDefault="00DD4179" w:rsidP="00DD4179">
            <w:pPr>
              <w:jc w:val="center"/>
              <w:rPr>
                <w:color w:val="000000"/>
                <w:sz w:val="20"/>
                <w:szCs w:val="20"/>
              </w:rPr>
            </w:pPr>
            <w:r>
              <w:rPr>
                <w:color w:val="000000"/>
                <w:sz w:val="20"/>
                <w:szCs w:val="20"/>
              </w:rPr>
              <w:t>119</w:t>
            </w:r>
          </w:p>
        </w:tc>
        <w:tc>
          <w:tcPr>
            <w:tcW w:w="1240" w:type="dxa"/>
            <w:tcBorders>
              <w:top w:val="nil"/>
              <w:left w:val="nil"/>
              <w:bottom w:val="nil"/>
              <w:right w:val="nil"/>
            </w:tcBorders>
            <w:noWrap/>
            <w:vAlign w:val="center"/>
            <w:hideMark/>
          </w:tcPr>
          <w:p w14:paraId="5810E975" w14:textId="238E2BDC" w:rsidR="00DD4179" w:rsidRDefault="00DD4179" w:rsidP="00DD4179">
            <w:pPr>
              <w:jc w:val="center"/>
              <w:rPr>
                <w:color w:val="000000"/>
                <w:sz w:val="20"/>
                <w:szCs w:val="20"/>
              </w:rPr>
            </w:pPr>
            <w:r>
              <w:rPr>
                <w:color w:val="000000"/>
                <w:sz w:val="20"/>
                <w:szCs w:val="20"/>
              </w:rPr>
              <w:t>0.235</w:t>
            </w:r>
          </w:p>
        </w:tc>
        <w:tc>
          <w:tcPr>
            <w:tcW w:w="1240" w:type="dxa"/>
            <w:tcBorders>
              <w:top w:val="nil"/>
              <w:left w:val="nil"/>
              <w:bottom w:val="nil"/>
              <w:right w:val="nil"/>
            </w:tcBorders>
            <w:noWrap/>
            <w:vAlign w:val="center"/>
            <w:hideMark/>
          </w:tcPr>
          <w:p w14:paraId="1BD91535" w14:textId="20355B7C" w:rsidR="00DD4179" w:rsidRDefault="00DD4179" w:rsidP="00DD4179">
            <w:pPr>
              <w:jc w:val="center"/>
              <w:rPr>
                <w:color w:val="000000"/>
                <w:sz w:val="20"/>
                <w:szCs w:val="20"/>
              </w:rPr>
            </w:pPr>
            <w:r>
              <w:rPr>
                <w:color w:val="000000"/>
                <w:sz w:val="20"/>
                <w:szCs w:val="20"/>
              </w:rPr>
              <w:t>0.482</w:t>
            </w:r>
          </w:p>
        </w:tc>
        <w:tc>
          <w:tcPr>
            <w:tcW w:w="1240" w:type="dxa"/>
            <w:tcBorders>
              <w:top w:val="nil"/>
              <w:left w:val="nil"/>
              <w:bottom w:val="nil"/>
              <w:right w:val="nil"/>
            </w:tcBorders>
            <w:noWrap/>
            <w:vAlign w:val="center"/>
            <w:hideMark/>
          </w:tcPr>
          <w:p w14:paraId="720F54B6" w14:textId="3A035F3E" w:rsidR="00DD4179" w:rsidRDefault="00DD4179" w:rsidP="00DD4179">
            <w:pPr>
              <w:jc w:val="center"/>
              <w:rPr>
                <w:color w:val="000000"/>
                <w:sz w:val="20"/>
                <w:szCs w:val="20"/>
              </w:rPr>
            </w:pPr>
            <w:r>
              <w:rPr>
                <w:color w:val="000000"/>
                <w:sz w:val="20"/>
                <w:szCs w:val="20"/>
              </w:rPr>
              <w:t>0.000</w:t>
            </w:r>
          </w:p>
        </w:tc>
        <w:tc>
          <w:tcPr>
            <w:tcW w:w="1240" w:type="dxa"/>
            <w:tcBorders>
              <w:top w:val="nil"/>
              <w:left w:val="nil"/>
              <w:bottom w:val="nil"/>
              <w:right w:val="nil"/>
            </w:tcBorders>
            <w:noWrap/>
            <w:vAlign w:val="center"/>
            <w:hideMark/>
          </w:tcPr>
          <w:p w14:paraId="5131CEBD" w14:textId="2E699408" w:rsidR="00DD4179" w:rsidRDefault="00DD4179" w:rsidP="00DD4179">
            <w:pPr>
              <w:jc w:val="center"/>
              <w:rPr>
                <w:color w:val="000000"/>
                <w:sz w:val="20"/>
                <w:szCs w:val="20"/>
              </w:rPr>
            </w:pPr>
            <w:r>
              <w:rPr>
                <w:color w:val="000000"/>
                <w:sz w:val="20"/>
                <w:szCs w:val="20"/>
              </w:rPr>
              <w:t>2,000</w:t>
            </w:r>
          </w:p>
        </w:tc>
      </w:tr>
      <w:tr w:rsidR="00DD4179" w14:paraId="09E707CE" w14:textId="77777777" w:rsidTr="00DD4179">
        <w:trPr>
          <w:trHeight w:val="288"/>
          <w:jc w:val="center"/>
        </w:trPr>
        <w:tc>
          <w:tcPr>
            <w:tcW w:w="1240" w:type="dxa"/>
            <w:tcBorders>
              <w:top w:val="nil"/>
              <w:left w:val="nil"/>
              <w:bottom w:val="nil"/>
              <w:right w:val="nil"/>
            </w:tcBorders>
            <w:noWrap/>
            <w:vAlign w:val="center"/>
            <w:hideMark/>
          </w:tcPr>
          <w:p w14:paraId="4FB9188C" w14:textId="77777777" w:rsidR="00DD4179" w:rsidRDefault="00DD4179" w:rsidP="00DD4179">
            <w:pPr>
              <w:jc w:val="center"/>
              <w:rPr>
                <w:i/>
                <w:iCs/>
                <w:color w:val="000000"/>
                <w:sz w:val="20"/>
                <w:szCs w:val="20"/>
              </w:rPr>
            </w:pPr>
            <w:proofErr w:type="spellStart"/>
            <w:r>
              <w:rPr>
                <w:i/>
                <w:iCs/>
                <w:color w:val="000000"/>
                <w:sz w:val="20"/>
                <w:szCs w:val="20"/>
              </w:rPr>
              <w:t>Rpos</w:t>
            </w:r>
            <w:proofErr w:type="spellEnd"/>
          </w:p>
        </w:tc>
        <w:tc>
          <w:tcPr>
            <w:tcW w:w="1240" w:type="dxa"/>
            <w:tcBorders>
              <w:top w:val="nil"/>
              <w:left w:val="nil"/>
              <w:bottom w:val="nil"/>
              <w:right w:val="nil"/>
            </w:tcBorders>
            <w:noWrap/>
            <w:vAlign w:val="center"/>
            <w:hideMark/>
          </w:tcPr>
          <w:p w14:paraId="0AEF8F1A" w14:textId="2360CDD3" w:rsidR="00DD4179" w:rsidRDefault="00DD4179" w:rsidP="00DD4179">
            <w:pPr>
              <w:jc w:val="center"/>
              <w:rPr>
                <w:color w:val="000000"/>
                <w:sz w:val="20"/>
                <w:szCs w:val="20"/>
              </w:rPr>
            </w:pPr>
            <w:r>
              <w:rPr>
                <w:color w:val="000000"/>
                <w:sz w:val="20"/>
                <w:szCs w:val="20"/>
              </w:rPr>
              <w:t>119</w:t>
            </w:r>
          </w:p>
        </w:tc>
        <w:tc>
          <w:tcPr>
            <w:tcW w:w="1240" w:type="dxa"/>
            <w:tcBorders>
              <w:top w:val="nil"/>
              <w:left w:val="nil"/>
              <w:bottom w:val="nil"/>
              <w:right w:val="nil"/>
            </w:tcBorders>
            <w:noWrap/>
            <w:vAlign w:val="center"/>
            <w:hideMark/>
          </w:tcPr>
          <w:p w14:paraId="23517C90" w14:textId="53C4E61A" w:rsidR="00DD4179" w:rsidRDefault="00DD4179" w:rsidP="00DD4179">
            <w:pPr>
              <w:jc w:val="center"/>
              <w:rPr>
                <w:color w:val="000000"/>
                <w:sz w:val="20"/>
                <w:szCs w:val="20"/>
              </w:rPr>
            </w:pPr>
            <w:r>
              <w:rPr>
                <w:color w:val="000000"/>
                <w:sz w:val="20"/>
                <w:szCs w:val="20"/>
              </w:rPr>
              <w:t>0.168</w:t>
            </w:r>
          </w:p>
        </w:tc>
        <w:tc>
          <w:tcPr>
            <w:tcW w:w="1240" w:type="dxa"/>
            <w:tcBorders>
              <w:top w:val="nil"/>
              <w:left w:val="nil"/>
              <w:bottom w:val="nil"/>
              <w:right w:val="nil"/>
            </w:tcBorders>
            <w:noWrap/>
            <w:vAlign w:val="center"/>
            <w:hideMark/>
          </w:tcPr>
          <w:p w14:paraId="082468EC" w14:textId="43BC541A" w:rsidR="00DD4179" w:rsidRDefault="00DD4179" w:rsidP="00DD4179">
            <w:pPr>
              <w:jc w:val="center"/>
              <w:rPr>
                <w:color w:val="000000"/>
                <w:sz w:val="20"/>
                <w:szCs w:val="20"/>
              </w:rPr>
            </w:pPr>
            <w:r>
              <w:rPr>
                <w:color w:val="000000"/>
                <w:sz w:val="20"/>
                <w:szCs w:val="20"/>
              </w:rPr>
              <w:t>0.376</w:t>
            </w:r>
          </w:p>
        </w:tc>
        <w:tc>
          <w:tcPr>
            <w:tcW w:w="1240" w:type="dxa"/>
            <w:tcBorders>
              <w:top w:val="nil"/>
              <w:left w:val="nil"/>
              <w:bottom w:val="nil"/>
              <w:right w:val="nil"/>
            </w:tcBorders>
            <w:noWrap/>
            <w:vAlign w:val="center"/>
            <w:hideMark/>
          </w:tcPr>
          <w:p w14:paraId="77D9D995" w14:textId="2AF34F6D" w:rsidR="00DD4179" w:rsidRDefault="00DD4179" w:rsidP="00DD4179">
            <w:pPr>
              <w:jc w:val="center"/>
              <w:rPr>
                <w:color w:val="000000"/>
                <w:sz w:val="20"/>
                <w:szCs w:val="20"/>
              </w:rPr>
            </w:pPr>
            <w:r>
              <w:rPr>
                <w:color w:val="000000"/>
                <w:sz w:val="20"/>
                <w:szCs w:val="20"/>
              </w:rPr>
              <w:t>0.000</w:t>
            </w:r>
          </w:p>
        </w:tc>
        <w:tc>
          <w:tcPr>
            <w:tcW w:w="1240" w:type="dxa"/>
            <w:tcBorders>
              <w:top w:val="nil"/>
              <w:left w:val="nil"/>
              <w:bottom w:val="nil"/>
              <w:right w:val="nil"/>
            </w:tcBorders>
            <w:noWrap/>
            <w:vAlign w:val="center"/>
            <w:hideMark/>
          </w:tcPr>
          <w:p w14:paraId="7B7D1DA4" w14:textId="533AC43D" w:rsidR="00DD4179" w:rsidRDefault="00DD4179" w:rsidP="00DD4179">
            <w:pPr>
              <w:jc w:val="center"/>
              <w:rPr>
                <w:color w:val="000000"/>
                <w:sz w:val="20"/>
                <w:szCs w:val="20"/>
              </w:rPr>
            </w:pPr>
            <w:r>
              <w:rPr>
                <w:color w:val="000000"/>
                <w:sz w:val="20"/>
                <w:szCs w:val="20"/>
              </w:rPr>
              <w:t>1,000</w:t>
            </w:r>
          </w:p>
        </w:tc>
      </w:tr>
      <w:tr w:rsidR="00DD4179" w14:paraId="72BE9431" w14:textId="77777777" w:rsidTr="00DD4179">
        <w:trPr>
          <w:trHeight w:val="288"/>
          <w:jc w:val="center"/>
        </w:trPr>
        <w:tc>
          <w:tcPr>
            <w:tcW w:w="1240" w:type="dxa"/>
            <w:tcBorders>
              <w:top w:val="nil"/>
              <w:left w:val="nil"/>
              <w:bottom w:val="nil"/>
              <w:right w:val="nil"/>
            </w:tcBorders>
            <w:noWrap/>
            <w:vAlign w:val="center"/>
            <w:hideMark/>
          </w:tcPr>
          <w:p w14:paraId="7F231A9C" w14:textId="77777777" w:rsidR="00DD4179" w:rsidRDefault="00DD4179" w:rsidP="00DD4179">
            <w:pPr>
              <w:jc w:val="center"/>
              <w:rPr>
                <w:i/>
                <w:iCs/>
                <w:color w:val="000000"/>
                <w:sz w:val="20"/>
                <w:szCs w:val="20"/>
              </w:rPr>
            </w:pPr>
            <w:proofErr w:type="spellStart"/>
            <w:r>
              <w:rPr>
                <w:i/>
                <w:iCs/>
                <w:color w:val="000000"/>
                <w:sz w:val="20"/>
                <w:szCs w:val="20"/>
              </w:rPr>
              <w:t>Rneg</w:t>
            </w:r>
            <w:proofErr w:type="spellEnd"/>
          </w:p>
        </w:tc>
        <w:tc>
          <w:tcPr>
            <w:tcW w:w="1240" w:type="dxa"/>
            <w:tcBorders>
              <w:top w:val="nil"/>
              <w:left w:val="nil"/>
              <w:bottom w:val="nil"/>
              <w:right w:val="nil"/>
            </w:tcBorders>
            <w:noWrap/>
            <w:vAlign w:val="center"/>
            <w:hideMark/>
          </w:tcPr>
          <w:p w14:paraId="00C0DC65" w14:textId="1087487B" w:rsidR="00DD4179" w:rsidRDefault="00DD4179" w:rsidP="00DD4179">
            <w:pPr>
              <w:jc w:val="center"/>
              <w:rPr>
                <w:color w:val="000000"/>
                <w:sz w:val="20"/>
                <w:szCs w:val="20"/>
              </w:rPr>
            </w:pPr>
            <w:r>
              <w:rPr>
                <w:color w:val="000000"/>
                <w:sz w:val="20"/>
                <w:szCs w:val="20"/>
              </w:rPr>
              <w:t>119</w:t>
            </w:r>
          </w:p>
        </w:tc>
        <w:tc>
          <w:tcPr>
            <w:tcW w:w="1240" w:type="dxa"/>
            <w:tcBorders>
              <w:top w:val="nil"/>
              <w:left w:val="nil"/>
              <w:bottom w:val="nil"/>
              <w:right w:val="nil"/>
            </w:tcBorders>
            <w:noWrap/>
            <w:vAlign w:val="center"/>
            <w:hideMark/>
          </w:tcPr>
          <w:p w14:paraId="01D3BCC7" w14:textId="30F454E0" w:rsidR="00DD4179" w:rsidRDefault="00DD4179" w:rsidP="00DD4179">
            <w:pPr>
              <w:jc w:val="center"/>
              <w:rPr>
                <w:color w:val="000000"/>
                <w:sz w:val="20"/>
                <w:szCs w:val="20"/>
              </w:rPr>
            </w:pPr>
            <w:r>
              <w:rPr>
                <w:color w:val="000000"/>
                <w:sz w:val="20"/>
                <w:szCs w:val="20"/>
              </w:rPr>
              <w:t>0.014</w:t>
            </w:r>
          </w:p>
        </w:tc>
        <w:tc>
          <w:tcPr>
            <w:tcW w:w="1240" w:type="dxa"/>
            <w:tcBorders>
              <w:top w:val="nil"/>
              <w:left w:val="nil"/>
              <w:bottom w:val="nil"/>
              <w:right w:val="nil"/>
            </w:tcBorders>
            <w:noWrap/>
            <w:vAlign w:val="center"/>
            <w:hideMark/>
          </w:tcPr>
          <w:p w14:paraId="32FDC69B" w14:textId="2868E613" w:rsidR="00DD4179" w:rsidRDefault="00DD4179" w:rsidP="00DD4179">
            <w:pPr>
              <w:jc w:val="center"/>
              <w:rPr>
                <w:color w:val="000000"/>
                <w:sz w:val="20"/>
                <w:szCs w:val="20"/>
              </w:rPr>
            </w:pPr>
            <w:r>
              <w:rPr>
                <w:color w:val="000000"/>
                <w:sz w:val="20"/>
                <w:szCs w:val="20"/>
              </w:rPr>
              <w:t>0.106</w:t>
            </w:r>
          </w:p>
        </w:tc>
        <w:tc>
          <w:tcPr>
            <w:tcW w:w="1240" w:type="dxa"/>
            <w:tcBorders>
              <w:top w:val="nil"/>
              <w:left w:val="nil"/>
              <w:bottom w:val="nil"/>
              <w:right w:val="nil"/>
            </w:tcBorders>
            <w:noWrap/>
            <w:vAlign w:val="center"/>
            <w:hideMark/>
          </w:tcPr>
          <w:p w14:paraId="4CB90302" w14:textId="5B4F326E" w:rsidR="00DD4179" w:rsidRDefault="00DD4179" w:rsidP="00DD4179">
            <w:pPr>
              <w:jc w:val="center"/>
              <w:rPr>
                <w:color w:val="000000"/>
                <w:sz w:val="20"/>
                <w:szCs w:val="20"/>
              </w:rPr>
            </w:pPr>
            <w:r>
              <w:rPr>
                <w:color w:val="000000"/>
                <w:sz w:val="20"/>
                <w:szCs w:val="20"/>
              </w:rPr>
              <w:t>0.000</w:t>
            </w:r>
          </w:p>
        </w:tc>
        <w:tc>
          <w:tcPr>
            <w:tcW w:w="1240" w:type="dxa"/>
            <w:tcBorders>
              <w:top w:val="nil"/>
              <w:left w:val="nil"/>
              <w:bottom w:val="nil"/>
              <w:right w:val="nil"/>
            </w:tcBorders>
            <w:noWrap/>
            <w:vAlign w:val="center"/>
            <w:hideMark/>
          </w:tcPr>
          <w:p w14:paraId="70B534FC" w14:textId="084E8366" w:rsidR="00DD4179" w:rsidRDefault="00DD4179" w:rsidP="00DD4179">
            <w:pPr>
              <w:jc w:val="center"/>
              <w:rPr>
                <w:color w:val="000000"/>
                <w:sz w:val="20"/>
                <w:szCs w:val="20"/>
              </w:rPr>
            </w:pPr>
            <w:r>
              <w:rPr>
                <w:color w:val="000000"/>
                <w:sz w:val="20"/>
                <w:szCs w:val="20"/>
              </w:rPr>
              <w:t>0.820</w:t>
            </w:r>
          </w:p>
        </w:tc>
      </w:tr>
      <w:tr w:rsidR="00DD4179" w14:paraId="70ECA670" w14:textId="77777777" w:rsidTr="00DD4179">
        <w:trPr>
          <w:trHeight w:val="288"/>
          <w:jc w:val="center"/>
        </w:trPr>
        <w:tc>
          <w:tcPr>
            <w:tcW w:w="1240" w:type="dxa"/>
            <w:tcBorders>
              <w:top w:val="nil"/>
              <w:left w:val="nil"/>
              <w:bottom w:val="nil"/>
              <w:right w:val="nil"/>
            </w:tcBorders>
            <w:noWrap/>
            <w:vAlign w:val="center"/>
            <w:hideMark/>
          </w:tcPr>
          <w:p w14:paraId="14480454" w14:textId="77777777" w:rsidR="00DD4179" w:rsidRDefault="00DD4179" w:rsidP="00DD4179">
            <w:pPr>
              <w:jc w:val="center"/>
              <w:rPr>
                <w:i/>
                <w:iCs/>
                <w:color w:val="000000"/>
                <w:sz w:val="20"/>
                <w:szCs w:val="20"/>
              </w:rPr>
            </w:pPr>
            <w:r>
              <w:rPr>
                <w:i/>
                <w:iCs/>
                <w:color w:val="000000"/>
                <w:sz w:val="20"/>
                <w:szCs w:val="20"/>
              </w:rPr>
              <w:t>Size</w:t>
            </w:r>
          </w:p>
        </w:tc>
        <w:tc>
          <w:tcPr>
            <w:tcW w:w="1240" w:type="dxa"/>
            <w:tcBorders>
              <w:top w:val="nil"/>
              <w:left w:val="nil"/>
              <w:bottom w:val="nil"/>
              <w:right w:val="nil"/>
            </w:tcBorders>
            <w:noWrap/>
            <w:vAlign w:val="center"/>
            <w:hideMark/>
          </w:tcPr>
          <w:p w14:paraId="29DACCFB" w14:textId="4713A6F0" w:rsidR="00DD4179" w:rsidRDefault="00DD4179" w:rsidP="00DD4179">
            <w:pPr>
              <w:jc w:val="center"/>
              <w:rPr>
                <w:color w:val="000000"/>
                <w:sz w:val="20"/>
                <w:szCs w:val="20"/>
              </w:rPr>
            </w:pPr>
            <w:r>
              <w:rPr>
                <w:color w:val="000000"/>
                <w:sz w:val="20"/>
                <w:szCs w:val="20"/>
              </w:rPr>
              <w:t>119</w:t>
            </w:r>
          </w:p>
        </w:tc>
        <w:tc>
          <w:tcPr>
            <w:tcW w:w="1240" w:type="dxa"/>
            <w:tcBorders>
              <w:top w:val="nil"/>
              <w:left w:val="nil"/>
              <w:bottom w:val="nil"/>
              <w:right w:val="nil"/>
            </w:tcBorders>
            <w:noWrap/>
            <w:vAlign w:val="center"/>
            <w:hideMark/>
          </w:tcPr>
          <w:p w14:paraId="49F67114" w14:textId="57F81895" w:rsidR="00DD4179" w:rsidRDefault="00DD4179" w:rsidP="00DD4179">
            <w:pPr>
              <w:jc w:val="center"/>
              <w:rPr>
                <w:color w:val="000000"/>
                <w:sz w:val="20"/>
                <w:szCs w:val="20"/>
              </w:rPr>
            </w:pPr>
            <w:r>
              <w:rPr>
                <w:color w:val="000000"/>
                <w:sz w:val="20"/>
                <w:szCs w:val="20"/>
              </w:rPr>
              <w:t>33,541</w:t>
            </w:r>
          </w:p>
        </w:tc>
        <w:tc>
          <w:tcPr>
            <w:tcW w:w="1240" w:type="dxa"/>
            <w:tcBorders>
              <w:top w:val="nil"/>
              <w:left w:val="nil"/>
              <w:bottom w:val="nil"/>
              <w:right w:val="nil"/>
            </w:tcBorders>
            <w:noWrap/>
            <w:vAlign w:val="center"/>
            <w:hideMark/>
          </w:tcPr>
          <w:p w14:paraId="0E5CF971" w14:textId="63D3EC56" w:rsidR="00DD4179" w:rsidRDefault="00DD4179" w:rsidP="00DD4179">
            <w:pPr>
              <w:jc w:val="center"/>
              <w:rPr>
                <w:color w:val="000000"/>
                <w:sz w:val="20"/>
                <w:szCs w:val="20"/>
              </w:rPr>
            </w:pPr>
            <w:r>
              <w:rPr>
                <w:color w:val="000000"/>
                <w:sz w:val="20"/>
                <w:szCs w:val="20"/>
              </w:rPr>
              <w:t>0.864</w:t>
            </w:r>
          </w:p>
        </w:tc>
        <w:tc>
          <w:tcPr>
            <w:tcW w:w="1240" w:type="dxa"/>
            <w:tcBorders>
              <w:top w:val="nil"/>
              <w:left w:val="nil"/>
              <w:bottom w:val="nil"/>
              <w:right w:val="nil"/>
            </w:tcBorders>
            <w:noWrap/>
            <w:vAlign w:val="center"/>
            <w:hideMark/>
          </w:tcPr>
          <w:p w14:paraId="1FDA0A1E" w14:textId="541E81C6" w:rsidR="00DD4179" w:rsidRDefault="00DD4179" w:rsidP="00DD4179">
            <w:pPr>
              <w:jc w:val="center"/>
              <w:rPr>
                <w:color w:val="000000"/>
                <w:sz w:val="20"/>
                <w:szCs w:val="20"/>
              </w:rPr>
            </w:pPr>
            <w:r>
              <w:rPr>
                <w:color w:val="000000"/>
                <w:sz w:val="20"/>
                <w:szCs w:val="20"/>
              </w:rPr>
              <w:t>31,917</w:t>
            </w:r>
          </w:p>
        </w:tc>
        <w:tc>
          <w:tcPr>
            <w:tcW w:w="1240" w:type="dxa"/>
            <w:tcBorders>
              <w:top w:val="nil"/>
              <w:left w:val="nil"/>
              <w:bottom w:val="nil"/>
              <w:right w:val="nil"/>
            </w:tcBorders>
            <w:noWrap/>
            <w:vAlign w:val="center"/>
            <w:hideMark/>
          </w:tcPr>
          <w:p w14:paraId="0AC2DEDE" w14:textId="31655D4D" w:rsidR="00DD4179" w:rsidRDefault="00DD4179" w:rsidP="00DD4179">
            <w:pPr>
              <w:jc w:val="center"/>
              <w:rPr>
                <w:color w:val="000000"/>
                <w:sz w:val="20"/>
                <w:szCs w:val="20"/>
              </w:rPr>
            </w:pPr>
            <w:r>
              <w:rPr>
                <w:color w:val="000000"/>
                <w:sz w:val="20"/>
                <w:szCs w:val="20"/>
              </w:rPr>
              <w:t>35,283</w:t>
            </w:r>
          </w:p>
        </w:tc>
      </w:tr>
      <w:tr w:rsidR="00DD4179" w14:paraId="26574367" w14:textId="77777777" w:rsidTr="00DD4179">
        <w:trPr>
          <w:trHeight w:val="288"/>
          <w:jc w:val="center"/>
        </w:trPr>
        <w:tc>
          <w:tcPr>
            <w:tcW w:w="1240" w:type="dxa"/>
            <w:tcBorders>
              <w:top w:val="nil"/>
              <w:left w:val="nil"/>
              <w:bottom w:val="nil"/>
              <w:right w:val="nil"/>
            </w:tcBorders>
            <w:noWrap/>
            <w:vAlign w:val="center"/>
            <w:hideMark/>
          </w:tcPr>
          <w:p w14:paraId="41BA14F1" w14:textId="77777777" w:rsidR="00DD4179" w:rsidRDefault="00DD4179" w:rsidP="00DD4179">
            <w:pPr>
              <w:jc w:val="center"/>
              <w:rPr>
                <w:i/>
                <w:iCs/>
                <w:color w:val="000000"/>
                <w:sz w:val="20"/>
                <w:szCs w:val="20"/>
              </w:rPr>
            </w:pPr>
            <w:r>
              <w:rPr>
                <w:i/>
                <w:iCs/>
                <w:color w:val="000000"/>
                <w:sz w:val="20"/>
                <w:szCs w:val="20"/>
              </w:rPr>
              <w:t>Lev</w:t>
            </w:r>
          </w:p>
        </w:tc>
        <w:tc>
          <w:tcPr>
            <w:tcW w:w="1240" w:type="dxa"/>
            <w:tcBorders>
              <w:top w:val="nil"/>
              <w:left w:val="nil"/>
              <w:bottom w:val="nil"/>
              <w:right w:val="nil"/>
            </w:tcBorders>
            <w:noWrap/>
            <w:vAlign w:val="center"/>
            <w:hideMark/>
          </w:tcPr>
          <w:p w14:paraId="1AC23DF1" w14:textId="18B91AAF" w:rsidR="00DD4179" w:rsidRDefault="00DD4179" w:rsidP="00DD4179">
            <w:pPr>
              <w:jc w:val="center"/>
              <w:rPr>
                <w:color w:val="000000"/>
                <w:sz w:val="20"/>
                <w:szCs w:val="20"/>
              </w:rPr>
            </w:pPr>
            <w:r>
              <w:rPr>
                <w:color w:val="000000"/>
                <w:sz w:val="20"/>
                <w:szCs w:val="20"/>
              </w:rPr>
              <w:t>119</w:t>
            </w:r>
          </w:p>
        </w:tc>
        <w:tc>
          <w:tcPr>
            <w:tcW w:w="1240" w:type="dxa"/>
            <w:tcBorders>
              <w:top w:val="nil"/>
              <w:left w:val="nil"/>
              <w:bottom w:val="nil"/>
              <w:right w:val="nil"/>
            </w:tcBorders>
            <w:noWrap/>
            <w:vAlign w:val="center"/>
            <w:hideMark/>
          </w:tcPr>
          <w:p w14:paraId="28CEF89B" w14:textId="10415889" w:rsidR="00DD4179" w:rsidRDefault="00DD4179" w:rsidP="00DD4179">
            <w:pPr>
              <w:jc w:val="center"/>
              <w:rPr>
                <w:color w:val="000000"/>
                <w:sz w:val="20"/>
                <w:szCs w:val="20"/>
              </w:rPr>
            </w:pPr>
            <w:r>
              <w:rPr>
                <w:color w:val="000000"/>
                <w:sz w:val="20"/>
                <w:szCs w:val="20"/>
              </w:rPr>
              <w:t>0.915</w:t>
            </w:r>
          </w:p>
        </w:tc>
        <w:tc>
          <w:tcPr>
            <w:tcW w:w="1240" w:type="dxa"/>
            <w:tcBorders>
              <w:top w:val="nil"/>
              <w:left w:val="nil"/>
              <w:bottom w:val="nil"/>
              <w:right w:val="nil"/>
            </w:tcBorders>
            <w:noWrap/>
            <w:vAlign w:val="center"/>
            <w:hideMark/>
          </w:tcPr>
          <w:p w14:paraId="272412AD" w14:textId="35EE32A6" w:rsidR="00DD4179" w:rsidRDefault="00DD4179" w:rsidP="00DD4179">
            <w:pPr>
              <w:jc w:val="center"/>
              <w:rPr>
                <w:color w:val="000000"/>
                <w:sz w:val="20"/>
                <w:szCs w:val="20"/>
              </w:rPr>
            </w:pPr>
            <w:r>
              <w:rPr>
                <w:color w:val="000000"/>
                <w:sz w:val="20"/>
                <w:szCs w:val="20"/>
              </w:rPr>
              <w:t>0.031</w:t>
            </w:r>
          </w:p>
        </w:tc>
        <w:tc>
          <w:tcPr>
            <w:tcW w:w="1240" w:type="dxa"/>
            <w:tcBorders>
              <w:top w:val="nil"/>
              <w:left w:val="nil"/>
              <w:bottom w:val="nil"/>
              <w:right w:val="nil"/>
            </w:tcBorders>
            <w:noWrap/>
            <w:vAlign w:val="center"/>
            <w:hideMark/>
          </w:tcPr>
          <w:p w14:paraId="2DED2B73" w14:textId="0E19CA99" w:rsidR="00DD4179" w:rsidRDefault="00DD4179" w:rsidP="00DD4179">
            <w:pPr>
              <w:jc w:val="center"/>
              <w:rPr>
                <w:color w:val="000000"/>
                <w:sz w:val="20"/>
                <w:szCs w:val="20"/>
              </w:rPr>
            </w:pPr>
            <w:r>
              <w:rPr>
                <w:color w:val="000000"/>
                <w:sz w:val="20"/>
                <w:szCs w:val="20"/>
              </w:rPr>
              <w:t>0.831</w:t>
            </w:r>
          </w:p>
        </w:tc>
        <w:tc>
          <w:tcPr>
            <w:tcW w:w="1240" w:type="dxa"/>
            <w:tcBorders>
              <w:top w:val="nil"/>
              <w:left w:val="nil"/>
              <w:bottom w:val="nil"/>
              <w:right w:val="nil"/>
            </w:tcBorders>
            <w:noWrap/>
            <w:vAlign w:val="center"/>
            <w:hideMark/>
          </w:tcPr>
          <w:p w14:paraId="7EA8A1E1" w14:textId="0E7DFD37" w:rsidR="00DD4179" w:rsidRDefault="00DD4179" w:rsidP="00DD4179">
            <w:pPr>
              <w:jc w:val="center"/>
              <w:rPr>
                <w:color w:val="000000"/>
                <w:sz w:val="20"/>
                <w:szCs w:val="20"/>
              </w:rPr>
            </w:pPr>
            <w:r>
              <w:rPr>
                <w:color w:val="000000"/>
                <w:sz w:val="20"/>
                <w:szCs w:val="20"/>
              </w:rPr>
              <w:t>0.958</w:t>
            </w:r>
          </w:p>
        </w:tc>
      </w:tr>
      <w:tr w:rsidR="00DD4179" w14:paraId="1E00F113" w14:textId="77777777" w:rsidTr="00DD4179">
        <w:trPr>
          <w:trHeight w:val="288"/>
          <w:jc w:val="center"/>
        </w:trPr>
        <w:tc>
          <w:tcPr>
            <w:tcW w:w="1240" w:type="dxa"/>
            <w:tcBorders>
              <w:top w:val="nil"/>
              <w:left w:val="nil"/>
              <w:bottom w:val="nil"/>
              <w:right w:val="nil"/>
            </w:tcBorders>
            <w:noWrap/>
            <w:vAlign w:val="center"/>
            <w:hideMark/>
          </w:tcPr>
          <w:p w14:paraId="7CC19A42" w14:textId="77777777" w:rsidR="00DD4179" w:rsidRDefault="00DD4179" w:rsidP="00DD4179">
            <w:pPr>
              <w:jc w:val="center"/>
              <w:rPr>
                <w:i/>
                <w:iCs/>
                <w:color w:val="000000"/>
                <w:sz w:val="20"/>
                <w:szCs w:val="20"/>
              </w:rPr>
            </w:pPr>
            <w:r>
              <w:rPr>
                <w:i/>
                <w:iCs/>
                <w:color w:val="000000"/>
                <w:sz w:val="20"/>
                <w:szCs w:val="20"/>
              </w:rPr>
              <w:t>ROA</w:t>
            </w:r>
          </w:p>
        </w:tc>
        <w:tc>
          <w:tcPr>
            <w:tcW w:w="1240" w:type="dxa"/>
            <w:tcBorders>
              <w:top w:val="nil"/>
              <w:left w:val="nil"/>
              <w:bottom w:val="nil"/>
              <w:right w:val="nil"/>
            </w:tcBorders>
            <w:noWrap/>
            <w:vAlign w:val="center"/>
            <w:hideMark/>
          </w:tcPr>
          <w:p w14:paraId="2A47DFFF" w14:textId="1267F236" w:rsidR="00DD4179" w:rsidRDefault="00DD4179" w:rsidP="00DD4179">
            <w:pPr>
              <w:jc w:val="center"/>
              <w:rPr>
                <w:color w:val="000000"/>
                <w:sz w:val="20"/>
                <w:szCs w:val="20"/>
              </w:rPr>
            </w:pPr>
            <w:r>
              <w:rPr>
                <w:color w:val="000000"/>
                <w:sz w:val="20"/>
                <w:szCs w:val="20"/>
              </w:rPr>
              <w:t>119</w:t>
            </w:r>
          </w:p>
        </w:tc>
        <w:tc>
          <w:tcPr>
            <w:tcW w:w="1240" w:type="dxa"/>
            <w:tcBorders>
              <w:top w:val="nil"/>
              <w:left w:val="nil"/>
              <w:bottom w:val="nil"/>
              <w:right w:val="nil"/>
            </w:tcBorders>
            <w:noWrap/>
            <w:vAlign w:val="center"/>
            <w:hideMark/>
          </w:tcPr>
          <w:p w14:paraId="22690398" w14:textId="38C3C32E" w:rsidR="00DD4179" w:rsidRDefault="00DD4179" w:rsidP="00DD4179">
            <w:pPr>
              <w:jc w:val="center"/>
              <w:rPr>
                <w:color w:val="000000"/>
                <w:sz w:val="20"/>
                <w:szCs w:val="20"/>
              </w:rPr>
            </w:pPr>
            <w:r>
              <w:rPr>
                <w:color w:val="000000"/>
                <w:sz w:val="20"/>
                <w:szCs w:val="20"/>
              </w:rPr>
              <w:t>0.013</w:t>
            </w:r>
          </w:p>
        </w:tc>
        <w:tc>
          <w:tcPr>
            <w:tcW w:w="1240" w:type="dxa"/>
            <w:tcBorders>
              <w:top w:val="nil"/>
              <w:left w:val="nil"/>
              <w:bottom w:val="nil"/>
              <w:right w:val="nil"/>
            </w:tcBorders>
            <w:noWrap/>
            <w:vAlign w:val="center"/>
            <w:hideMark/>
          </w:tcPr>
          <w:p w14:paraId="31BB9C69" w14:textId="49239314" w:rsidR="00DD4179" w:rsidRDefault="00DD4179" w:rsidP="00DD4179">
            <w:pPr>
              <w:jc w:val="center"/>
              <w:rPr>
                <w:color w:val="000000"/>
                <w:sz w:val="20"/>
                <w:szCs w:val="20"/>
              </w:rPr>
            </w:pPr>
            <w:r>
              <w:rPr>
                <w:color w:val="000000"/>
                <w:sz w:val="20"/>
                <w:szCs w:val="20"/>
              </w:rPr>
              <w:t>0.007</w:t>
            </w:r>
          </w:p>
        </w:tc>
        <w:tc>
          <w:tcPr>
            <w:tcW w:w="1240" w:type="dxa"/>
            <w:tcBorders>
              <w:top w:val="nil"/>
              <w:left w:val="nil"/>
              <w:bottom w:val="nil"/>
              <w:right w:val="nil"/>
            </w:tcBorders>
            <w:noWrap/>
            <w:vAlign w:val="center"/>
            <w:hideMark/>
          </w:tcPr>
          <w:p w14:paraId="056C38D9" w14:textId="74CE3829" w:rsidR="00DD4179" w:rsidRDefault="00DD4179" w:rsidP="00DD4179">
            <w:pPr>
              <w:jc w:val="center"/>
              <w:rPr>
                <w:color w:val="000000"/>
                <w:sz w:val="20"/>
                <w:szCs w:val="20"/>
              </w:rPr>
            </w:pPr>
            <w:r>
              <w:rPr>
                <w:color w:val="000000"/>
                <w:sz w:val="20"/>
                <w:szCs w:val="20"/>
              </w:rPr>
              <w:t>0.000</w:t>
            </w:r>
          </w:p>
        </w:tc>
        <w:tc>
          <w:tcPr>
            <w:tcW w:w="1240" w:type="dxa"/>
            <w:tcBorders>
              <w:top w:val="nil"/>
              <w:left w:val="nil"/>
              <w:bottom w:val="nil"/>
              <w:right w:val="nil"/>
            </w:tcBorders>
            <w:noWrap/>
            <w:vAlign w:val="center"/>
            <w:hideMark/>
          </w:tcPr>
          <w:p w14:paraId="23CD8200" w14:textId="264D6B31" w:rsidR="00DD4179" w:rsidRDefault="00DD4179" w:rsidP="00DD4179">
            <w:pPr>
              <w:jc w:val="center"/>
              <w:rPr>
                <w:color w:val="000000"/>
                <w:sz w:val="20"/>
                <w:szCs w:val="20"/>
              </w:rPr>
            </w:pPr>
            <w:r>
              <w:rPr>
                <w:color w:val="000000"/>
                <w:sz w:val="20"/>
                <w:szCs w:val="20"/>
              </w:rPr>
              <w:t>0.029</w:t>
            </w:r>
          </w:p>
        </w:tc>
      </w:tr>
      <w:tr w:rsidR="00DD4179" w14:paraId="733CBAB8" w14:textId="77777777" w:rsidTr="00DD4179">
        <w:trPr>
          <w:trHeight w:val="288"/>
          <w:jc w:val="center"/>
        </w:trPr>
        <w:tc>
          <w:tcPr>
            <w:tcW w:w="1240" w:type="dxa"/>
            <w:tcBorders>
              <w:top w:val="nil"/>
              <w:left w:val="nil"/>
              <w:bottom w:val="nil"/>
              <w:right w:val="nil"/>
            </w:tcBorders>
            <w:noWrap/>
            <w:vAlign w:val="center"/>
            <w:hideMark/>
          </w:tcPr>
          <w:p w14:paraId="252D2CC9" w14:textId="77777777" w:rsidR="00DD4179" w:rsidRDefault="00DD4179" w:rsidP="00DD4179">
            <w:pPr>
              <w:jc w:val="center"/>
              <w:rPr>
                <w:i/>
                <w:iCs/>
                <w:color w:val="000000"/>
                <w:sz w:val="20"/>
                <w:szCs w:val="20"/>
              </w:rPr>
            </w:pPr>
            <w:r>
              <w:rPr>
                <w:i/>
                <w:iCs/>
                <w:color w:val="000000"/>
                <w:sz w:val="20"/>
                <w:szCs w:val="20"/>
              </w:rPr>
              <w:t>Growth</w:t>
            </w:r>
          </w:p>
        </w:tc>
        <w:tc>
          <w:tcPr>
            <w:tcW w:w="1240" w:type="dxa"/>
            <w:tcBorders>
              <w:top w:val="nil"/>
              <w:left w:val="nil"/>
              <w:bottom w:val="nil"/>
              <w:right w:val="nil"/>
            </w:tcBorders>
            <w:noWrap/>
            <w:vAlign w:val="center"/>
            <w:hideMark/>
          </w:tcPr>
          <w:p w14:paraId="511BEE6A" w14:textId="0315F8AB" w:rsidR="00DD4179" w:rsidRDefault="00DD4179" w:rsidP="00DD4179">
            <w:pPr>
              <w:jc w:val="center"/>
              <w:rPr>
                <w:color w:val="000000"/>
                <w:sz w:val="20"/>
                <w:szCs w:val="20"/>
              </w:rPr>
            </w:pPr>
            <w:r>
              <w:rPr>
                <w:color w:val="000000"/>
                <w:sz w:val="20"/>
                <w:szCs w:val="20"/>
              </w:rPr>
              <w:t>119</w:t>
            </w:r>
          </w:p>
        </w:tc>
        <w:tc>
          <w:tcPr>
            <w:tcW w:w="1240" w:type="dxa"/>
            <w:tcBorders>
              <w:top w:val="nil"/>
              <w:left w:val="nil"/>
              <w:bottom w:val="nil"/>
              <w:right w:val="nil"/>
            </w:tcBorders>
            <w:noWrap/>
            <w:vAlign w:val="center"/>
            <w:hideMark/>
          </w:tcPr>
          <w:p w14:paraId="379638B7" w14:textId="7CF15EA1" w:rsidR="00DD4179" w:rsidRDefault="00DD4179" w:rsidP="00DD4179">
            <w:pPr>
              <w:jc w:val="center"/>
              <w:rPr>
                <w:color w:val="000000"/>
                <w:sz w:val="20"/>
                <w:szCs w:val="20"/>
              </w:rPr>
            </w:pPr>
            <w:r>
              <w:rPr>
                <w:color w:val="000000"/>
                <w:sz w:val="20"/>
                <w:szCs w:val="20"/>
              </w:rPr>
              <w:t>0.189</w:t>
            </w:r>
          </w:p>
        </w:tc>
        <w:tc>
          <w:tcPr>
            <w:tcW w:w="1240" w:type="dxa"/>
            <w:tcBorders>
              <w:top w:val="nil"/>
              <w:left w:val="nil"/>
              <w:bottom w:val="nil"/>
              <w:right w:val="nil"/>
            </w:tcBorders>
            <w:noWrap/>
            <w:vAlign w:val="center"/>
            <w:hideMark/>
          </w:tcPr>
          <w:p w14:paraId="190AA704" w14:textId="52C854A1" w:rsidR="00DD4179" w:rsidRDefault="00DD4179" w:rsidP="00DD4179">
            <w:pPr>
              <w:jc w:val="center"/>
              <w:rPr>
                <w:color w:val="000000"/>
                <w:sz w:val="20"/>
                <w:szCs w:val="20"/>
              </w:rPr>
            </w:pPr>
            <w:r>
              <w:rPr>
                <w:color w:val="000000"/>
                <w:sz w:val="20"/>
                <w:szCs w:val="20"/>
              </w:rPr>
              <w:t>0.116</w:t>
            </w:r>
          </w:p>
        </w:tc>
        <w:tc>
          <w:tcPr>
            <w:tcW w:w="1240" w:type="dxa"/>
            <w:tcBorders>
              <w:top w:val="nil"/>
              <w:left w:val="nil"/>
              <w:bottom w:val="nil"/>
              <w:right w:val="nil"/>
            </w:tcBorders>
            <w:noWrap/>
            <w:vAlign w:val="center"/>
            <w:hideMark/>
          </w:tcPr>
          <w:p w14:paraId="48B5F275" w14:textId="77777777" w:rsidR="00DD4179" w:rsidRDefault="00DD4179" w:rsidP="00DD4179">
            <w:pPr>
              <w:jc w:val="center"/>
              <w:rPr>
                <w:color w:val="000000"/>
                <w:sz w:val="20"/>
                <w:szCs w:val="20"/>
              </w:rPr>
            </w:pPr>
            <w:r>
              <w:rPr>
                <w:color w:val="000000"/>
                <w:sz w:val="20"/>
                <w:szCs w:val="20"/>
              </w:rPr>
              <w:t>(0.108)</w:t>
            </w:r>
          </w:p>
        </w:tc>
        <w:tc>
          <w:tcPr>
            <w:tcW w:w="1240" w:type="dxa"/>
            <w:tcBorders>
              <w:top w:val="nil"/>
              <w:left w:val="nil"/>
              <w:bottom w:val="nil"/>
              <w:right w:val="nil"/>
            </w:tcBorders>
            <w:noWrap/>
            <w:vAlign w:val="center"/>
            <w:hideMark/>
          </w:tcPr>
          <w:p w14:paraId="07236094" w14:textId="6A6384EB" w:rsidR="00DD4179" w:rsidRDefault="00DD4179" w:rsidP="00DD4179">
            <w:pPr>
              <w:jc w:val="center"/>
              <w:rPr>
                <w:color w:val="000000"/>
                <w:sz w:val="20"/>
                <w:szCs w:val="20"/>
              </w:rPr>
            </w:pPr>
            <w:r>
              <w:rPr>
                <w:color w:val="000000"/>
                <w:sz w:val="20"/>
                <w:szCs w:val="20"/>
              </w:rPr>
              <w:t>0.484</w:t>
            </w:r>
          </w:p>
        </w:tc>
      </w:tr>
      <w:tr w:rsidR="00DD4179" w14:paraId="67445F53" w14:textId="77777777" w:rsidTr="00DD4179">
        <w:trPr>
          <w:trHeight w:val="288"/>
          <w:jc w:val="center"/>
        </w:trPr>
        <w:tc>
          <w:tcPr>
            <w:tcW w:w="1240" w:type="dxa"/>
            <w:tcBorders>
              <w:top w:val="nil"/>
              <w:left w:val="nil"/>
              <w:bottom w:val="nil"/>
              <w:right w:val="nil"/>
            </w:tcBorders>
            <w:noWrap/>
            <w:vAlign w:val="center"/>
            <w:hideMark/>
          </w:tcPr>
          <w:p w14:paraId="7BD42471" w14:textId="77777777" w:rsidR="00DD4179" w:rsidRDefault="00DD4179" w:rsidP="00DD4179">
            <w:pPr>
              <w:jc w:val="center"/>
              <w:rPr>
                <w:i/>
                <w:iCs/>
                <w:color w:val="000000"/>
                <w:sz w:val="20"/>
                <w:szCs w:val="20"/>
              </w:rPr>
            </w:pPr>
            <w:proofErr w:type="spellStart"/>
            <w:r>
              <w:rPr>
                <w:i/>
                <w:iCs/>
                <w:color w:val="000000"/>
                <w:sz w:val="20"/>
                <w:szCs w:val="20"/>
              </w:rPr>
              <w:t>TobinQ</w:t>
            </w:r>
            <w:proofErr w:type="spellEnd"/>
          </w:p>
        </w:tc>
        <w:tc>
          <w:tcPr>
            <w:tcW w:w="1240" w:type="dxa"/>
            <w:tcBorders>
              <w:top w:val="nil"/>
              <w:left w:val="nil"/>
              <w:bottom w:val="nil"/>
              <w:right w:val="nil"/>
            </w:tcBorders>
            <w:noWrap/>
            <w:vAlign w:val="center"/>
            <w:hideMark/>
          </w:tcPr>
          <w:p w14:paraId="14871025" w14:textId="06EF22D0" w:rsidR="00DD4179" w:rsidRDefault="00DD4179" w:rsidP="00DD4179">
            <w:pPr>
              <w:jc w:val="center"/>
              <w:rPr>
                <w:color w:val="000000"/>
                <w:sz w:val="20"/>
                <w:szCs w:val="20"/>
              </w:rPr>
            </w:pPr>
            <w:r>
              <w:rPr>
                <w:color w:val="000000"/>
                <w:sz w:val="20"/>
                <w:szCs w:val="20"/>
              </w:rPr>
              <w:t>115</w:t>
            </w:r>
          </w:p>
        </w:tc>
        <w:tc>
          <w:tcPr>
            <w:tcW w:w="1240" w:type="dxa"/>
            <w:tcBorders>
              <w:top w:val="nil"/>
              <w:left w:val="nil"/>
              <w:bottom w:val="nil"/>
              <w:right w:val="nil"/>
            </w:tcBorders>
            <w:noWrap/>
            <w:vAlign w:val="center"/>
            <w:hideMark/>
          </w:tcPr>
          <w:p w14:paraId="1C83101E" w14:textId="1F172735" w:rsidR="00DD4179" w:rsidRDefault="00DD4179" w:rsidP="00DD4179">
            <w:pPr>
              <w:jc w:val="center"/>
              <w:rPr>
                <w:color w:val="000000"/>
                <w:sz w:val="20"/>
                <w:szCs w:val="20"/>
              </w:rPr>
            </w:pPr>
            <w:r>
              <w:rPr>
                <w:color w:val="000000"/>
                <w:sz w:val="20"/>
                <w:szCs w:val="20"/>
              </w:rPr>
              <w:t>1.058</w:t>
            </w:r>
          </w:p>
        </w:tc>
        <w:tc>
          <w:tcPr>
            <w:tcW w:w="1240" w:type="dxa"/>
            <w:tcBorders>
              <w:top w:val="nil"/>
              <w:left w:val="nil"/>
              <w:bottom w:val="nil"/>
              <w:right w:val="nil"/>
            </w:tcBorders>
            <w:noWrap/>
            <w:vAlign w:val="center"/>
            <w:hideMark/>
          </w:tcPr>
          <w:p w14:paraId="6B0E1CF9" w14:textId="5647E515" w:rsidR="00DD4179" w:rsidRDefault="00DD4179" w:rsidP="00DD4179">
            <w:pPr>
              <w:jc w:val="center"/>
              <w:rPr>
                <w:color w:val="000000"/>
                <w:sz w:val="20"/>
                <w:szCs w:val="20"/>
              </w:rPr>
            </w:pPr>
            <w:r>
              <w:rPr>
                <w:color w:val="000000"/>
                <w:sz w:val="20"/>
                <w:szCs w:val="20"/>
              </w:rPr>
              <w:t>0.138</w:t>
            </w:r>
          </w:p>
        </w:tc>
        <w:tc>
          <w:tcPr>
            <w:tcW w:w="1240" w:type="dxa"/>
            <w:tcBorders>
              <w:top w:val="nil"/>
              <w:left w:val="nil"/>
              <w:bottom w:val="nil"/>
              <w:right w:val="nil"/>
            </w:tcBorders>
            <w:noWrap/>
            <w:vAlign w:val="center"/>
            <w:hideMark/>
          </w:tcPr>
          <w:p w14:paraId="177A60A4" w14:textId="1F2C45C0" w:rsidR="00DD4179" w:rsidRDefault="00DD4179" w:rsidP="00DD4179">
            <w:pPr>
              <w:jc w:val="center"/>
              <w:rPr>
                <w:color w:val="000000"/>
                <w:sz w:val="20"/>
                <w:szCs w:val="20"/>
              </w:rPr>
            </w:pPr>
            <w:r>
              <w:rPr>
                <w:color w:val="000000"/>
                <w:sz w:val="20"/>
                <w:szCs w:val="20"/>
              </w:rPr>
              <w:t>0.866</w:t>
            </w:r>
          </w:p>
        </w:tc>
        <w:tc>
          <w:tcPr>
            <w:tcW w:w="1240" w:type="dxa"/>
            <w:tcBorders>
              <w:top w:val="nil"/>
              <w:left w:val="nil"/>
              <w:bottom w:val="nil"/>
              <w:right w:val="nil"/>
            </w:tcBorders>
            <w:noWrap/>
            <w:vAlign w:val="center"/>
            <w:hideMark/>
          </w:tcPr>
          <w:p w14:paraId="4CDA2182" w14:textId="007C988B" w:rsidR="00DD4179" w:rsidRDefault="00DD4179" w:rsidP="00DD4179">
            <w:pPr>
              <w:jc w:val="center"/>
              <w:rPr>
                <w:color w:val="000000"/>
                <w:sz w:val="20"/>
                <w:szCs w:val="20"/>
              </w:rPr>
            </w:pPr>
            <w:r>
              <w:rPr>
                <w:color w:val="000000"/>
                <w:sz w:val="20"/>
                <w:szCs w:val="20"/>
              </w:rPr>
              <w:t>2.064</w:t>
            </w:r>
          </w:p>
        </w:tc>
      </w:tr>
    </w:tbl>
    <w:p w14:paraId="7F567360" w14:textId="77777777" w:rsidR="00F92F6C" w:rsidRDefault="00F92F6C" w:rsidP="00CD5761">
      <w:pPr>
        <w:spacing w:before="120"/>
        <w:jc w:val="center"/>
        <w:rPr>
          <w:b/>
          <w:sz w:val="20"/>
          <w:szCs w:val="20"/>
        </w:rPr>
      </w:pPr>
    </w:p>
    <w:p w14:paraId="451F3CD3" w14:textId="2EC2B996" w:rsidR="00CD5761" w:rsidRPr="000071E2" w:rsidRDefault="00CD5761" w:rsidP="00CD5761">
      <w:pPr>
        <w:spacing w:before="120"/>
        <w:jc w:val="center"/>
        <w:rPr>
          <w:sz w:val="20"/>
          <w:szCs w:val="20"/>
        </w:rPr>
      </w:pPr>
      <w:r w:rsidRPr="000071E2">
        <w:rPr>
          <w:b/>
          <w:sz w:val="20"/>
          <w:szCs w:val="20"/>
        </w:rPr>
        <w:t xml:space="preserve">Table </w:t>
      </w:r>
      <w:r>
        <w:rPr>
          <w:b/>
          <w:sz w:val="20"/>
          <w:szCs w:val="20"/>
        </w:rPr>
        <w:t>2</w:t>
      </w:r>
      <w:r w:rsidRPr="000071E2">
        <w:rPr>
          <w:b/>
          <w:sz w:val="20"/>
          <w:szCs w:val="20"/>
        </w:rPr>
        <w:t>.</w:t>
      </w:r>
      <w:r w:rsidRPr="000071E2">
        <w:rPr>
          <w:sz w:val="20"/>
          <w:szCs w:val="20"/>
        </w:rPr>
        <w:t xml:space="preserve"> Correlations</w:t>
      </w:r>
    </w:p>
    <w:tbl>
      <w:tblPr>
        <w:tblW w:w="8640" w:type="dxa"/>
        <w:jc w:val="center"/>
        <w:tblLook w:val="04A0" w:firstRow="1" w:lastRow="0" w:firstColumn="1" w:lastColumn="0" w:noHBand="0" w:noVBand="1"/>
      </w:tblPr>
      <w:tblGrid>
        <w:gridCol w:w="960"/>
        <w:gridCol w:w="960"/>
        <w:gridCol w:w="960"/>
        <w:gridCol w:w="960"/>
        <w:gridCol w:w="960"/>
        <w:gridCol w:w="960"/>
        <w:gridCol w:w="960"/>
        <w:gridCol w:w="960"/>
        <w:gridCol w:w="960"/>
      </w:tblGrid>
      <w:tr w:rsidR="00CD5761" w14:paraId="78F83A39" w14:textId="77777777" w:rsidTr="002E1160">
        <w:trPr>
          <w:trHeight w:val="288"/>
          <w:jc w:val="center"/>
        </w:trPr>
        <w:tc>
          <w:tcPr>
            <w:tcW w:w="960" w:type="dxa"/>
            <w:tcBorders>
              <w:top w:val="single" w:sz="4" w:space="0" w:color="auto"/>
              <w:left w:val="nil"/>
              <w:bottom w:val="single" w:sz="4" w:space="0" w:color="auto"/>
              <w:right w:val="nil"/>
            </w:tcBorders>
            <w:noWrap/>
            <w:vAlign w:val="center"/>
            <w:hideMark/>
          </w:tcPr>
          <w:p w14:paraId="5A6D45C4" w14:textId="3B61A769" w:rsidR="00CD5761" w:rsidRDefault="00CD5761" w:rsidP="002E1160">
            <w:pPr>
              <w:jc w:val="center"/>
              <w:rPr>
                <w:i/>
                <w:iCs/>
                <w:color w:val="000000"/>
                <w:sz w:val="20"/>
                <w:szCs w:val="20"/>
              </w:rPr>
            </w:pPr>
          </w:p>
        </w:tc>
        <w:tc>
          <w:tcPr>
            <w:tcW w:w="960" w:type="dxa"/>
            <w:tcBorders>
              <w:top w:val="single" w:sz="4" w:space="0" w:color="auto"/>
              <w:left w:val="nil"/>
              <w:bottom w:val="single" w:sz="4" w:space="0" w:color="auto"/>
              <w:right w:val="nil"/>
            </w:tcBorders>
            <w:noWrap/>
            <w:vAlign w:val="center"/>
            <w:hideMark/>
          </w:tcPr>
          <w:p w14:paraId="2D1A4540" w14:textId="77777777" w:rsidR="00CD5761" w:rsidRDefault="00CD5761" w:rsidP="002E1160">
            <w:pPr>
              <w:jc w:val="center"/>
              <w:rPr>
                <w:i/>
                <w:iCs/>
                <w:sz w:val="20"/>
                <w:szCs w:val="20"/>
              </w:rPr>
            </w:pPr>
            <w:r>
              <w:rPr>
                <w:i/>
                <w:iCs/>
                <w:sz w:val="20"/>
                <w:szCs w:val="20"/>
              </w:rPr>
              <w:t>SYN</w:t>
            </w:r>
          </w:p>
        </w:tc>
        <w:tc>
          <w:tcPr>
            <w:tcW w:w="960" w:type="dxa"/>
            <w:tcBorders>
              <w:top w:val="single" w:sz="4" w:space="0" w:color="auto"/>
              <w:left w:val="nil"/>
              <w:bottom w:val="single" w:sz="4" w:space="0" w:color="auto"/>
              <w:right w:val="nil"/>
            </w:tcBorders>
            <w:noWrap/>
            <w:vAlign w:val="center"/>
            <w:hideMark/>
          </w:tcPr>
          <w:p w14:paraId="63DF61F1" w14:textId="77777777" w:rsidR="00CD5761" w:rsidRDefault="00CD5761" w:rsidP="002E1160">
            <w:pPr>
              <w:jc w:val="center"/>
              <w:rPr>
                <w:i/>
                <w:iCs/>
                <w:sz w:val="20"/>
                <w:szCs w:val="20"/>
              </w:rPr>
            </w:pPr>
            <w:r>
              <w:rPr>
                <w:i/>
                <w:iCs/>
                <w:sz w:val="20"/>
                <w:szCs w:val="20"/>
              </w:rPr>
              <w:t>Rumor</w:t>
            </w:r>
          </w:p>
        </w:tc>
        <w:tc>
          <w:tcPr>
            <w:tcW w:w="960" w:type="dxa"/>
            <w:tcBorders>
              <w:top w:val="single" w:sz="4" w:space="0" w:color="auto"/>
              <w:left w:val="nil"/>
              <w:bottom w:val="single" w:sz="4" w:space="0" w:color="auto"/>
              <w:right w:val="nil"/>
            </w:tcBorders>
            <w:noWrap/>
            <w:vAlign w:val="center"/>
            <w:hideMark/>
          </w:tcPr>
          <w:p w14:paraId="0BBD5583" w14:textId="77777777" w:rsidR="00CD5761" w:rsidRDefault="00CD5761" w:rsidP="002E1160">
            <w:pPr>
              <w:jc w:val="center"/>
              <w:rPr>
                <w:i/>
                <w:iCs/>
                <w:sz w:val="20"/>
                <w:szCs w:val="20"/>
              </w:rPr>
            </w:pPr>
            <w:proofErr w:type="spellStart"/>
            <w:r>
              <w:rPr>
                <w:i/>
                <w:iCs/>
                <w:sz w:val="20"/>
                <w:szCs w:val="20"/>
              </w:rPr>
              <w:t>Rpos</w:t>
            </w:r>
            <w:proofErr w:type="spellEnd"/>
          </w:p>
        </w:tc>
        <w:tc>
          <w:tcPr>
            <w:tcW w:w="960" w:type="dxa"/>
            <w:tcBorders>
              <w:top w:val="single" w:sz="4" w:space="0" w:color="auto"/>
              <w:left w:val="nil"/>
              <w:bottom w:val="single" w:sz="4" w:space="0" w:color="auto"/>
              <w:right w:val="nil"/>
            </w:tcBorders>
            <w:noWrap/>
            <w:vAlign w:val="center"/>
            <w:hideMark/>
          </w:tcPr>
          <w:p w14:paraId="798638D6" w14:textId="77777777" w:rsidR="00CD5761" w:rsidRDefault="00CD5761" w:rsidP="002E1160">
            <w:pPr>
              <w:jc w:val="center"/>
              <w:rPr>
                <w:i/>
                <w:iCs/>
                <w:sz w:val="20"/>
                <w:szCs w:val="20"/>
              </w:rPr>
            </w:pPr>
            <w:proofErr w:type="spellStart"/>
            <w:r>
              <w:rPr>
                <w:i/>
                <w:iCs/>
                <w:sz w:val="20"/>
                <w:szCs w:val="20"/>
              </w:rPr>
              <w:t>Rneg</w:t>
            </w:r>
            <w:proofErr w:type="spellEnd"/>
          </w:p>
        </w:tc>
        <w:tc>
          <w:tcPr>
            <w:tcW w:w="960" w:type="dxa"/>
            <w:tcBorders>
              <w:top w:val="single" w:sz="4" w:space="0" w:color="auto"/>
              <w:left w:val="nil"/>
              <w:bottom w:val="single" w:sz="4" w:space="0" w:color="auto"/>
              <w:right w:val="nil"/>
            </w:tcBorders>
            <w:noWrap/>
            <w:vAlign w:val="center"/>
            <w:hideMark/>
          </w:tcPr>
          <w:p w14:paraId="2D3F5710" w14:textId="77777777" w:rsidR="00CD5761" w:rsidRDefault="00CD5761" w:rsidP="002E1160">
            <w:pPr>
              <w:jc w:val="center"/>
              <w:rPr>
                <w:i/>
                <w:iCs/>
                <w:sz w:val="20"/>
                <w:szCs w:val="20"/>
              </w:rPr>
            </w:pPr>
            <w:r>
              <w:rPr>
                <w:i/>
                <w:iCs/>
                <w:sz w:val="20"/>
                <w:szCs w:val="20"/>
              </w:rPr>
              <w:t>Size</w:t>
            </w:r>
          </w:p>
        </w:tc>
        <w:tc>
          <w:tcPr>
            <w:tcW w:w="960" w:type="dxa"/>
            <w:tcBorders>
              <w:top w:val="single" w:sz="4" w:space="0" w:color="auto"/>
              <w:left w:val="nil"/>
              <w:bottom w:val="single" w:sz="4" w:space="0" w:color="auto"/>
              <w:right w:val="nil"/>
            </w:tcBorders>
            <w:noWrap/>
            <w:vAlign w:val="center"/>
            <w:hideMark/>
          </w:tcPr>
          <w:p w14:paraId="71FBDB40" w14:textId="77777777" w:rsidR="00CD5761" w:rsidRDefault="00CD5761" w:rsidP="002E1160">
            <w:pPr>
              <w:jc w:val="center"/>
              <w:rPr>
                <w:i/>
                <w:iCs/>
                <w:sz w:val="20"/>
                <w:szCs w:val="20"/>
              </w:rPr>
            </w:pPr>
            <w:r>
              <w:rPr>
                <w:i/>
                <w:iCs/>
                <w:sz w:val="20"/>
                <w:szCs w:val="20"/>
              </w:rPr>
              <w:t>Lev</w:t>
            </w:r>
          </w:p>
        </w:tc>
        <w:tc>
          <w:tcPr>
            <w:tcW w:w="960" w:type="dxa"/>
            <w:tcBorders>
              <w:top w:val="single" w:sz="4" w:space="0" w:color="auto"/>
              <w:left w:val="nil"/>
              <w:bottom w:val="single" w:sz="4" w:space="0" w:color="auto"/>
              <w:right w:val="nil"/>
            </w:tcBorders>
            <w:noWrap/>
            <w:vAlign w:val="center"/>
            <w:hideMark/>
          </w:tcPr>
          <w:p w14:paraId="6617094E" w14:textId="77777777" w:rsidR="00CD5761" w:rsidRDefault="00CD5761" w:rsidP="002E1160">
            <w:pPr>
              <w:jc w:val="center"/>
              <w:rPr>
                <w:i/>
                <w:iCs/>
                <w:sz w:val="20"/>
                <w:szCs w:val="20"/>
              </w:rPr>
            </w:pPr>
            <w:r>
              <w:rPr>
                <w:i/>
                <w:iCs/>
                <w:sz w:val="20"/>
                <w:szCs w:val="20"/>
              </w:rPr>
              <w:t>ROA</w:t>
            </w:r>
          </w:p>
        </w:tc>
        <w:tc>
          <w:tcPr>
            <w:tcW w:w="960" w:type="dxa"/>
            <w:tcBorders>
              <w:top w:val="single" w:sz="4" w:space="0" w:color="auto"/>
              <w:left w:val="nil"/>
              <w:bottom w:val="single" w:sz="4" w:space="0" w:color="auto"/>
              <w:right w:val="nil"/>
            </w:tcBorders>
            <w:noWrap/>
            <w:vAlign w:val="center"/>
            <w:hideMark/>
          </w:tcPr>
          <w:p w14:paraId="1CCCD446" w14:textId="77777777" w:rsidR="00CD5761" w:rsidRDefault="00CD5761" w:rsidP="002E1160">
            <w:pPr>
              <w:jc w:val="center"/>
              <w:rPr>
                <w:i/>
                <w:iCs/>
                <w:sz w:val="20"/>
                <w:szCs w:val="20"/>
              </w:rPr>
            </w:pPr>
            <w:r>
              <w:rPr>
                <w:i/>
                <w:iCs/>
                <w:sz w:val="20"/>
                <w:szCs w:val="20"/>
              </w:rPr>
              <w:t>Growth</w:t>
            </w:r>
          </w:p>
        </w:tc>
      </w:tr>
      <w:tr w:rsidR="00CD5761" w14:paraId="40E61182" w14:textId="77777777" w:rsidTr="002E1160">
        <w:trPr>
          <w:trHeight w:val="288"/>
          <w:jc w:val="center"/>
        </w:trPr>
        <w:tc>
          <w:tcPr>
            <w:tcW w:w="960" w:type="dxa"/>
            <w:tcBorders>
              <w:top w:val="nil"/>
              <w:left w:val="nil"/>
              <w:bottom w:val="nil"/>
              <w:right w:val="nil"/>
            </w:tcBorders>
            <w:noWrap/>
            <w:vAlign w:val="center"/>
            <w:hideMark/>
          </w:tcPr>
          <w:p w14:paraId="65DE90C5" w14:textId="77777777" w:rsidR="00CD5761" w:rsidRDefault="00CD5761" w:rsidP="002E1160">
            <w:pPr>
              <w:jc w:val="center"/>
              <w:rPr>
                <w:i/>
                <w:iCs/>
                <w:sz w:val="20"/>
                <w:szCs w:val="20"/>
              </w:rPr>
            </w:pPr>
            <w:r>
              <w:rPr>
                <w:i/>
                <w:iCs/>
                <w:sz w:val="20"/>
                <w:szCs w:val="20"/>
              </w:rPr>
              <w:t>SYN</w:t>
            </w:r>
          </w:p>
        </w:tc>
        <w:tc>
          <w:tcPr>
            <w:tcW w:w="960" w:type="dxa"/>
            <w:tcBorders>
              <w:top w:val="nil"/>
              <w:left w:val="nil"/>
              <w:bottom w:val="nil"/>
              <w:right w:val="nil"/>
            </w:tcBorders>
            <w:noWrap/>
            <w:vAlign w:val="center"/>
            <w:hideMark/>
          </w:tcPr>
          <w:p w14:paraId="2664BD58" w14:textId="67D53596" w:rsidR="00CD5761" w:rsidRDefault="00CD5761" w:rsidP="002E1160">
            <w:pPr>
              <w:jc w:val="center"/>
              <w:rPr>
                <w:color w:val="000000"/>
                <w:sz w:val="20"/>
                <w:szCs w:val="20"/>
              </w:rPr>
            </w:pPr>
            <w:r>
              <w:rPr>
                <w:color w:val="000000"/>
                <w:sz w:val="20"/>
                <w:szCs w:val="20"/>
              </w:rPr>
              <w:t>1.00</w:t>
            </w:r>
          </w:p>
        </w:tc>
        <w:tc>
          <w:tcPr>
            <w:tcW w:w="960" w:type="dxa"/>
            <w:tcBorders>
              <w:top w:val="nil"/>
              <w:left w:val="nil"/>
              <w:bottom w:val="nil"/>
              <w:right w:val="nil"/>
            </w:tcBorders>
            <w:noWrap/>
            <w:vAlign w:val="center"/>
            <w:hideMark/>
          </w:tcPr>
          <w:p w14:paraId="01C0A267" w14:textId="77777777" w:rsidR="00CD5761" w:rsidRDefault="00CD5761" w:rsidP="002E1160">
            <w:pPr>
              <w:jc w:val="center"/>
              <w:rPr>
                <w:color w:val="000000"/>
                <w:sz w:val="20"/>
                <w:szCs w:val="20"/>
              </w:rPr>
            </w:pPr>
            <w:r>
              <w:rPr>
                <w:color w:val="000000"/>
                <w:sz w:val="20"/>
                <w:szCs w:val="20"/>
              </w:rPr>
              <w:t>0.08</w:t>
            </w:r>
          </w:p>
        </w:tc>
        <w:tc>
          <w:tcPr>
            <w:tcW w:w="960" w:type="dxa"/>
            <w:tcBorders>
              <w:top w:val="nil"/>
              <w:left w:val="nil"/>
              <w:bottom w:val="nil"/>
              <w:right w:val="nil"/>
            </w:tcBorders>
            <w:noWrap/>
            <w:vAlign w:val="center"/>
            <w:hideMark/>
          </w:tcPr>
          <w:p w14:paraId="5622FD31" w14:textId="77777777" w:rsidR="00CD5761" w:rsidRDefault="00CD5761" w:rsidP="002E1160">
            <w:pPr>
              <w:jc w:val="center"/>
              <w:rPr>
                <w:color w:val="000000"/>
                <w:sz w:val="20"/>
                <w:szCs w:val="20"/>
              </w:rPr>
            </w:pPr>
            <w:r>
              <w:rPr>
                <w:color w:val="000000"/>
                <w:sz w:val="20"/>
                <w:szCs w:val="20"/>
              </w:rPr>
              <w:t>0.10</w:t>
            </w:r>
          </w:p>
        </w:tc>
        <w:tc>
          <w:tcPr>
            <w:tcW w:w="960" w:type="dxa"/>
            <w:tcBorders>
              <w:top w:val="nil"/>
              <w:left w:val="nil"/>
              <w:bottom w:val="nil"/>
              <w:right w:val="nil"/>
            </w:tcBorders>
            <w:noWrap/>
            <w:vAlign w:val="center"/>
            <w:hideMark/>
          </w:tcPr>
          <w:p w14:paraId="17582E5A" w14:textId="77777777" w:rsidR="00CD5761" w:rsidRDefault="00CD5761" w:rsidP="002E1160">
            <w:pPr>
              <w:jc w:val="center"/>
              <w:rPr>
                <w:color w:val="000000"/>
                <w:sz w:val="20"/>
                <w:szCs w:val="20"/>
              </w:rPr>
            </w:pPr>
            <w:r>
              <w:rPr>
                <w:color w:val="000000"/>
                <w:sz w:val="20"/>
                <w:szCs w:val="20"/>
              </w:rPr>
              <w:t>0.08</w:t>
            </w:r>
          </w:p>
        </w:tc>
        <w:tc>
          <w:tcPr>
            <w:tcW w:w="960" w:type="dxa"/>
            <w:tcBorders>
              <w:top w:val="nil"/>
              <w:left w:val="nil"/>
              <w:bottom w:val="nil"/>
              <w:right w:val="nil"/>
            </w:tcBorders>
            <w:noWrap/>
            <w:vAlign w:val="center"/>
            <w:hideMark/>
          </w:tcPr>
          <w:p w14:paraId="2CF6EC3E" w14:textId="77777777" w:rsidR="00CD5761" w:rsidRDefault="00CD5761" w:rsidP="002E1160">
            <w:pPr>
              <w:jc w:val="center"/>
              <w:rPr>
                <w:color w:val="000000"/>
                <w:sz w:val="20"/>
                <w:szCs w:val="20"/>
              </w:rPr>
            </w:pPr>
            <w:r>
              <w:rPr>
                <w:color w:val="000000"/>
                <w:sz w:val="20"/>
                <w:szCs w:val="20"/>
              </w:rPr>
              <w:t>0.68***</w:t>
            </w:r>
          </w:p>
        </w:tc>
        <w:tc>
          <w:tcPr>
            <w:tcW w:w="960" w:type="dxa"/>
            <w:tcBorders>
              <w:top w:val="nil"/>
              <w:left w:val="nil"/>
              <w:bottom w:val="nil"/>
              <w:right w:val="nil"/>
            </w:tcBorders>
            <w:noWrap/>
            <w:vAlign w:val="center"/>
            <w:hideMark/>
          </w:tcPr>
          <w:p w14:paraId="17D1CD2F" w14:textId="77777777" w:rsidR="00CD5761" w:rsidRDefault="00CD5761" w:rsidP="002E1160">
            <w:pPr>
              <w:jc w:val="center"/>
              <w:rPr>
                <w:color w:val="000000"/>
                <w:sz w:val="20"/>
                <w:szCs w:val="20"/>
              </w:rPr>
            </w:pPr>
            <w:r>
              <w:rPr>
                <w:color w:val="000000"/>
                <w:sz w:val="20"/>
                <w:szCs w:val="20"/>
              </w:rPr>
              <w:t>-0.18**</w:t>
            </w:r>
          </w:p>
        </w:tc>
        <w:tc>
          <w:tcPr>
            <w:tcW w:w="960" w:type="dxa"/>
            <w:tcBorders>
              <w:top w:val="nil"/>
              <w:left w:val="nil"/>
              <w:bottom w:val="nil"/>
              <w:right w:val="nil"/>
            </w:tcBorders>
            <w:noWrap/>
            <w:vAlign w:val="center"/>
            <w:hideMark/>
          </w:tcPr>
          <w:p w14:paraId="66B94290" w14:textId="77777777" w:rsidR="00CD5761" w:rsidRDefault="00CD5761" w:rsidP="002E1160">
            <w:pPr>
              <w:jc w:val="center"/>
              <w:rPr>
                <w:color w:val="000000"/>
                <w:sz w:val="20"/>
                <w:szCs w:val="20"/>
              </w:rPr>
            </w:pPr>
            <w:r>
              <w:rPr>
                <w:color w:val="000000"/>
                <w:sz w:val="20"/>
                <w:szCs w:val="20"/>
              </w:rPr>
              <w:t>0.44***</w:t>
            </w:r>
          </w:p>
        </w:tc>
        <w:tc>
          <w:tcPr>
            <w:tcW w:w="960" w:type="dxa"/>
            <w:tcBorders>
              <w:top w:val="nil"/>
              <w:left w:val="nil"/>
              <w:bottom w:val="nil"/>
              <w:right w:val="nil"/>
            </w:tcBorders>
            <w:noWrap/>
            <w:vAlign w:val="center"/>
            <w:hideMark/>
          </w:tcPr>
          <w:p w14:paraId="6C3B7AE2" w14:textId="77777777" w:rsidR="00CD5761" w:rsidRDefault="00CD5761" w:rsidP="002E1160">
            <w:pPr>
              <w:jc w:val="center"/>
              <w:rPr>
                <w:color w:val="000000"/>
                <w:sz w:val="20"/>
                <w:szCs w:val="20"/>
              </w:rPr>
            </w:pPr>
            <w:r>
              <w:rPr>
                <w:color w:val="000000"/>
                <w:sz w:val="20"/>
                <w:szCs w:val="20"/>
              </w:rPr>
              <w:t>0.09</w:t>
            </w:r>
          </w:p>
        </w:tc>
      </w:tr>
      <w:tr w:rsidR="00CD5761" w14:paraId="7BC73F4D" w14:textId="77777777" w:rsidTr="002E1160">
        <w:trPr>
          <w:trHeight w:val="288"/>
          <w:jc w:val="center"/>
        </w:trPr>
        <w:tc>
          <w:tcPr>
            <w:tcW w:w="960" w:type="dxa"/>
            <w:tcBorders>
              <w:top w:val="nil"/>
              <w:left w:val="nil"/>
              <w:bottom w:val="nil"/>
              <w:right w:val="nil"/>
            </w:tcBorders>
            <w:noWrap/>
            <w:vAlign w:val="center"/>
            <w:hideMark/>
          </w:tcPr>
          <w:p w14:paraId="553A8729" w14:textId="77777777" w:rsidR="00CD5761" w:rsidRDefault="00CD5761" w:rsidP="002E1160">
            <w:pPr>
              <w:jc w:val="center"/>
              <w:rPr>
                <w:i/>
                <w:iCs/>
                <w:sz w:val="20"/>
                <w:szCs w:val="20"/>
              </w:rPr>
            </w:pPr>
            <w:r>
              <w:rPr>
                <w:i/>
                <w:iCs/>
                <w:sz w:val="20"/>
                <w:szCs w:val="20"/>
              </w:rPr>
              <w:t>Rumor</w:t>
            </w:r>
          </w:p>
        </w:tc>
        <w:tc>
          <w:tcPr>
            <w:tcW w:w="960" w:type="dxa"/>
            <w:tcBorders>
              <w:top w:val="nil"/>
              <w:left w:val="nil"/>
              <w:bottom w:val="nil"/>
              <w:right w:val="nil"/>
            </w:tcBorders>
            <w:noWrap/>
            <w:vAlign w:val="center"/>
            <w:hideMark/>
          </w:tcPr>
          <w:p w14:paraId="41600F0E" w14:textId="77777777" w:rsidR="00CD5761" w:rsidRDefault="00CD5761" w:rsidP="002E1160">
            <w:pPr>
              <w:jc w:val="center"/>
              <w:rPr>
                <w:color w:val="000000"/>
                <w:sz w:val="20"/>
                <w:szCs w:val="20"/>
              </w:rPr>
            </w:pPr>
            <w:r>
              <w:rPr>
                <w:color w:val="000000"/>
                <w:sz w:val="20"/>
                <w:szCs w:val="20"/>
              </w:rPr>
              <w:t>0.08</w:t>
            </w:r>
          </w:p>
        </w:tc>
        <w:tc>
          <w:tcPr>
            <w:tcW w:w="960" w:type="dxa"/>
            <w:tcBorders>
              <w:top w:val="nil"/>
              <w:left w:val="nil"/>
              <w:bottom w:val="nil"/>
              <w:right w:val="nil"/>
            </w:tcBorders>
            <w:noWrap/>
            <w:vAlign w:val="center"/>
            <w:hideMark/>
          </w:tcPr>
          <w:p w14:paraId="1D2E59CA" w14:textId="276C06C4" w:rsidR="00CD5761" w:rsidRDefault="00CD5761" w:rsidP="002E1160">
            <w:pPr>
              <w:jc w:val="center"/>
              <w:rPr>
                <w:color w:val="000000"/>
                <w:sz w:val="20"/>
                <w:szCs w:val="20"/>
              </w:rPr>
            </w:pPr>
            <w:r>
              <w:rPr>
                <w:color w:val="000000"/>
                <w:sz w:val="20"/>
                <w:szCs w:val="20"/>
              </w:rPr>
              <w:t>1.00</w:t>
            </w:r>
          </w:p>
        </w:tc>
        <w:tc>
          <w:tcPr>
            <w:tcW w:w="960" w:type="dxa"/>
            <w:tcBorders>
              <w:top w:val="nil"/>
              <w:left w:val="nil"/>
              <w:bottom w:val="nil"/>
              <w:right w:val="nil"/>
            </w:tcBorders>
            <w:noWrap/>
            <w:vAlign w:val="center"/>
            <w:hideMark/>
          </w:tcPr>
          <w:p w14:paraId="16375BB9" w14:textId="77777777" w:rsidR="00CD5761" w:rsidRDefault="00CD5761" w:rsidP="002E1160">
            <w:pPr>
              <w:jc w:val="center"/>
              <w:rPr>
                <w:color w:val="000000"/>
                <w:sz w:val="20"/>
                <w:szCs w:val="20"/>
              </w:rPr>
            </w:pPr>
            <w:r>
              <w:rPr>
                <w:color w:val="000000"/>
                <w:sz w:val="20"/>
                <w:szCs w:val="20"/>
              </w:rPr>
              <w:t>0.91***</w:t>
            </w:r>
          </w:p>
        </w:tc>
        <w:tc>
          <w:tcPr>
            <w:tcW w:w="960" w:type="dxa"/>
            <w:tcBorders>
              <w:top w:val="nil"/>
              <w:left w:val="nil"/>
              <w:bottom w:val="nil"/>
              <w:right w:val="nil"/>
            </w:tcBorders>
            <w:noWrap/>
            <w:vAlign w:val="center"/>
            <w:hideMark/>
          </w:tcPr>
          <w:p w14:paraId="64C68AAB" w14:textId="77777777" w:rsidR="00CD5761" w:rsidRDefault="00CD5761" w:rsidP="002E1160">
            <w:pPr>
              <w:jc w:val="center"/>
              <w:rPr>
                <w:color w:val="000000"/>
                <w:sz w:val="20"/>
                <w:szCs w:val="20"/>
              </w:rPr>
            </w:pPr>
            <w:r>
              <w:rPr>
                <w:color w:val="000000"/>
                <w:sz w:val="20"/>
                <w:szCs w:val="20"/>
              </w:rPr>
              <w:t>0.17*</w:t>
            </w:r>
          </w:p>
        </w:tc>
        <w:tc>
          <w:tcPr>
            <w:tcW w:w="960" w:type="dxa"/>
            <w:tcBorders>
              <w:top w:val="nil"/>
              <w:left w:val="nil"/>
              <w:bottom w:val="nil"/>
              <w:right w:val="nil"/>
            </w:tcBorders>
            <w:noWrap/>
            <w:vAlign w:val="center"/>
            <w:hideMark/>
          </w:tcPr>
          <w:p w14:paraId="2FC2A062" w14:textId="77777777" w:rsidR="00CD5761" w:rsidRDefault="00CD5761" w:rsidP="002E1160">
            <w:pPr>
              <w:jc w:val="center"/>
              <w:rPr>
                <w:color w:val="000000"/>
                <w:sz w:val="20"/>
                <w:szCs w:val="20"/>
              </w:rPr>
            </w:pPr>
            <w:r>
              <w:rPr>
                <w:color w:val="000000"/>
                <w:sz w:val="20"/>
                <w:szCs w:val="20"/>
              </w:rPr>
              <w:t>-0.03</w:t>
            </w:r>
          </w:p>
        </w:tc>
        <w:tc>
          <w:tcPr>
            <w:tcW w:w="960" w:type="dxa"/>
            <w:tcBorders>
              <w:top w:val="nil"/>
              <w:left w:val="nil"/>
              <w:bottom w:val="nil"/>
              <w:right w:val="nil"/>
            </w:tcBorders>
            <w:noWrap/>
            <w:vAlign w:val="center"/>
            <w:hideMark/>
          </w:tcPr>
          <w:p w14:paraId="588F9668" w14:textId="77777777" w:rsidR="00CD5761" w:rsidRDefault="00CD5761" w:rsidP="002E1160">
            <w:pPr>
              <w:jc w:val="center"/>
              <w:rPr>
                <w:color w:val="000000"/>
                <w:sz w:val="20"/>
                <w:szCs w:val="20"/>
              </w:rPr>
            </w:pPr>
            <w:r>
              <w:rPr>
                <w:color w:val="000000"/>
                <w:sz w:val="20"/>
                <w:szCs w:val="20"/>
              </w:rPr>
              <w:t>-0.05</w:t>
            </w:r>
          </w:p>
        </w:tc>
        <w:tc>
          <w:tcPr>
            <w:tcW w:w="960" w:type="dxa"/>
            <w:tcBorders>
              <w:top w:val="nil"/>
              <w:left w:val="nil"/>
              <w:bottom w:val="nil"/>
              <w:right w:val="nil"/>
            </w:tcBorders>
            <w:noWrap/>
            <w:vAlign w:val="center"/>
            <w:hideMark/>
          </w:tcPr>
          <w:p w14:paraId="178A0693" w14:textId="77777777" w:rsidR="00CD5761" w:rsidRDefault="00CD5761" w:rsidP="002E1160">
            <w:pPr>
              <w:jc w:val="center"/>
              <w:rPr>
                <w:color w:val="000000"/>
                <w:sz w:val="20"/>
                <w:szCs w:val="20"/>
              </w:rPr>
            </w:pPr>
            <w:r>
              <w:rPr>
                <w:color w:val="000000"/>
                <w:sz w:val="20"/>
                <w:szCs w:val="20"/>
              </w:rPr>
              <w:t>-0.02</w:t>
            </w:r>
          </w:p>
        </w:tc>
        <w:tc>
          <w:tcPr>
            <w:tcW w:w="960" w:type="dxa"/>
            <w:tcBorders>
              <w:top w:val="nil"/>
              <w:left w:val="nil"/>
              <w:bottom w:val="nil"/>
              <w:right w:val="nil"/>
            </w:tcBorders>
            <w:noWrap/>
            <w:vAlign w:val="center"/>
            <w:hideMark/>
          </w:tcPr>
          <w:p w14:paraId="252AF35F" w14:textId="77777777" w:rsidR="00CD5761" w:rsidRDefault="00CD5761" w:rsidP="002E1160">
            <w:pPr>
              <w:jc w:val="center"/>
              <w:rPr>
                <w:color w:val="000000"/>
                <w:sz w:val="20"/>
                <w:szCs w:val="20"/>
              </w:rPr>
            </w:pPr>
            <w:r>
              <w:rPr>
                <w:color w:val="000000"/>
                <w:sz w:val="20"/>
                <w:szCs w:val="20"/>
              </w:rPr>
              <w:t>-0.20**</w:t>
            </w:r>
          </w:p>
        </w:tc>
      </w:tr>
      <w:tr w:rsidR="00CD5761" w14:paraId="4984348B" w14:textId="77777777" w:rsidTr="002E1160">
        <w:trPr>
          <w:trHeight w:val="288"/>
          <w:jc w:val="center"/>
        </w:trPr>
        <w:tc>
          <w:tcPr>
            <w:tcW w:w="960" w:type="dxa"/>
            <w:tcBorders>
              <w:top w:val="nil"/>
              <w:left w:val="nil"/>
              <w:bottom w:val="nil"/>
              <w:right w:val="nil"/>
            </w:tcBorders>
            <w:noWrap/>
            <w:vAlign w:val="center"/>
            <w:hideMark/>
          </w:tcPr>
          <w:p w14:paraId="25D46B3B" w14:textId="77777777" w:rsidR="00CD5761" w:rsidRDefault="00CD5761" w:rsidP="002E1160">
            <w:pPr>
              <w:jc w:val="center"/>
              <w:rPr>
                <w:i/>
                <w:iCs/>
                <w:sz w:val="20"/>
                <w:szCs w:val="20"/>
              </w:rPr>
            </w:pPr>
            <w:proofErr w:type="spellStart"/>
            <w:r>
              <w:rPr>
                <w:i/>
                <w:iCs/>
                <w:sz w:val="20"/>
                <w:szCs w:val="20"/>
              </w:rPr>
              <w:t>Rpos</w:t>
            </w:r>
            <w:proofErr w:type="spellEnd"/>
          </w:p>
        </w:tc>
        <w:tc>
          <w:tcPr>
            <w:tcW w:w="960" w:type="dxa"/>
            <w:tcBorders>
              <w:top w:val="nil"/>
              <w:left w:val="nil"/>
              <w:bottom w:val="nil"/>
              <w:right w:val="nil"/>
            </w:tcBorders>
            <w:noWrap/>
            <w:vAlign w:val="center"/>
            <w:hideMark/>
          </w:tcPr>
          <w:p w14:paraId="61226C75" w14:textId="77777777" w:rsidR="00CD5761" w:rsidRDefault="00CD5761" w:rsidP="002E1160">
            <w:pPr>
              <w:jc w:val="center"/>
              <w:rPr>
                <w:color w:val="000000"/>
                <w:sz w:val="20"/>
                <w:szCs w:val="20"/>
              </w:rPr>
            </w:pPr>
            <w:r>
              <w:rPr>
                <w:color w:val="000000"/>
                <w:sz w:val="20"/>
                <w:szCs w:val="20"/>
              </w:rPr>
              <w:t>0.10</w:t>
            </w:r>
          </w:p>
        </w:tc>
        <w:tc>
          <w:tcPr>
            <w:tcW w:w="960" w:type="dxa"/>
            <w:tcBorders>
              <w:top w:val="nil"/>
              <w:left w:val="nil"/>
              <w:bottom w:val="nil"/>
              <w:right w:val="nil"/>
            </w:tcBorders>
            <w:noWrap/>
            <w:vAlign w:val="center"/>
            <w:hideMark/>
          </w:tcPr>
          <w:p w14:paraId="00A79CEC" w14:textId="77777777" w:rsidR="00CD5761" w:rsidRDefault="00CD5761" w:rsidP="002E1160">
            <w:pPr>
              <w:jc w:val="center"/>
              <w:rPr>
                <w:color w:val="000000"/>
                <w:sz w:val="20"/>
                <w:szCs w:val="20"/>
              </w:rPr>
            </w:pPr>
            <w:r>
              <w:rPr>
                <w:color w:val="000000"/>
                <w:sz w:val="20"/>
                <w:szCs w:val="20"/>
              </w:rPr>
              <w:t>0.91***</w:t>
            </w:r>
          </w:p>
        </w:tc>
        <w:tc>
          <w:tcPr>
            <w:tcW w:w="960" w:type="dxa"/>
            <w:tcBorders>
              <w:top w:val="nil"/>
              <w:left w:val="nil"/>
              <w:bottom w:val="nil"/>
              <w:right w:val="nil"/>
            </w:tcBorders>
            <w:noWrap/>
            <w:vAlign w:val="center"/>
            <w:hideMark/>
          </w:tcPr>
          <w:p w14:paraId="393BCA19" w14:textId="2428D32A" w:rsidR="00CD5761" w:rsidRDefault="00CD5761" w:rsidP="002E1160">
            <w:pPr>
              <w:jc w:val="center"/>
              <w:rPr>
                <w:color w:val="000000"/>
                <w:sz w:val="20"/>
                <w:szCs w:val="20"/>
              </w:rPr>
            </w:pPr>
            <w:r>
              <w:rPr>
                <w:color w:val="000000"/>
                <w:sz w:val="20"/>
                <w:szCs w:val="20"/>
              </w:rPr>
              <w:t>1.0</w:t>
            </w:r>
            <w:r w:rsidR="00806D85">
              <w:rPr>
                <w:color w:val="000000"/>
                <w:sz w:val="20"/>
                <w:szCs w:val="20"/>
              </w:rPr>
              <w:t>0</w:t>
            </w:r>
          </w:p>
        </w:tc>
        <w:tc>
          <w:tcPr>
            <w:tcW w:w="960" w:type="dxa"/>
            <w:tcBorders>
              <w:top w:val="nil"/>
              <w:left w:val="nil"/>
              <w:bottom w:val="nil"/>
              <w:right w:val="nil"/>
            </w:tcBorders>
            <w:noWrap/>
            <w:vAlign w:val="center"/>
            <w:hideMark/>
          </w:tcPr>
          <w:p w14:paraId="45C4FC0C" w14:textId="77777777" w:rsidR="00CD5761" w:rsidRDefault="00CD5761" w:rsidP="002E1160">
            <w:pPr>
              <w:jc w:val="center"/>
              <w:rPr>
                <w:color w:val="000000"/>
                <w:sz w:val="20"/>
                <w:szCs w:val="20"/>
              </w:rPr>
            </w:pPr>
            <w:r>
              <w:rPr>
                <w:color w:val="000000"/>
                <w:sz w:val="20"/>
                <w:szCs w:val="20"/>
              </w:rPr>
              <w:t>-0.05</w:t>
            </w:r>
          </w:p>
        </w:tc>
        <w:tc>
          <w:tcPr>
            <w:tcW w:w="960" w:type="dxa"/>
            <w:tcBorders>
              <w:top w:val="nil"/>
              <w:left w:val="nil"/>
              <w:bottom w:val="nil"/>
              <w:right w:val="nil"/>
            </w:tcBorders>
            <w:noWrap/>
            <w:vAlign w:val="center"/>
            <w:hideMark/>
          </w:tcPr>
          <w:p w14:paraId="31062AEE" w14:textId="77777777" w:rsidR="00CD5761" w:rsidRDefault="00CD5761" w:rsidP="002E1160">
            <w:pPr>
              <w:jc w:val="center"/>
              <w:rPr>
                <w:color w:val="000000"/>
                <w:sz w:val="20"/>
                <w:szCs w:val="20"/>
              </w:rPr>
            </w:pPr>
            <w:r>
              <w:rPr>
                <w:color w:val="000000"/>
                <w:sz w:val="20"/>
                <w:szCs w:val="20"/>
              </w:rPr>
              <w:t>-0.06</w:t>
            </w:r>
          </w:p>
        </w:tc>
        <w:tc>
          <w:tcPr>
            <w:tcW w:w="960" w:type="dxa"/>
            <w:tcBorders>
              <w:top w:val="nil"/>
              <w:left w:val="nil"/>
              <w:bottom w:val="nil"/>
              <w:right w:val="nil"/>
            </w:tcBorders>
            <w:noWrap/>
            <w:vAlign w:val="center"/>
            <w:hideMark/>
          </w:tcPr>
          <w:p w14:paraId="54A9CCBE" w14:textId="77777777" w:rsidR="00CD5761" w:rsidRDefault="00CD5761" w:rsidP="002E1160">
            <w:pPr>
              <w:jc w:val="center"/>
              <w:rPr>
                <w:color w:val="000000"/>
                <w:sz w:val="20"/>
                <w:szCs w:val="20"/>
              </w:rPr>
            </w:pPr>
            <w:r>
              <w:rPr>
                <w:color w:val="000000"/>
                <w:sz w:val="20"/>
                <w:szCs w:val="20"/>
              </w:rPr>
              <w:t>-0.13</w:t>
            </w:r>
          </w:p>
        </w:tc>
        <w:tc>
          <w:tcPr>
            <w:tcW w:w="960" w:type="dxa"/>
            <w:tcBorders>
              <w:top w:val="nil"/>
              <w:left w:val="nil"/>
              <w:bottom w:val="nil"/>
              <w:right w:val="nil"/>
            </w:tcBorders>
            <w:noWrap/>
            <w:vAlign w:val="center"/>
            <w:hideMark/>
          </w:tcPr>
          <w:p w14:paraId="11207E87" w14:textId="77777777" w:rsidR="00CD5761" w:rsidRDefault="00CD5761" w:rsidP="002E1160">
            <w:pPr>
              <w:jc w:val="center"/>
              <w:rPr>
                <w:color w:val="000000"/>
                <w:sz w:val="20"/>
                <w:szCs w:val="20"/>
              </w:rPr>
            </w:pPr>
            <w:r>
              <w:rPr>
                <w:color w:val="000000"/>
                <w:sz w:val="20"/>
                <w:szCs w:val="20"/>
              </w:rPr>
              <w:t>0.05</w:t>
            </w:r>
          </w:p>
        </w:tc>
        <w:tc>
          <w:tcPr>
            <w:tcW w:w="960" w:type="dxa"/>
            <w:tcBorders>
              <w:top w:val="nil"/>
              <w:left w:val="nil"/>
              <w:bottom w:val="nil"/>
              <w:right w:val="nil"/>
            </w:tcBorders>
            <w:noWrap/>
            <w:vAlign w:val="center"/>
            <w:hideMark/>
          </w:tcPr>
          <w:p w14:paraId="26A2AAEE" w14:textId="77777777" w:rsidR="00CD5761" w:rsidRDefault="00CD5761" w:rsidP="002E1160">
            <w:pPr>
              <w:jc w:val="center"/>
              <w:rPr>
                <w:color w:val="000000"/>
                <w:sz w:val="20"/>
                <w:szCs w:val="20"/>
              </w:rPr>
            </w:pPr>
            <w:r>
              <w:rPr>
                <w:color w:val="000000"/>
                <w:sz w:val="20"/>
                <w:szCs w:val="20"/>
              </w:rPr>
              <w:t>-0.22**</w:t>
            </w:r>
          </w:p>
        </w:tc>
      </w:tr>
      <w:tr w:rsidR="00CD5761" w14:paraId="10CDD10B" w14:textId="77777777" w:rsidTr="002E1160">
        <w:trPr>
          <w:trHeight w:val="288"/>
          <w:jc w:val="center"/>
        </w:trPr>
        <w:tc>
          <w:tcPr>
            <w:tcW w:w="960" w:type="dxa"/>
            <w:tcBorders>
              <w:top w:val="nil"/>
              <w:left w:val="nil"/>
              <w:bottom w:val="nil"/>
              <w:right w:val="nil"/>
            </w:tcBorders>
            <w:noWrap/>
            <w:vAlign w:val="center"/>
            <w:hideMark/>
          </w:tcPr>
          <w:p w14:paraId="6FE0884B" w14:textId="77777777" w:rsidR="00CD5761" w:rsidRDefault="00CD5761" w:rsidP="002E1160">
            <w:pPr>
              <w:jc w:val="center"/>
              <w:rPr>
                <w:i/>
                <w:iCs/>
                <w:sz w:val="20"/>
                <w:szCs w:val="20"/>
              </w:rPr>
            </w:pPr>
            <w:proofErr w:type="spellStart"/>
            <w:r>
              <w:rPr>
                <w:i/>
                <w:iCs/>
                <w:sz w:val="20"/>
                <w:szCs w:val="20"/>
              </w:rPr>
              <w:t>Rneg</w:t>
            </w:r>
            <w:proofErr w:type="spellEnd"/>
          </w:p>
        </w:tc>
        <w:tc>
          <w:tcPr>
            <w:tcW w:w="960" w:type="dxa"/>
            <w:tcBorders>
              <w:top w:val="nil"/>
              <w:left w:val="nil"/>
              <w:bottom w:val="nil"/>
              <w:right w:val="nil"/>
            </w:tcBorders>
            <w:noWrap/>
            <w:vAlign w:val="center"/>
            <w:hideMark/>
          </w:tcPr>
          <w:p w14:paraId="13D9903F" w14:textId="77777777" w:rsidR="00CD5761" w:rsidRDefault="00CD5761" w:rsidP="002E1160">
            <w:pPr>
              <w:jc w:val="center"/>
              <w:rPr>
                <w:color w:val="000000"/>
                <w:sz w:val="20"/>
                <w:szCs w:val="20"/>
              </w:rPr>
            </w:pPr>
            <w:r>
              <w:rPr>
                <w:color w:val="000000"/>
                <w:sz w:val="20"/>
                <w:szCs w:val="20"/>
              </w:rPr>
              <w:t>0.08</w:t>
            </w:r>
          </w:p>
        </w:tc>
        <w:tc>
          <w:tcPr>
            <w:tcW w:w="960" w:type="dxa"/>
            <w:tcBorders>
              <w:top w:val="nil"/>
              <w:left w:val="nil"/>
              <w:bottom w:val="nil"/>
              <w:right w:val="nil"/>
            </w:tcBorders>
            <w:noWrap/>
            <w:vAlign w:val="center"/>
            <w:hideMark/>
          </w:tcPr>
          <w:p w14:paraId="1C7F830D" w14:textId="77777777" w:rsidR="00CD5761" w:rsidRDefault="00CD5761" w:rsidP="002E1160">
            <w:pPr>
              <w:jc w:val="center"/>
              <w:rPr>
                <w:color w:val="000000"/>
                <w:sz w:val="20"/>
                <w:szCs w:val="20"/>
              </w:rPr>
            </w:pPr>
            <w:r>
              <w:rPr>
                <w:color w:val="000000"/>
                <w:sz w:val="20"/>
                <w:szCs w:val="20"/>
              </w:rPr>
              <w:t>0.17*</w:t>
            </w:r>
          </w:p>
        </w:tc>
        <w:tc>
          <w:tcPr>
            <w:tcW w:w="960" w:type="dxa"/>
            <w:tcBorders>
              <w:top w:val="nil"/>
              <w:left w:val="nil"/>
              <w:bottom w:val="nil"/>
              <w:right w:val="nil"/>
            </w:tcBorders>
            <w:noWrap/>
            <w:vAlign w:val="center"/>
            <w:hideMark/>
          </w:tcPr>
          <w:p w14:paraId="62D34C1B" w14:textId="77777777" w:rsidR="00CD5761" w:rsidRDefault="00CD5761" w:rsidP="002E1160">
            <w:pPr>
              <w:jc w:val="center"/>
              <w:rPr>
                <w:color w:val="000000"/>
                <w:sz w:val="20"/>
                <w:szCs w:val="20"/>
              </w:rPr>
            </w:pPr>
            <w:r>
              <w:rPr>
                <w:color w:val="000000"/>
                <w:sz w:val="20"/>
                <w:szCs w:val="20"/>
              </w:rPr>
              <w:t>-0.05</w:t>
            </w:r>
          </w:p>
        </w:tc>
        <w:tc>
          <w:tcPr>
            <w:tcW w:w="960" w:type="dxa"/>
            <w:tcBorders>
              <w:top w:val="nil"/>
              <w:left w:val="nil"/>
              <w:bottom w:val="nil"/>
              <w:right w:val="nil"/>
            </w:tcBorders>
            <w:noWrap/>
            <w:vAlign w:val="center"/>
            <w:hideMark/>
          </w:tcPr>
          <w:p w14:paraId="5F1BA576" w14:textId="7E0B8897" w:rsidR="00CD5761" w:rsidRDefault="00CD5761" w:rsidP="002E1160">
            <w:pPr>
              <w:jc w:val="center"/>
              <w:rPr>
                <w:color w:val="000000"/>
                <w:sz w:val="20"/>
                <w:szCs w:val="20"/>
              </w:rPr>
            </w:pPr>
            <w:r>
              <w:rPr>
                <w:color w:val="000000"/>
                <w:sz w:val="20"/>
                <w:szCs w:val="20"/>
              </w:rPr>
              <w:t>1.00</w:t>
            </w:r>
          </w:p>
        </w:tc>
        <w:tc>
          <w:tcPr>
            <w:tcW w:w="960" w:type="dxa"/>
            <w:tcBorders>
              <w:top w:val="nil"/>
              <w:left w:val="nil"/>
              <w:bottom w:val="nil"/>
              <w:right w:val="nil"/>
            </w:tcBorders>
            <w:noWrap/>
            <w:vAlign w:val="center"/>
            <w:hideMark/>
          </w:tcPr>
          <w:p w14:paraId="42A79129" w14:textId="77777777" w:rsidR="00CD5761" w:rsidRDefault="00CD5761" w:rsidP="002E1160">
            <w:pPr>
              <w:jc w:val="center"/>
              <w:rPr>
                <w:color w:val="000000"/>
                <w:sz w:val="20"/>
                <w:szCs w:val="20"/>
              </w:rPr>
            </w:pPr>
            <w:r>
              <w:rPr>
                <w:color w:val="000000"/>
                <w:sz w:val="20"/>
                <w:szCs w:val="20"/>
              </w:rPr>
              <w:t>0.19**</w:t>
            </w:r>
          </w:p>
        </w:tc>
        <w:tc>
          <w:tcPr>
            <w:tcW w:w="960" w:type="dxa"/>
            <w:tcBorders>
              <w:top w:val="nil"/>
              <w:left w:val="nil"/>
              <w:bottom w:val="nil"/>
              <w:right w:val="nil"/>
            </w:tcBorders>
            <w:noWrap/>
            <w:vAlign w:val="center"/>
            <w:hideMark/>
          </w:tcPr>
          <w:p w14:paraId="31789DF3" w14:textId="77777777" w:rsidR="00CD5761" w:rsidRDefault="00CD5761" w:rsidP="002E1160">
            <w:pPr>
              <w:jc w:val="center"/>
              <w:rPr>
                <w:color w:val="000000"/>
                <w:sz w:val="20"/>
                <w:szCs w:val="20"/>
              </w:rPr>
            </w:pPr>
            <w:r>
              <w:rPr>
                <w:color w:val="000000"/>
                <w:sz w:val="20"/>
                <w:szCs w:val="20"/>
              </w:rPr>
              <w:t>0.19**</w:t>
            </w:r>
          </w:p>
        </w:tc>
        <w:tc>
          <w:tcPr>
            <w:tcW w:w="960" w:type="dxa"/>
            <w:tcBorders>
              <w:top w:val="nil"/>
              <w:left w:val="nil"/>
              <w:bottom w:val="nil"/>
              <w:right w:val="nil"/>
            </w:tcBorders>
            <w:noWrap/>
            <w:vAlign w:val="center"/>
            <w:hideMark/>
          </w:tcPr>
          <w:p w14:paraId="7B5034C3" w14:textId="77777777" w:rsidR="00CD5761" w:rsidRDefault="00CD5761" w:rsidP="002E1160">
            <w:pPr>
              <w:jc w:val="center"/>
              <w:rPr>
                <w:color w:val="000000"/>
                <w:sz w:val="20"/>
                <w:szCs w:val="20"/>
              </w:rPr>
            </w:pPr>
            <w:r>
              <w:rPr>
                <w:color w:val="000000"/>
                <w:sz w:val="20"/>
                <w:szCs w:val="20"/>
              </w:rPr>
              <w:t>-0.12</w:t>
            </w:r>
          </w:p>
        </w:tc>
        <w:tc>
          <w:tcPr>
            <w:tcW w:w="960" w:type="dxa"/>
            <w:tcBorders>
              <w:top w:val="nil"/>
              <w:left w:val="nil"/>
              <w:bottom w:val="nil"/>
              <w:right w:val="nil"/>
            </w:tcBorders>
            <w:noWrap/>
            <w:vAlign w:val="center"/>
            <w:hideMark/>
          </w:tcPr>
          <w:p w14:paraId="4F05139A" w14:textId="77777777" w:rsidR="00CD5761" w:rsidRDefault="00CD5761" w:rsidP="002E1160">
            <w:pPr>
              <w:jc w:val="center"/>
              <w:rPr>
                <w:color w:val="000000"/>
                <w:sz w:val="20"/>
                <w:szCs w:val="20"/>
              </w:rPr>
            </w:pPr>
            <w:r>
              <w:rPr>
                <w:color w:val="000000"/>
                <w:sz w:val="20"/>
                <w:szCs w:val="20"/>
              </w:rPr>
              <w:t>0.01</w:t>
            </w:r>
          </w:p>
        </w:tc>
      </w:tr>
      <w:tr w:rsidR="00CD5761" w14:paraId="005AF9FA" w14:textId="77777777" w:rsidTr="002E1160">
        <w:trPr>
          <w:trHeight w:val="288"/>
          <w:jc w:val="center"/>
        </w:trPr>
        <w:tc>
          <w:tcPr>
            <w:tcW w:w="960" w:type="dxa"/>
            <w:tcBorders>
              <w:top w:val="nil"/>
              <w:left w:val="nil"/>
              <w:bottom w:val="nil"/>
              <w:right w:val="nil"/>
            </w:tcBorders>
            <w:noWrap/>
            <w:vAlign w:val="center"/>
            <w:hideMark/>
          </w:tcPr>
          <w:p w14:paraId="42D93B28" w14:textId="77777777" w:rsidR="00CD5761" w:rsidRDefault="00CD5761" w:rsidP="002E1160">
            <w:pPr>
              <w:jc w:val="center"/>
              <w:rPr>
                <w:i/>
                <w:iCs/>
                <w:sz w:val="20"/>
                <w:szCs w:val="20"/>
              </w:rPr>
            </w:pPr>
            <w:r>
              <w:rPr>
                <w:i/>
                <w:iCs/>
                <w:sz w:val="20"/>
                <w:szCs w:val="20"/>
              </w:rPr>
              <w:t>Size</w:t>
            </w:r>
          </w:p>
        </w:tc>
        <w:tc>
          <w:tcPr>
            <w:tcW w:w="960" w:type="dxa"/>
            <w:tcBorders>
              <w:top w:val="nil"/>
              <w:left w:val="nil"/>
              <w:bottom w:val="nil"/>
              <w:right w:val="nil"/>
            </w:tcBorders>
            <w:noWrap/>
            <w:vAlign w:val="center"/>
            <w:hideMark/>
          </w:tcPr>
          <w:p w14:paraId="22BF5529" w14:textId="77777777" w:rsidR="00CD5761" w:rsidRDefault="00CD5761" w:rsidP="002E1160">
            <w:pPr>
              <w:jc w:val="center"/>
              <w:rPr>
                <w:color w:val="000000"/>
                <w:sz w:val="20"/>
                <w:szCs w:val="20"/>
              </w:rPr>
            </w:pPr>
            <w:r>
              <w:rPr>
                <w:color w:val="000000"/>
                <w:sz w:val="20"/>
                <w:szCs w:val="20"/>
              </w:rPr>
              <w:t>0.68***</w:t>
            </w:r>
          </w:p>
        </w:tc>
        <w:tc>
          <w:tcPr>
            <w:tcW w:w="960" w:type="dxa"/>
            <w:tcBorders>
              <w:top w:val="nil"/>
              <w:left w:val="nil"/>
              <w:bottom w:val="nil"/>
              <w:right w:val="nil"/>
            </w:tcBorders>
            <w:noWrap/>
            <w:vAlign w:val="center"/>
            <w:hideMark/>
          </w:tcPr>
          <w:p w14:paraId="2132C164" w14:textId="77777777" w:rsidR="00CD5761" w:rsidRDefault="00CD5761" w:rsidP="002E1160">
            <w:pPr>
              <w:jc w:val="center"/>
              <w:rPr>
                <w:color w:val="000000"/>
                <w:sz w:val="20"/>
                <w:szCs w:val="20"/>
              </w:rPr>
            </w:pPr>
            <w:r>
              <w:rPr>
                <w:color w:val="000000"/>
                <w:sz w:val="20"/>
                <w:szCs w:val="20"/>
              </w:rPr>
              <w:t>-0.03</w:t>
            </w:r>
          </w:p>
        </w:tc>
        <w:tc>
          <w:tcPr>
            <w:tcW w:w="960" w:type="dxa"/>
            <w:tcBorders>
              <w:top w:val="nil"/>
              <w:left w:val="nil"/>
              <w:bottom w:val="nil"/>
              <w:right w:val="nil"/>
            </w:tcBorders>
            <w:noWrap/>
            <w:vAlign w:val="center"/>
            <w:hideMark/>
          </w:tcPr>
          <w:p w14:paraId="3331D559" w14:textId="77777777" w:rsidR="00CD5761" w:rsidRDefault="00CD5761" w:rsidP="002E1160">
            <w:pPr>
              <w:jc w:val="center"/>
              <w:rPr>
                <w:color w:val="000000"/>
                <w:sz w:val="20"/>
                <w:szCs w:val="20"/>
              </w:rPr>
            </w:pPr>
            <w:r>
              <w:rPr>
                <w:color w:val="000000"/>
                <w:sz w:val="20"/>
                <w:szCs w:val="20"/>
              </w:rPr>
              <w:t>-0.06</w:t>
            </w:r>
          </w:p>
        </w:tc>
        <w:tc>
          <w:tcPr>
            <w:tcW w:w="960" w:type="dxa"/>
            <w:tcBorders>
              <w:top w:val="nil"/>
              <w:left w:val="nil"/>
              <w:bottom w:val="nil"/>
              <w:right w:val="nil"/>
            </w:tcBorders>
            <w:noWrap/>
            <w:vAlign w:val="center"/>
            <w:hideMark/>
          </w:tcPr>
          <w:p w14:paraId="19D27DC4" w14:textId="77777777" w:rsidR="00CD5761" w:rsidRDefault="00CD5761" w:rsidP="002E1160">
            <w:pPr>
              <w:jc w:val="center"/>
              <w:rPr>
                <w:color w:val="000000"/>
                <w:sz w:val="20"/>
                <w:szCs w:val="20"/>
              </w:rPr>
            </w:pPr>
            <w:r>
              <w:rPr>
                <w:color w:val="000000"/>
                <w:sz w:val="20"/>
                <w:szCs w:val="20"/>
              </w:rPr>
              <w:t>0.19**</w:t>
            </w:r>
          </w:p>
        </w:tc>
        <w:tc>
          <w:tcPr>
            <w:tcW w:w="960" w:type="dxa"/>
            <w:tcBorders>
              <w:top w:val="nil"/>
              <w:left w:val="nil"/>
              <w:bottom w:val="nil"/>
              <w:right w:val="nil"/>
            </w:tcBorders>
            <w:noWrap/>
            <w:vAlign w:val="center"/>
            <w:hideMark/>
          </w:tcPr>
          <w:p w14:paraId="3B2F9827" w14:textId="6465CB07" w:rsidR="00CD5761" w:rsidRDefault="00CD5761" w:rsidP="002E1160">
            <w:pPr>
              <w:jc w:val="center"/>
              <w:rPr>
                <w:color w:val="000000"/>
                <w:sz w:val="20"/>
                <w:szCs w:val="20"/>
              </w:rPr>
            </w:pPr>
            <w:r>
              <w:rPr>
                <w:color w:val="000000"/>
                <w:sz w:val="20"/>
                <w:szCs w:val="20"/>
              </w:rPr>
              <w:t>1.00</w:t>
            </w:r>
          </w:p>
        </w:tc>
        <w:tc>
          <w:tcPr>
            <w:tcW w:w="960" w:type="dxa"/>
            <w:tcBorders>
              <w:top w:val="nil"/>
              <w:left w:val="nil"/>
              <w:bottom w:val="nil"/>
              <w:right w:val="nil"/>
            </w:tcBorders>
            <w:noWrap/>
            <w:vAlign w:val="center"/>
            <w:hideMark/>
          </w:tcPr>
          <w:p w14:paraId="2BECE2BE" w14:textId="77777777" w:rsidR="00CD5761" w:rsidRDefault="00CD5761" w:rsidP="002E1160">
            <w:pPr>
              <w:jc w:val="center"/>
              <w:rPr>
                <w:color w:val="000000"/>
                <w:sz w:val="20"/>
                <w:szCs w:val="20"/>
              </w:rPr>
            </w:pPr>
            <w:r>
              <w:rPr>
                <w:color w:val="000000"/>
                <w:sz w:val="20"/>
                <w:szCs w:val="20"/>
              </w:rPr>
              <w:t>0.03</w:t>
            </w:r>
          </w:p>
        </w:tc>
        <w:tc>
          <w:tcPr>
            <w:tcW w:w="960" w:type="dxa"/>
            <w:tcBorders>
              <w:top w:val="nil"/>
              <w:left w:val="nil"/>
              <w:bottom w:val="nil"/>
              <w:right w:val="nil"/>
            </w:tcBorders>
            <w:noWrap/>
            <w:vAlign w:val="center"/>
            <w:hideMark/>
          </w:tcPr>
          <w:p w14:paraId="39C34CF2" w14:textId="77777777" w:rsidR="00CD5761" w:rsidRDefault="00CD5761" w:rsidP="002E1160">
            <w:pPr>
              <w:jc w:val="center"/>
              <w:rPr>
                <w:color w:val="000000"/>
                <w:sz w:val="20"/>
                <w:szCs w:val="20"/>
              </w:rPr>
            </w:pPr>
            <w:r>
              <w:rPr>
                <w:color w:val="000000"/>
                <w:sz w:val="20"/>
                <w:szCs w:val="20"/>
              </w:rPr>
              <w:t>0.23**</w:t>
            </w:r>
          </w:p>
        </w:tc>
        <w:tc>
          <w:tcPr>
            <w:tcW w:w="960" w:type="dxa"/>
            <w:tcBorders>
              <w:top w:val="nil"/>
              <w:left w:val="nil"/>
              <w:bottom w:val="nil"/>
              <w:right w:val="nil"/>
            </w:tcBorders>
            <w:noWrap/>
            <w:vAlign w:val="center"/>
            <w:hideMark/>
          </w:tcPr>
          <w:p w14:paraId="146BA30E" w14:textId="77777777" w:rsidR="00CD5761" w:rsidRDefault="00CD5761" w:rsidP="002E1160">
            <w:pPr>
              <w:jc w:val="center"/>
              <w:rPr>
                <w:color w:val="000000"/>
                <w:sz w:val="20"/>
                <w:szCs w:val="20"/>
              </w:rPr>
            </w:pPr>
            <w:r>
              <w:rPr>
                <w:color w:val="000000"/>
                <w:sz w:val="20"/>
                <w:szCs w:val="20"/>
              </w:rPr>
              <w:t>0.06</w:t>
            </w:r>
          </w:p>
        </w:tc>
      </w:tr>
      <w:tr w:rsidR="00CD5761" w14:paraId="74F5BB9F" w14:textId="77777777" w:rsidTr="002E1160">
        <w:trPr>
          <w:trHeight w:val="288"/>
          <w:jc w:val="center"/>
        </w:trPr>
        <w:tc>
          <w:tcPr>
            <w:tcW w:w="960" w:type="dxa"/>
            <w:tcBorders>
              <w:top w:val="nil"/>
              <w:left w:val="nil"/>
              <w:bottom w:val="nil"/>
              <w:right w:val="nil"/>
            </w:tcBorders>
            <w:noWrap/>
            <w:vAlign w:val="center"/>
            <w:hideMark/>
          </w:tcPr>
          <w:p w14:paraId="3D348D8A" w14:textId="77777777" w:rsidR="00CD5761" w:rsidRDefault="00CD5761" w:rsidP="002E1160">
            <w:pPr>
              <w:jc w:val="center"/>
              <w:rPr>
                <w:i/>
                <w:iCs/>
                <w:sz w:val="20"/>
                <w:szCs w:val="20"/>
              </w:rPr>
            </w:pPr>
            <w:r>
              <w:rPr>
                <w:i/>
                <w:iCs/>
                <w:sz w:val="20"/>
                <w:szCs w:val="20"/>
              </w:rPr>
              <w:lastRenderedPageBreak/>
              <w:t>Lev</w:t>
            </w:r>
          </w:p>
        </w:tc>
        <w:tc>
          <w:tcPr>
            <w:tcW w:w="960" w:type="dxa"/>
            <w:tcBorders>
              <w:top w:val="nil"/>
              <w:left w:val="nil"/>
              <w:bottom w:val="nil"/>
              <w:right w:val="nil"/>
            </w:tcBorders>
            <w:noWrap/>
            <w:vAlign w:val="center"/>
            <w:hideMark/>
          </w:tcPr>
          <w:p w14:paraId="2426B6EF" w14:textId="77777777" w:rsidR="00CD5761" w:rsidRDefault="00CD5761" w:rsidP="002E1160">
            <w:pPr>
              <w:jc w:val="center"/>
              <w:rPr>
                <w:color w:val="000000"/>
                <w:sz w:val="20"/>
                <w:szCs w:val="20"/>
              </w:rPr>
            </w:pPr>
            <w:r>
              <w:rPr>
                <w:color w:val="000000"/>
                <w:sz w:val="20"/>
                <w:szCs w:val="20"/>
              </w:rPr>
              <w:t>-0.18**</w:t>
            </w:r>
          </w:p>
        </w:tc>
        <w:tc>
          <w:tcPr>
            <w:tcW w:w="960" w:type="dxa"/>
            <w:tcBorders>
              <w:top w:val="nil"/>
              <w:left w:val="nil"/>
              <w:bottom w:val="nil"/>
              <w:right w:val="nil"/>
            </w:tcBorders>
            <w:noWrap/>
            <w:vAlign w:val="center"/>
            <w:hideMark/>
          </w:tcPr>
          <w:p w14:paraId="7C44C1D7" w14:textId="77777777" w:rsidR="00CD5761" w:rsidRDefault="00CD5761" w:rsidP="002E1160">
            <w:pPr>
              <w:jc w:val="center"/>
              <w:rPr>
                <w:color w:val="000000"/>
                <w:sz w:val="20"/>
                <w:szCs w:val="20"/>
              </w:rPr>
            </w:pPr>
            <w:r>
              <w:rPr>
                <w:color w:val="000000"/>
                <w:sz w:val="20"/>
                <w:szCs w:val="20"/>
              </w:rPr>
              <w:t>-0.05</w:t>
            </w:r>
          </w:p>
        </w:tc>
        <w:tc>
          <w:tcPr>
            <w:tcW w:w="960" w:type="dxa"/>
            <w:tcBorders>
              <w:top w:val="nil"/>
              <w:left w:val="nil"/>
              <w:bottom w:val="nil"/>
              <w:right w:val="nil"/>
            </w:tcBorders>
            <w:noWrap/>
            <w:vAlign w:val="center"/>
            <w:hideMark/>
          </w:tcPr>
          <w:p w14:paraId="74CD5F32" w14:textId="77777777" w:rsidR="00CD5761" w:rsidRDefault="00CD5761" w:rsidP="002E1160">
            <w:pPr>
              <w:jc w:val="center"/>
              <w:rPr>
                <w:color w:val="000000"/>
                <w:sz w:val="20"/>
                <w:szCs w:val="20"/>
              </w:rPr>
            </w:pPr>
            <w:r>
              <w:rPr>
                <w:color w:val="000000"/>
                <w:sz w:val="20"/>
                <w:szCs w:val="20"/>
              </w:rPr>
              <w:t>-0.13</w:t>
            </w:r>
          </w:p>
        </w:tc>
        <w:tc>
          <w:tcPr>
            <w:tcW w:w="960" w:type="dxa"/>
            <w:tcBorders>
              <w:top w:val="nil"/>
              <w:left w:val="nil"/>
              <w:bottom w:val="nil"/>
              <w:right w:val="nil"/>
            </w:tcBorders>
            <w:noWrap/>
            <w:vAlign w:val="center"/>
            <w:hideMark/>
          </w:tcPr>
          <w:p w14:paraId="05C9F861" w14:textId="77777777" w:rsidR="00CD5761" w:rsidRDefault="00CD5761" w:rsidP="002E1160">
            <w:pPr>
              <w:jc w:val="center"/>
              <w:rPr>
                <w:color w:val="000000"/>
                <w:sz w:val="20"/>
                <w:szCs w:val="20"/>
              </w:rPr>
            </w:pPr>
            <w:r>
              <w:rPr>
                <w:color w:val="000000"/>
                <w:sz w:val="20"/>
                <w:szCs w:val="20"/>
              </w:rPr>
              <w:t>0.19**</w:t>
            </w:r>
          </w:p>
        </w:tc>
        <w:tc>
          <w:tcPr>
            <w:tcW w:w="960" w:type="dxa"/>
            <w:tcBorders>
              <w:top w:val="nil"/>
              <w:left w:val="nil"/>
              <w:bottom w:val="nil"/>
              <w:right w:val="nil"/>
            </w:tcBorders>
            <w:noWrap/>
            <w:vAlign w:val="center"/>
            <w:hideMark/>
          </w:tcPr>
          <w:p w14:paraId="304A546A" w14:textId="77777777" w:rsidR="00CD5761" w:rsidRDefault="00CD5761" w:rsidP="002E1160">
            <w:pPr>
              <w:jc w:val="center"/>
              <w:rPr>
                <w:color w:val="000000"/>
                <w:sz w:val="20"/>
                <w:szCs w:val="20"/>
              </w:rPr>
            </w:pPr>
            <w:r>
              <w:rPr>
                <w:color w:val="000000"/>
                <w:sz w:val="20"/>
                <w:szCs w:val="20"/>
              </w:rPr>
              <w:t>0.03</w:t>
            </w:r>
          </w:p>
        </w:tc>
        <w:tc>
          <w:tcPr>
            <w:tcW w:w="960" w:type="dxa"/>
            <w:tcBorders>
              <w:top w:val="nil"/>
              <w:left w:val="nil"/>
              <w:bottom w:val="nil"/>
              <w:right w:val="nil"/>
            </w:tcBorders>
            <w:noWrap/>
            <w:vAlign w:val="center"/>
            <w:hideMark/>
          </w:tcPr>
          <w:p w14:paraId="2E9542AC" w14:textId="0AFC044B" w:rsidR="00CD5761" w:rsidRDefault="00CD5761" w:rsidP="002E1160">
            <w:pPr>
              <w:jc w:val="center"/>
              <w:rPr>
                <w:color w:val="000000"/>
                <w:sz w:val="20"/>
                <w:szCs w:val="20"/>
              </w:rPr>
            </w:pPr>
            <w:r>
              <w:rPr>
                <w:color w:val="000000"/>
                <w:sz w:val="20"/>
                <w:szCs w:val="20"/>
              </w:rPr>
              <w:t>1.00</w:t>
            </w:r>
          </w:p>
        </w:tc>
        <w:tc>
          <w:tcPr>
            <w:tcW w:w="960" w:type="dxa"/>
            <w:tcBorders>
              <w:top w:val="nil"/>
              <w:left w:val="nil"/>
              <w:bottom w:val="nil"/>
              <w:right w:val="nil"/>
            </w:tcBorders>
            <w:noWrap/>
            <w:vAlign w:val="center"/>
            <w:hideMark/>
          </w:tcPr>
          <w:p w14:paraId="2F2B83FF" w14:textId="77777777" w:rsidR="00CD5761" w:rsidRDefault="00CD5761" w:rsidP="002E1160">
            <w:pPr>
              <w:jc w:val="center"/>
              <w:rPr>
                <w:color w:val="000000"/>
                <w:sz w:val="20"/>
                <w:szCs w:val="20"/>
              </w:rPr>
            </w:pPr>
            <w:r>
              <w:rPr>
                <w:color w:val="000000"/>
                <w:sz w:val="20"/>
                <w:szCs w:val="20"/>
              </w:rPr>
              <w:t>-0.74***</w:t>
            </w:r>
          </w:p>
        </w:tc>
        <w:tc>
          <w:tcPr>
            <w:tcW w:w="960" w:type="dxa"/>
            <w:tcBorders>
              <w:top w:val="nil"/>
              <w:left w:val="nil"/>
              <w:bottom w:val="nil"/>
              <w:right w:val="nil"/>
            </w:tcBorders>
            <w:noWrap/>
            <w:vAlign w:val="center"/>
            <w:hideMark/>
          </w:tcPr>
          <w:p w14:paraId="33739A5D" w14:textId="77777777" w:rsidR="00CD5761" w:rsidRDefault="00CD5761" w:rsidP="002E1160">
            <w:pPr>
              <w:jc w:val="center"/>
              <w:rPr>
                <w:color w:val="000000"/>
                <w:sz w:val="20"/>
                <w:szCs w:val="20"/>
              </w:rPr>
            </w:pPr>
            <w:r>
              <w:rPr>
                <w:color w:val="000000"/>
                <w:sz w:val="20"/>
                <w:szCs w:val="20"/>
              </w:rPr>
              <w:t>-0.09</w:t>
            </w:r>
          </w:p>
        </w:tc>
      </w:tr>
      <w:tr w:rsidR="00CD5761" w14:paraId="0E3FEB10" w14:textId="77777777" w:rsidTr="002E1160">
        <w:trPr>
          <w:trHeight w:val="288"/>
          <w:jc w:val="center"/>
        </w:trPr>
        <w:tc>
          <w:tcPr>
            <w:tcW w:w="960" w:type="dxa"/>
            <w:tcBorders>
              <w:top w:val="nil"/>
              <w:left w:val="nil"/>
              <w:bottom w:val="nil"/>
              <w:right w:val="nil"/>
            </w:tcBorders>
            <w:noWrap/>
            <w:vAlign w:val="center"/>
            <w:hideMark/>
          </w:tcPr>
          <w:p w14:paraId="122BBACD" w14:textId="77777777" w:rsidR="00CD5761" w:rsidRDefault="00CD5761" w:rsidP="002E1160">
            <w:pPr>
              <w:jc w:val="center"/>
              <w:rPr>
                <w:i/>
                <w:iCs/>
                <w:sz w:val="20"/>
                <w:szCs w:val="20"/>
              </w:rPr>
            </w:pPr>
            <w:r>
              <w:rPr>
                <w:i/>
                <w:iCs/>
                <w:sz w:val="20"/>
                <w:szCs w:val="20"/>
              </w:rPr>
              <w:t>ROA</w:t>
            </w:r>
          </w:p>
        </w:tc>
        <w:tc>
          <w:tcPr>
            <w:tcW w:w="960" w:type="dxa"/>
            <w:tcBorders>
              <w:top w:val="nil"/>
              <w:left w:val="nil"/>
              <w:bottom w:val="nil"/>
              <w:right w:val="nil"/>
            </w:tcBorders>
            <w:noWrap/>
            <w:vAlign w:val="center"/>
            <w:hideMark/>
          </w:tcPr>
          <w:p w14:paraId="32A9FDA6" w14:textId="77777777" w:rsidR="00CD5761" w:rsidRDefault="00CD5761" w:rsidP="002E1160">
            <w:pPr>
              <w:jc w:val="center"/>
              <w:rPr>
                <w:color w:val="000000"/>
                <w:sz w:val="20"/>
                <w:szCs w:val="20"/>
              </w:rPr>
            </w:pPr>
            <w:r>
              <w:rPr>
                <w:color w:val="000000"/>
                <w:sz w:val="20"/>
                <w:szCs w:val="20"/>
              </w:rPr>
              <w:t>0.44***</w:t>
            </w:r>
          </w:p>
        </w:tc>
        <w:tc>
          <w:tcPr>
            <w:tcW w:w="960" w:type="dxa"/>
            <w:tcBorders>
              <w:top w:val="nil"/>
              <w:left w:val="nil"/>
              <w:bottom w:val="nil"/>
              <w:right w:val="nil"/>
            </w:tcBorders>
            <w:noWrap/>
            <w:vAlign w:val="center"/>
            <w:hideMark/>
          </w:tcPr>
          <w:p w14:paraId="3E74A578" w14:textId="77777777" w:rsidR="00CD5761" w:rsidRDefault="00CD5761" w:rsidP="002E1160">
            <w:pPr>
              <w:jc w:val="center"/>
              <w:rPr>
                <w:color w:val="000000"/>
                <w:sz w:val="20"/>
                <w:szCs w:val="20"/>
              </w:rPr>
            </w:pPr>
            <w:r>
              <w:rPr>
                <w:color w:val="000000"/>
                <w:sz w:val="20"/>
                <w:szCs w:val="20"/>
              </w:rPr>
              <w:t>-0.02</w:t>
            </w:r>
          </w:p>
        </w:tc>
        <w:tc>
          <w:tcPr>
            <w:tcW w:w="960" w:type="dxa"/>
            <w:tcBorders>
              <w:top w:val="nil"/>
              <w:left w:val="nil"/>
              <w:bottom w:val="nil"/>
              <w:right w:val="nil"/>
            </w:tcBorders>
            <w:noWrap/>
            <w:vAlign w:val="center"/>
            <w:hideMark/>
          </w:tcPr>
          <w:p w14:paraId="1BFCB01B" w14:textId="77777777" w:rsidR="00CD5761" w:rsidRDefault="00CD5761" w:rsidP="002E1160">
            <w:pPr>
              <w:jc w:val="center"/>
              <w:rPr>
                <w:color w:val="000000"/>
                <w:sz w:val="20"/>
                <w:szCs w:val="20"/>
              </w:rPr>
            </w:pPr>
            <w:r>
              <w:rPr>
                <w:color w:val="000000"/>
                <w:sz w:val="20"/>
                <w:szCs w:val="20"/>
              </w:rPr>
              <w:t>0.05</w:t>
            </w:r>
          </w:p>
        </w:tc>
        <w:tc>
          <w:tcPr>
            <w:tcW w:w="960" w:type="dxa"/>
            <w:tcBorders>
              <w:top w:val="nil"/>
              <w:left w:val="nil"/>
              <w:bottom w:val="nil"/>
              <w:right w:val="nil"/>
            </w:tcBorders>
            <w:noWrap/>
            <w:vAlign w:val="center"/>
            <w:hideMark/>
          </w:tcPr>
          <w:p w14:paraId="47FCC889" w14:textId="77777777" w:rsidR="00CD5761" w:rsidRDefault="00CD5761" w:rsidP="002E1160">
            <w:pPr>
              <w:jc w:val="center"/>
              <w:rPr>
                <w:color w:val="000000"/>
                <w:sz w:val="20"/>
                <w:szCs w:val="20"/>
              </w:rPr>
            </w:pPr>
            <w:r>
              <w:rPr>
                <w:color w:val="000000"/>
                <w:sz w:val="20"/>
                <w:szCs w:val="20"/>
              </w:rPr>
              <w:t>-0.12</w:t>
            </w:r>
          </w:p>
        </w:tc>
        <w:tc>
          <w:tcPr>
            <w:tcW w:w="960" w:type="dxa"/>
            <w:tcBorders>
              <w:top w:val="nil"/>
              <w:left w:val="nil"/>
              <w:bottom w:val="nil"/>
              <w:right w:val="nil"/>
            </w:tcBorders>
            <w:noWrap/>
            <w:vAlign w:val="center"/>
            <w:hideMark/>
          </w:tcPr>
          <w:p w14:paraId="47A6099C" w14:textId="77777777" w:rsidR="00CD5761" w:rsidRDefault="00CD5761" w:rsidP="002E1160">
            <w:pPr>
              <w:jc w:val="center"/>
              <w:rPr>
                <w:color w:val="000000"/>
                <w:sz w:val="20"/>
                <w:szCs w:val="20"/>
              </w:rPr>
            </w:pPr>
            <w:r>
              <w:rPr>
                <w:color w:val="000000"/>
                <w:sz w:val="20"/>
                <w:szCs w:val="20"/>
              </w:rPr>
              <w:t>0.23**</w:t>
            </w:r>
          </w:p>
        </w:tc>
        <w:tc>
          <w:tcPr>
            <w:tcW w:w="960" w:type="dxa"/>
            <w:tcBorders>
              <w:top w:val="nil"/>
              <w:left w:val="nil"/>
              <w:bottom w:val="nil"/>
              <w:right w:val="nil"/>
            </w:tcBorders>
            <w:noWrap/>
            <w:vAlign w:val="center"/>
            <w:hideMark/>
          </w:tcPr>
          <w:p w14:paraId="47CB7758" w14:textId="77777777" w:rsidR="00CD5761" w:rsidRDefault="00CD5761" w:rsidP="002E1160">
            <w:pPr>
              <w:jc w:val="center"/>
              <w:rPr>
                <w:color w:val="000000"/>
                <w:sz w:val="20"/>
                <w:szCs w:val="20"/>
              </w:rPr>
            </w:pPr>
            <w:r>
              <w:rPr>
                <w:color w:val="000000"/>
                <w:sz w:val="20"/>
                <w:szCs w:val="20"/>
              </w:rPr>
              <w:t>-0.74***</w:t>
            </w:r>
          </w:p>
        </w:tc>
        <w:tc>
          <w:tcPr>
            <w:tcW w:w="960" w:type="dxa"/>
            <w:tcBorders>
              <w:top w:val="nil"/>
              <w:left w:val="nil"/>
              <w:bottom w:val="nil"/>
              <w:right w:val="nil"/>
            </w:tcBorders>
            <w:noWrap/>
            <w:vAlign w:val="center"/>
            <w:hideMark/>
          </w:tcPr>
          <w:p w14:paraId="63AE445B" w14:textId="0E55D554" w:rsidR="00CD5761" w:rsidRDefault="00CD5761" w:rsidP="002E1160">
            <w:pPr>
              <w:jc w:val="center"/>
              <w:rPr>
                <w:color w:val="000000"/>
                <w:sz w:val="20"/>
                <w:szCs w:val="20"/>
              </w:rPr>
            </w:pPr>
            <w:r>
              <w:rPr>
                <w:color w:val="000000"/>
                <w:sz w:val="20"/>
                <w:szCs w:val="20"/>
              </w:rPr>
              <w:t>1.00</w:t>
            </w:r>
          </w:p>
        </w:tc>
        <w:tc>
          <w:tcPr>
            <w:tcW w:w="960" w:type="dxa"/>
            <w:tcBorders>
              <w:top w:val="nil"/>
              <w:left w:val="nil"/>
              <w:bottom w:val="nil"/>
              <w:right w:val="nil"/>
            </w:tcBorders>
            <w:noWrap/>
            <w:vAlign w:val="center"/>
            <w:hideMark/>
          </w:tcPr>
          <w:p w14:paraId="2F814BA6" w14:textId="77777777" w:rsidR="00CD5761" w:rsidRDefault="00CD5761" w:rsidP="002E1160">
            <w:pPr>
              <w:jc w:val="center"/>
              <w:rPr>
                <w:color w:val="000000"/>
                <w:sz w:val="20"/>
                <w:szCs w:val="20"/>
              </w:rPr>
            </w:pPr>
            <w:r>
              <w:rPr>
                <w:color w:val="000000"/>
                <w:sz w:val="20"/>
                <w:szCs w:val="20"/>
              </w:rPr>
              <w:t>0.28***</w:t>
            </w:r>
          </w:p>
        </w:tc>
      </w:tr>
      <w:tr w:rsidR="00CD5761" w14:paraId="05A13CDD" w14:textId="77777777" w:rsidTr="002E1160">
        <w:trPr>
          <w:trHeight w:val="288"/>
          <w:jc w:val="center"/>
        </w:trPr>
        <w:tc>
          <w:tcPr>
            <w:tcW w:w="960" w:type="dxa"/>
            <w:tcBorders>
              <w:top w:val="nil"/>
              <w:left w:val="nil"/>
              <w:bottom w:val="nil"/>
              <w:right w:val="nil"/>
            </w:tcBorders>
            <w:noWrap/>
            <w:vAlign w:val="center"/>
            <w:hideMark/>
          </w:tcPr>
          <w:p w14:paraId="45296A6D" w14:textId="77777777" w:rsidR="00CD5761" w:rsidRDefault="00CD5761" w:rsidP="002E1160">
            <w:pPr>
              <w:jc w:val="center"/>
              <w:rPr>
                <w:i/>
                <w:iCs/>
                <w:sz w:val="20"/>
                <w:szCs w:val="20"/>
              </w:rPr>
            </w:pPr>
            <w:r>
              <w:rPr>
                <w:i/>
                <w:iCs/>
                <w:sz w:val="20"/>
                <w:szCs w:val="20"/>
              </w:rPr>
              <w:t>Growth</w:t>
            </w:r>
          </w:p>
        </w:tc>
        <w:tc>
          <w:tcPr>
            <w:tcW w:w="960" w:type="dxa"/>
            <w:tcBorders>
              <w:top w:val="nil"/>
              <w:left w:val="nil"/>
              <w:bottom w:val="nil"/>
              <w:right w:val="nil"/>
            </w:tcBorders>
            <w:noWrap/>
            <w:vAlign w:val="center"/>
            <w:hideMark/>
          </w:tcPr>
          <w:p w14:paraId="60E4B87A" w14:textId="77777777" w:rsidR="00CD5761" w:rsidRDefault="00CD5761" w:rsidP="002E1160">
            <w:pPr>
              <w:jc w:val="center"/>
              <w:rPr>
                <w:color w:val="000000"/>
                <w:sz w:val="20"/>
                <w:szCs w:val="20"/>
              </w:rPr>
            </w:pPr>
            <w:r>
              <w:rPr>
                <w:color w:val="000000"/>
                <w:sz w:val="20"/>
                <w:szCs w:val="20"/>
              </w:rPr>
              <w:t>0.09</w:t>
            </w:r>
          </w:p>
        </w:tc>
        <w:tc>
          <w:tcPr>
            <w:tcW w:w="960" w:type="dxa"/>
            <w:tcBorders>
              <w:top w:val="nil"/>
              <w:left w:val="nil"/>
              <w:bottom w:val="nil"/>
              <w:right w:val="nil"/>
            </w:tcBorders>
            <w:noWrap/>
            <w:vAlign w:val="center"/>
            <w:hideMark/>
          </w:tcPr>
          <w:p w14:paraId="41861B34" w14:textId="77777777" w:rsidR="00CD5761" w:rsidRDefault="00CD5761" w:rsidP="002E1160">
            <w:pPr>
              <w:jc w:val="center"/>
              <w:rPr>
                <w:color w:val="000000"/>
                <w:sz w:val="20"/>
                <w:szCs w:val="20"/>
              </w:rPr>
            </w:pPr>
            <w:r>
              <w:rPr>
                <w:color w:val="000000"/>
                <w:sz w:val="20"/>
                <w:szCs w:val="20"/>
              </w:rPr>
              <w:t>-0.20**</w:t>
            </w:r>
          </w:p>
        </w:tc>
        <w:tc>
          <w:tcPr>
            <w:tcW w:w="960" w:type="dxa"/>
            <w:tcBorders>
              <w:top w:val="nil"/>
              <w:left w:val="nil"/>
              <w:bottom w:val="nil"/>
              <w:right w:val="nil"/>
            </w:tcBorders>
            <w:noWrap/>
            <w:vAlign w:val="center"/>
            <w:hideMark/>
          </w:tcPr>
          <w:p w14:paraId="50CE6F88" w14:textId="77777777" w:rsidR="00CD5761" w:rsidRDefault="00CD5761" w:rsidP="002E1160">
            <w:pPr>
              <w:jc w:val="center"/>
              <w:rPr>
                <w:color w:val="000000"/>
                <w:sz w:val="20"/>
                <w:szCs w:val="20"/>
              </w:rPr>
            </w:pPr>
            <w:r>
              <w:rPr>
                <w:color w:val="000000"/>
                <w:sz w:val="20"/>
                <w:szCs w:val="20"/>
              </w:rPr>
              <w:t>-0.22**</w:t>
            </w:r>
          </w:p>
        </w:tc>
        <w:tc>
          <w:tcPr>
            <w:tcW w:w="960" w:type="dxa"/>
            <w:tcBorders>
              <w:top w:val="nil"/>
              <w:left w:val="nil"/>
              <w:bottom w:val="nil"/>
              <w:right w:val="nil"/>
            </w:tcBorders>
            <w:noWrap/>
            <w:vAlign w:val="center"/>
            <w:hideMark/>
          </w:tcPr>
          <w:p w14:paraId="1A99A5DA" w14:textId="77777777" w:rsidR="00CD5761" w:rsidRDefault="00CD5761" w:rsidP="002E1160">
            <w:pPr>
              <w:jc w:val="center"/>
              <w:rPr>
                <w:color w:val="000000"/>
                <w:sz w:val="20"/>
                <w:szCs w:val="20"/>
              </w:rPr>
            </w:pPr>
            <w:r>
              <w:rPr>
                <w:color w:val="000000"/>
                <w:sz w:val="20"/>
                <w:szCs w:val="20"/>
              </w:rPr>
              <w:t>0.01</w:t>
            </w:r>
          </w:p>
        </w:tc>
        <w:tc>
          <w:tcPr>
            <w:tcW w:w="960" w:type="dxa"/>
            <w:tcBorders>
              <w:top w:val="nil"/>
              <w:left w:val="nil"/>
              <w:bottom w:val="nil"/>
              <w:right w:val="nil"/>
            </w:tcBorders>
            <w:noWrap/>
            <w:vAlign w:val="center"/>
            <w:hideMark/>
          </w:tcPr>
          <w:p w14:paraId="137C4FD3" w14:textId="77777777" w:rsidR="00CD5761" w:rsidRDefault="00CD5761" w:rsidP="002E1160">
            <w:pPr>
              <w:jc w:val="center"/>
              <w:rPr>
                <w:color w:val="000000"/>
                <w:sz w:val="20"/>
                <w:szCs w:val="20"/>
              </w:rPr>
            </w:pPr>
            <w:r>
              <w:rPr>
                <w:color w:val="000000"/>
                <w:sz w:val="20"/>
                <w:szCs w:val="20"/>
              </w:rPr>
              <w:t>0.06</w:t>
            </w:r>
          </w:p>
        </w:tc>
        <w:tc>
          <w:tcPr>
            <w:tcW w:w="960" w:type="dxa"/>
            <w:tcBorders>
              <w:top w:val="nil"/>
              <w:left w:val="nil"/>
              <w:bottom w:val="nil"/>
              <w:right w:val="nil"/>
            </w:tcBorders>
            <w:noWrap/>
            <w:vAlign w:val="center"/>
            <w:hideMark/>
          </w:tcPr>
          <w:p w14:paraId="230F0AE6" w14:textId="77777777" w:rsidR="00CD5761" w:rsidRDefault="00CD5761" w:rsidP="002E1160">
            <w:pPr>
              <w:jc w:val="center"/>
              <w:rPr>
                <w:color w:val="000000"/>
                <w:sz w:val="20"/>
                <w:szCs w:val="20"/>
              </w:rPr>
            </w:pPr>
            <w:r>
              <w:rPr>
                <w:color w:val="000000"/>
                <w:sz w:val="20"/>
                <w:szCs w:val="20"/>
              </w:rPr>
              <w:t>-0.09</w:t>
            </w:r>
          </w:p>
        </w:tc>
        <w:tc>
          <w:tcPr>
            <w:tcW w:w="960" w:type="dxa"/>
            <w:tcBorders>
              <w:top w:val="nil"/>
              <w:left w:val="nil"/>
              <w:bottom w:val="nil"/>
              <w:right w:val="nil"/>
            </w:tcBorders>
            <w:noWrap/>
            <w:vAlign w:val="center"/>
            <w:hideMark/>
          </w:tcPr>
          <w:p w14:paraId="1321EAB5" w14:textId="77777777" w:rsidR="00CD5761" w:rsidRDefault="00CD5761" w:rsidP="002E1160">
            <w:pPr>
              <w:jc w:val="center"/>
              <w:rPr>
                <w:color w:val="000000"/>
                <w:sz w:val="20"/>
                <w:szCs w:val="20"/>
              </w:rPr>
            </w:pPr>
            <w:r>
              <w:rPr>
                <w:color w:val="000000"/>
                <w:sz w:val="20"/>
                <w:szCs w:val="20"/>
              </w:rPr>
              <w:t>0.28***</w:t>
            </w:r>
          </w:p>
        </w:tc>
        <w:tc>
          <w:tcPr>
            <w:tcW w:w="960" w:type="dxa"/>
            <w:tcBorders>
              <w:top w:val="nil"/>
              <w:left w:val="nil"/>
              <w:bottom w:val="nil"/>
              <w:right w:val="nil"/>
            </w:tcBorders>
            <w:noWrap/>
            <w:vAlign w:val="center"/>
            <w:hideMark/>
          </w:tcPr>
          <w:p w14:paraId="1735CA5E" w14:textId="65663C69" w:rsidR="00CD5761" w:rsidRDefault="00CD5761" w:rsidP="002E1160">
            <w:pPr>
              <w:jc w:val="center"/>
              <w:rPr>
                <w:color w:val="000000"/>
                <w:sz w:val="20"/>
                <w:szCs w:val="20"/>
              </w:rPr>
            </w:pPr>
            <w:r>
              <w:rPr>
                <w:color w:val="000000"/>
                <w:sz w:val="20"/>
                <w:szCs w:val="20"/>
              </w:rPr>
              <w:t>1.00</w:t>
            </w:r>
          </w:p>
        </w:tc>
      </w:tr>
    </w:tbl>
    <w:p w14:paraId="5D0F33FD" w14:textId="77777777" w:rsidR="00C26B7A" w:rsidRDefault="00C26B7A" w:rsidP="003811E5">
      <w:pPr>
        <w:spacing w:before="120"/>
        <w:jc w:val="both"/>
        <w:rPr>
          <w:sz w:val="20"/>
          <w:szCs w:val="20"/>
        </w:rPr>
      </w:pPr>
    </w:p>
    <w:p w14:paraId="52EC6592" w14:textId="1DF62A3F" w:rsidR="00BD3878" w:rsidRPr="000071E2" w:rsidRDefault="00BD3878" w:rsidP="003811E5">
      <w:pPr>
        <w:spacing w:before="120"/>
        <w:jc w:val="both"/>
        <w:rPr>
          <w:sz w:val="20"/>
          <w:szCs w:val="20"/>
        </w:rPr>
      </w:pPr>
      <w:r w:rsidRPr="000071E2">
        <w:rPr>
          <w:sz w:val="20"/>
          <w:szCs w:val="20"/>
        </w:rPr>
        <w:t xml:space="preserve">Contrary to the findings of Zhang and Wang (2024) and the proposed H1, our baseline regression results, presented in Table 2, do not find statistically significant evidence that the bank related rumors increase its stock price synchronicity. The coefficients on </w:t>
      </w:r>
      <w:r w:rsidR="008C5C33">
        <w:rPr>
          <w:sz w:val="20"/>
          <w:szCs w:val="20"/>
        </w:rPr>
        <w:t xml:space="preserve">the overall volume of </w:t>
      </w:r>
      <w:proofErr w:type="gramStart"/>
      <w:r w:rsidR="008C5C33">
        <w:rPr>
          <w:sz w:val="20"/>
          <w:szCs w:val="20"/>
        </w:rPr>
        <w:t>rumor</w:t>
      </w:r>
      <w:r w:rsidRPr="000071E2">
        <w:rPr>
          <w:sz w:val="20"/>
          <w:szCs w:val="20"/>
        </w:rPr>
        <w:t>s</w:t>
      </w:r>
      <w:r w:rsidR="008C5C33">
        <w:rPr>
          <w:sz w:val="20"/>
          <w:szCs w:val="20"/>
        </w:rPr>
        <w:t xml:space="preserve"> </w:t>
      </w:r>
      <w:r w:rsidRPr="000071E2">
        <w:rPr>
          <w:sz w:val="20"/>
          <w:szCs w:val="20"/>
        </w:rPr>
        <w:t xml:space="preserve"> (</w:t>
      </w:r>
      <w:proofErr w:type="gramEnd"/>
      <m:oMath>
        <m:r>
          <w:rPr>
            <w:rFonts w:ascii="Cambria Math" w:hAnsi="Cambria Math"/>
            <w:sz w:val="20"/>
            <w:szCs w:val="20"/>
          </w:rPr>
          <m:t>Rumor</m:t>
        </m:r>
      </m:oMath>
      <w:r w:rsidRPr="000071E2">
        <w:rPr>
          <w:sz w:val="20"/>
          <w:szCs w:val="20"/>
        </w:rPr>
        <w:t xml:space="preserve">) and </w:t>
      </w:r>
      <w:r w:rsidR="00FD2A1A">
        <w:rPr>
          <w:sz w:val="20"/>
          <w:szCs w:val="20"/>
        </w:rPr>
        <w:t>t</w:t>
      </w:r>
      <w:r w:rsidR="35F1DB69" w:rsidRPr="35F1DB69">
        <w:rPr>
          <w:sz w:val="20"/>
          <w:szCs w:val="20"/>
        </w:rPr>
        <w:t>he</w:t>
      </w:r>
      <w:r w:rsidRPr="000071E2">
        <w:rPr>
          <w:sz w:val="20"/>
          <w:szCs w:val="20"/>
        </w:rPr>
        <w:t xml:space="preserve"> number of </w:t>
      </w:r>
      <w:r w:rsidR="35F1DB69" w:rsidRPr="35F1DB69">
        <w:rPr>
          <w:sz w:val="20"/>
          <w:szCs w:val="20"/>
        </w:rPr>
        <w:t>positively framed</w:t>
      </w:r>
      <w:r w:rsidRPr="000071E2">
        <w:rPr>
          <w:sz w:val="20"/>
          <w:szCs w:val="20"/>
        </w:rPr>
        <w:t xml:space="preserve"> rumors (</w:t>
      </w:r>
      <m:oMath>
        <m:r>
          <w:rPr>
            <w:rFonts w:ascii="Cambria Math" w:hAnsi="Cambria Math"/>
            <w:kern w:val="2"/>
            <w:sz w:val="20"/>
            <w:szCs w:val="20"/>
            <w14:ligatures w14:val="standardContextual"/>
          </w:rPr>
          <m:t>Rpos</m:t>
        </m:r>
      </m:oMath>
      <w:r w:rsidRPr="000071E2">
        <w:rPr>
          <w:sz w:val="20"/>
          <w:szCs w:val="20"/>
        </w:rPr>
        <w:t xml:space="preserve">) are positive but statistically insignificant (coefficient = 0.222, </w:t>
      </w:r>
      <m:oMath>
        <m:r>
          <w:rPr>
            <w:rFonts w:ascii="Cambria Math" w:hAnsi="Cambria Math"/>
            <w:kern w:val="2"/>
            <w:sz w:val="20"/>
            <w:szCs w:val="20"/>
            <w14:ligatures w14:val="standardContextual"/>
          </w:rPr>
          <m:t>t</m:t>
        </m:r>
      </m:oMath>
      <w:r w:rsidR="001B2D1B" w:rsidRPr="000071E2">
        <w:rPr>
          <w:sz w:val="20"/>
          <w:szCs w:val="20"/>
        </w:rPr>
        <w:t xml:space="preserve"> </w:t>
      </w:r>
      <w:r w:rsidRPr="000071E2">
        <w:rPr>
          <w:sz w:val="20"/>
          <w:szCs w:val="20"/>
        </w:rPr>
        <w:t xml:space="preserve">= 1.51; and coefficient = 0.251, </w:t>
      </w:r>
      <m:oMath>
        <m:r>
          <w:rPr>
            <w:rFonts w:ascii="Cambria Math" w:hAnsi="Cambria Math"/>
            <w:kern w:val="2"/>
            <w:sz w:val="20"/>
            <w:szCs w:val="20"/>
            <w14:ligatures w14:val="standardContextual"/>
          </w:rPr>
          <m:t>t</m:t>
        </m:r>
      </m:oMath>
      <w:r w:rsidR="001B2D1B" w:rsidRPr="000071E2">
        <w:rPr>
          <w:sz w:val="20"/>
          <w:szCs w:val="20"/>
        </w:rPr>
        <w:t xml:space="preserve"> </w:t>
      </w:r>
      <w:r w:rsidRPr="000071E2">
        <w:rPr>
          <w:sz w:val="20"/>
          <w:szCs w:val="20"/>
        </w:rPr>
        <w:t>= 1.57, respectively). Interestingly, and in direct contrast to the established literature, the coefficient on unfavorable rumors (</w:t>
      </w:r>
      <m:oMath>
        <m:r>
          <w:rPr>
            <w:rFonts w:ascii="Cambria Math" w:hAnsi="Cambria Math"/>
            <w:kern w:val="2"/>
            <w:sz w:val="20"/>
            <w:szCs w:val="20"/>
            <w14:ligatures w14:val="standardContextual"/>
          </w:rPr>
          <m:t>Rneg</m:t>
        </m:r>
      </m:oMath>
      <w:r w:rsidRPr="000071E2">
        <w:rPr>
          <w:sz w:val="20"/>
          <w:szCs w:val="20"/>
        </w:rPr>
        <w:t xml:space="preserve">) is also positive, albeit small and statistically insignificant (coefficient = 0.185, </w:t>
      </w:r>
      <m:oMath>
        <m:r>
          <w:rPr>
            <w:rFonts w:ascii="Cambria Math" w:hAnsi="Cambria Math"/>
            <w:kern w:val="2"/>
            <w:sz w:val="20"/>
            <w:szCs w:val="20"/>
            <w14:ligatures w14:val="standardContextual"/>
          </w:rPr>
          <m:t>t</m:t>
        </m:r>
      </m:oMath>
      <w:r w:rsidR="001B2D1B" w:rsidRPr="000071E2">
        <w:rPr>
          <w:sz w:val="20"/>
          <w:szCs w:val="20"/>
        </w:rPr>
        <w:t xml:space="preserve"> </w:t>
      </w:r>
      <w:r w:rsidRPr="000071E2">
        <w:rPr>
          <w:sz w:val="20"/>
          <w:szCs w:val="20"/>
        </w:rPr>
        <w:t>= 0.59). This suggests that, in our sample, unfavorable rumors do not lead to the</w:t>
      </w:r>
      <w:r w:rsidR="00165B09">
        <w:rPr>
          <w:sz w:val="20"/>
          <w:szCs w:val="20"/>
        </w:rPr>
        <w:t xml:space="preserve"> explainable</w:t>
      </w:r>
      <w:r w:rsidRPr="000071E2">
        <w:rPr>
          <w:sz w:val="20"/>
          <w:szCs w:val="20"/>
        </w:rPr>
        <w:t xml:space="preserve"> incorporation of more firm-specific information into stock prices but may instead contribute to market-wide noise.</w:t>
      </w:r>
    </w:p>
    <w:p w14:paraId="5A24B8FE" w14:textId="4DD9D824" w:rsidR="002E341F" w:rsidRPr="00CD5761" w:rsidRDefault="00BD3878" w:rsidP="003811E5">
      <w:pPr>
        <w:spacing w:before="120"/>
        <w:jc w:val="both"/>
        <w:rPr>
          <w:sz w:val="20"/>
          <w:szCs w:val="20"/>
        </w:rPr>
      </w:pPr>
      <w:r w:rsidRPr="000071E2">
        <w:rPr>
          <w:sz w:val="20"/>
          <w:szCs w:val="20"/>
        </w:rPr>
        <w:t>The most plausible explanation for the divergence of our results from prior studies lies in the limited sample size (N=119) and the omission of key control variables that influence price efficiency. The high explanatory power of the model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1B2D1B" w:rsidRPr="000071E2">
        <w:rPr>
          <w:sz w:val="20"/>
          <w:szCs w:val="20"/>
        </w:rPr>
        <w:t xml:space="preserve"> </w:t>
      </w:r>
      <w:r w:rsidRPr="000071E2">
        <w:rPr>
          <w:sz w:val="20"/>
          <w:szCs w:val="20"/>
        </w:rPr>
        <w:t>≈ 0.65) is primarily driven by firm-specific characteristics rather than rumor variables. Specifically, firm size (</w:t>
      </w:r>
      <m:oMath>
        <m:r>
          <w:rPr>
            <w:rFonts w:ascii="Cambria Math" w:hAnsi="Cambria Math"/>
            <w:kern w:val="2"/>
            <w:sz w:val="20"/>
            <w:szCs w:val="20"/>
            <w14:ligatures w14:val="standardContextual"/>
          </w:rPr>
          <m:t>Size</m:t>
        </m:r>
      </m:oMath>
      <w:r w:rsidRPr="000071E2">
        <w:rPr>
          <w:sz w:val="20"/>
          <w:szCs w:val="20"/>
        </w:rPr>
        <w:t xml:space="preserve">) exhibits a strong positive and highly significant correlation with synchronicity (coefficient ≈ 0.94, </w:t>
      </w:r>
      <m:oMath>
        <m:r>
          <w:rPr>
            <w:rFonts w:ascii="Cambria Math" w:hAnsi="Cambria Math"/>
            <w:kern w:val="2"/>
            <w:sz w:val="20"/>
            <w:szCs w:val="20"/>
            <w14:ligatures w14:val="standardContextual"/>
          </w:rPr>
          <m:t>t</m:t>
        </m:r>
      </m:oMath>
      <w:r w:rsidRPr="000071E2">
        <w:rPr>
          <w:sz w:val="20"/>
          <w:szCs w:val="20"/>
        </w:rPr>
        <w:t xml:space="preserve"> &gt; 8.9), which is consistent with the literature indicating that larger firms' returns co-move more with the market (Roll, 1988). Surprisingly, profitability (</w:t>
      </w:r>
      <m:oMath>
        <m:r>
          <w:rPr>
            <w:rFonts w:ascii="Cambria Math" w:hAnsi="Cambria Math"/>
            <w:kern w:val="2"/>
            <w:sz w:val="20"/>
            <w:szCs w:val="20"/>
            <w14:ligatures w14:val="standardContextual"/>
          </w:rPr>
          <m:t>ROA</m:t>
        </m:r>
      </m:oMath>
      <w:r w:rsidRPr="000071E2">
        <w:rPr>
          <w:sz w:val="20"/>
          <w:szCs w:val="20"/>
        </w:rPr>
        <w:t xml:space="preserve">) shows an unusually large, positive, and highly significant relationship with </w:t>
      </w:r>
      <m:oMath>
        <m:r>
          <w:rPr>
            <w:rFonts w:ascii="Cambria Math" w:hAnsi="Cambria Math"/>
            <w:sz w:val="20"/>
            <w:szCs w:val="20"/>
          </w:rPr>
          <m:t>SYN</m:t>
        </m:r>
      </m:oMath>
      <w:r w:rsidRPr="000071E2">
        <w:rPr>
          <w:sz w:val="20"/>
          <w:szCs w:val="20"/>
        </w:rPr>
        <w:t xml:space="preserve"> (coefficient ≈ 60, </w:t>
      </w:r>
      <m:oMath>
        <m:r>
          <w:rPr>
            <w:rFonts w:ascii="Cambria Math" w:hAnsi="Cambria Math"/>
            <w:kern w:val="2"/>
            <w:sz w:val="20"/>
            <w:szCs w:val="20"/>
            <w14:ligatures w14:val="standardContextual"/>
          </w:rPr>
          <m:t>t</m:t>
        </m:r>
      </m:oMath>
      <w:r w:rsidRPr="000071E2">
        <w:rPr>
          <w:sz w:val="20"/>
          <w:szCs w:val="20"/>
        </w:rPr>
        <w:t xml:space="preserve"> &gt; 3.5), a finding that lacks a clear theoretical foundation and may indicate a model specification issue or a unique feature of the current sample. The coefficient on leverage (</w:t>
      </w:r>
      <m:oMath>
        <m:r>
          <w:rPr>
            <w:rFonts w:ascii="Cambria Math" w:hAnsi="Cambria Math"/>
            <w:kern w:val="2"/>
            <w:sz w:val="20"/>
            <w:szCs w:val="20"/>
            <w14:ligatures w14:val="standardContextual"/>
          </w:rPr>
          <m:t>Lev</m:t>
        </m:r>
      </m:oMath>
      <w:r w:rsidRPr="000071E2">
        <w:rPr>
          <w:sz w:val="20"/>
          <w:szCs w:val="20"/>
        </w:rPr>
        <w:t>) is positive but insignificant, contrary to typical findings, further hinting at sample-specific peculiarities.</w:t>
      </w:r>
    </w:p>
    <w:p w14:paraId="39E3861C" w14:textId="77777777" w:rsidR="00C26B7A" w:rsidRDefault="00C26B7A">
      <w:pPr>
        <w:spacing w:before="120"/>
        <w:jc w:val="center"/>
        <w:rPr>
          <w:b/>
          <w:sz w:val="20"/>
          <w:szCs w:val="20"/>
        </w:rPr>
      </w:pPr>
    </w:p>
    <w:p w14:paraId="0D5CE18A" w14:textId="0BA451D1" w:rsidR="00E20EDD" w:rsidRPr="000071E2" w:rsidRDefault="00E20EDD">
      <w:pPr>
        <w:spacing w:before="120"/>
        <w:jc w:val="center"/>
        <w:rPr>
          <w:sz w:val="20"/>
          <w:szCs w:val="20"/>
        </w:rPr>
      </w:pPr>
      <w:r w:rsidRPr="000071E2">
        <w:rPr>
          <w:b/>
          <w:sz w:val="20"/>
          <w:szCs w:val="20"/>
        </w:rPr>
        <w:t>Table</w:t>
      </w:r>
      <w:r w:rsidR="00CD5761">
        <w:rPr>
          <w:b/>
          <w:sz w:val="20"/>
          <w:szCs w:val="20"/>
        </w:rPr>
        <w:t xml:space="preserve"> 3</w:t>
      </w:r>
      <w:r w:rsidRPr="000071E2">
        <w:rPr>
          <w:b/>
          <w:sz w:val="20"/>
          <w:szCs w:val="20"/>
        </w:rPr>
        <w:t>.</w:t>
      </w:r>
      <w:r w:rsidRPr="000071E2">
        <w:rPr>
          <w:sz w:val="20"/>
          <w:szCs w:val="20"/>
        </w:rPr>
        <w:t xml:space="preserve"> Bank Rumors and Stock Price Synchronicity</w:t>
      </w:r>
    </w:p>
    <w:tbl>
      <w:tblPr>
        <w:tblW w:w="5760" w:type="dxa"/>
        <w:jc w:val="center"/>
        <w:tblLook w:val="04A0" w:firstRow="1" w:lastRow="0" w:firstColumn="1" w:lastColumn="0" w:noHBand="0" w:noVBand="1"/>
      </w:tblPr>
      <w:tblGrid>
        <w:gridCol w:w="1320"/>
        <w:gridCol w:w="1480"/>
        <w:gridCol w:w="1480"/>
        <w:gridCol w:w="1480"/>
      </w:tblGrid>
      <w:tr w:rsidR="00E20EDD" w:rsidRPr="000071E2" w14:paraId="68E51A9A" w14:textId="77777777" w:rsidTr="00E20EDD">
        <w:trPr>
          <w:trHeight w:val="528"/>
          <w:jc w:val="center"/>
        </w:trPr>
        <w:tc>
          <w:tcPr>
            <w:tcW w:w="1320" w:type="dxa"/>
            <w:tcBorders>
              <w:top w:val="single" w:sz="4" w:space="0" w:color="auto"/>
              <w:left w:val="nil"/>
              <w:bottom w:val="single" w:sz="4" w:space="0" w:color="auto"/>
              <w:right w:val="nil"/>
            </w:tcBorders>
            <w:noWrap/>
            <w:vAlign w:val="center"/>
            <w:hideMark/>
          </w:tcPr>
          <w:p w14:paraId="3619ED75" w14:textId="77777777" w:rsidR="00E20EDD" w:rsidRPr="000071E2" w:rsidRDefault="00E20EDD" w:rsidP="00E20EDD">
            <w:pPr>
              <w:jc w:val="center"/>
              <w:rPr>
                <w:i/>
                <w:iCs/>
                <w:color w:val="000000"/>
                <w:sz w:val="20"/>
                <w:szCs w:val="20"/>
              </w:rPr>
            </w:pPr>
            <w:r w:rsidRPr="000071E2">
              <w:rPr>
                <w:i/>
                <w:iCs/>
                <w:color w:val="000000"/>
                <w:sz w:val="20"/>
                <w:szCs w:val="20"/>
              </w:rPr>
              <w:t> </w:t>
            </w:r>
          </w:p>
        </w:tc>
        <w:tc>
          <w:tcPr>
            <w:tcW w:w="1480" w:type="dxa"/>
            <w:tcBorders>
              <w:top w:val="single" w:sz="4" w:space="0" w:color="auto"/>
              <w:left w:val="nil"/>
              <w:bottom w:val="single" w:sz="4" w:space="0" w:color="auto"/>
              <w:right w:val="nil"/>
            </w:tcBorders>
            <w:vAlign w:val="center"/>
            <w:hideMark/>
          </w:tcPr>
          <w:p w14:paraId="1BB77DAB" w14:textId="77777777" w:rsidR="00E20EDD" w:rsidRPr="000071E2" w:rsidRDefault="00E20EDD" w:rsidP="00E20EDD">
            <w:pPr>
              <w:jc w:val="center"/>
              <w:rPr>
                <w:i/>
                <w:iCs/>
                <w:sz w:val="20"/>
                <w:szCs w:val="20"/>
              </w:rPr>
            </w:pPr>
            <w:r w:rsidRPr="000071E2">
              <w:rPr>
                <w:i/>
                <w:iCs/>
                <w:sz w:val="20"/>
                <w:szCs w:val="20"/>
              </w:rPr>
              <w:t>SYN</w:t>
            </w:r>
            <w:r w:rsidRPr="000071E2">
              <w:rPr>
                <w:i/>
                <w:iCs/>
                <w:sz w:val="20"/>
                <w:szCs w:val="20"/>
              </w:rPr>
              <w:br/>
              <w:t>(1)</w:t>
            </w:r>
          </w:p>
        </w:tc>
        <w:tc>
          <w:tcPr>
            <w:tcW w:w="1480" w:type="dxa"/>
            <w:tcBorders>
              <w:top w:val="single" w:sz="4" w:space="0" w:color="auto"/>
              <w:left w:val="nil"/>
              <w:bottom w:val="single" w:sz="4" w:space="0" w:color="auto"/>
              <w:right w:val="nil"/>
            </w:tcBorders>
            <w:vAlign w:val="center"/>
            <w:hideMark/>
          </w:tcPr>
          <w:p w14:paraId="695CCCA1" w14:textId="77777777" w:rsidR="00E20EDD" w:rsidRPr="000071E2" w:rsidRDefault="00E20EDD" w:rsidP="00E20EDD">
            <w:pPr>
              <w:jc w:val="center"/>
              <w:rPr>
                <w:i/>
                <w:iCs/>
                <w:sz w:val="20"/>
                <w:szCs w:val="20"/>
              </w:rPr>
            </w:pPr>
            <w:r w:rsidRPr="000071E2">
              <w:rPr>
                <w:i/>
                <w:iCs/>
                <w:sz w:val="20"/>
                <w:szCs w:val="20"/>
              </w:rPr>
              <w:t>SYN</w:t>
            </w:r>
            <w:r w:rsidRPr="000071E2">
              <w:rPr>
                <w:i/>
                <w:iCs/>
                <w:sz w:val="20"/>
                <w:szCs w:val="20"/>
              </w:rPr>
              <w:br/>
              <w:t>(2)</w:t>
            </w:r>
          </w:p>
        </w:tc>
        <w:tc>
          <w:tcPr>
            <w:tcW w:w="1480" w:type="dxa"/>
            <w:tcBorders>
              <w:top w:val="single" w:sz="4" w:space="0" w:color="auto"/>
              <w:left w:val="nil"/>
              <w:bottom w:val="single" w:sz="4" w:space="0" w:color="auto"/>
              <w:right w:val="nil"/>
            </w:tcBorders>
            <w:vAlign w:val="center"/>
            <w:hideMark/>
          </w:tcPr>
          <w:p w14:paraId="28232F94" w14:textId="77777777" w:rsidR="00E20EDD" w:rsidRPr="000071E2" w:rsidRDefault="00E20EDD" w:rsidP="00E20EDD">
            <w:pPr>
              <w:jc w:val="center"/>
              <w:rPr>
                <w:i/>
                <w:iCs/>
                <w:sz w:val="20"/>
                <w:szCs w:val="20"/>
              </w:rPr>
            </w:pPr>
            <w:r w:rsidRPr="000071E2">
              <w:rPr>
                <w:i/>
                <w:iCs/>
                <w:sz w:val="20"/>
                <w:szCs w:val="20"/>
              </w:rPr>
              <w:t>SYN</w:t>
            </w:r>
            <w:r w:rsidRPr="000071E2">
              <w:rPr>
                <w:i/>
                <w:iCs/>
                <w:sz w:val="20"/>
                <w:szCs w:val="20"/>
              </w:rPr>
              <w:br/>
              <w:t>(3)</w:t>
            </w:r>
          </w:p>
        </w:tc>
      </w:tr>
      <w:tr w:rsidR="00E20EDD" w:rsidRPr="000071E2" w14:paraId="29596A81" w14:textId="77777777" w:rsidTr="00487AAC">
        <w:trPr>
          <w:trHeight w:val="20"/>
          <w:jc w:val="center"/>
        </w:trPr>
        <w:tc>
          <w:tcPr>
            <w:tcW w:w="1320" w:type="dxa"/>
            <w:tcBorders>
              <w:top w:val="nil"/>
              <w:left w:val="nil"/>
              <w:bottom w:val="nil"/>
              <w:right w:val="nil"/>
            </w:tcBorders>
            <w:noWrap/>
            <w:vAlign w:val="center"/>
            <w:hideMark/>
          </w:tcPr>
          <w:p w14:paraId="383A7DFB" w14:textId="77777777" w:rsidR="00E20EDD" w:rsidRPr="000071E2" w:rsidRDefault="00E20EDD" w:rsidP="00E20EDD">
            <w:pPr>
              <w:jc w:val="center"/>
              <w:rPr>
                <w:i/>
                <w:iCs/>
                <w:sz w:val="20"/>
                <w:szCs w:val="20"/>
              </w:rPr>
            </w:pPr>
            <w:r w:rsidRPr="000071E2">
              <w:rPr>
                <w:i/>
                <w:iCs/>
                <w:sz w:val="20"/>
                <w:szCs w:val="20"/>
              </w:rPr>
              <w:t>Rumor</w:t>
            </w:r>
          </w:p>
        </w:tc>
        <w:tc>
          <w:tcPr>
            <w:tcW w:w="1480" w:type="dxa"/>
            <w:tcBorders>
              <w:top w:val="nil"/>
              <w:left w:val="nil"/>
              <w:bottom w:val="nil"/>
              <w:right w:val="nil"/>
            </w:tcBorders>
            <w:vAlign w:val="center"/>
            <w:hideMark/>
          </w:tcPr>
          <w:p w14:paraId="36FFDF93" w14:textId="77777777" w:rsidR="00E20EDD" w:rsidRPr="000071E2" w:rsidRDefault="00E20EDD" w:rsidP="00E20EDD">
            <w:pPr>
              <w:jc w:val="center"/>
              <w:rPr>
                <w:color w:val="000000"/>
                <w:sz w:val="20"/>
                <w:szCs w:val="20"/>
              </w:rPr>
            </w:pPr>
            <w:r w:rsidRPr="000071E2">
              <w:rPr>
                <w:color w:val="000000"/>
                <w:sz w:val="20"/>
                <w:szCs w:val="20"/>
              </w:rPr>
              <w:t>0.222</w:t>
            </w:r>
            <w:r w:rsidRPr="000071E2">
              <w:rPr>
                <w:color w:val="000000"/>
                <w:sz w:val="20"/>
                <w:szCs w:val="20"/>
              </w:rPr>
              <w:br/>
              <w:t>(1.51)</w:t>
            </w:r>
          </w:p>
        </w:tc>
        <w:tc>
          <w:tcPr>
            <w:tcW w:w="1480" w:type="dxa"/>
            <w:tcBorders>
              <w:top w:val="nil"/>
              <w:left w:val="nil"/>
              <w:bottom w:val="nil"/>
              <w:right w:val="nil"/>
            </w:tcBorders>
            <w:noWrap/>
            <w:vAlign w:val="center"/>
            <w:hideMark/>
          </w:tcPr>
          <w:p w14:paraId="1130D8A1" w14:textId="77777777" w:rsidR="00E20EDD" w:rsidRPr="000071E2" w:rsidRDefault="00E20EDD" w:rsidP="00E20EDD">
            <w:pPr>
              <w:jc w:val="center"/>
              <w:rPr>
                <w:color w:val="000000"/>
                <w:sz w:val="20"/>
                <w:szCs w:val="20"/>
              </w:rPr>
            </w:pPr>
          </w:p>
        </w:tc>
        <w:tc>
          <w:tcPr>
            <w:tcW w:w="1480" w:type="dxa"/>
            <w:tcBorders>
              <w:top w:val="nil"/>
              <w:left w:val="nil"/>
              <w:bottom w:val="nil"/>
              <w:right w:val="nil"/>
            </w:tcBorders>
            <w:noWrap/>
            <w:vAlign w:val="center"/>
            <w:hideMark/>
          </w:tcPr>
          <w:p w14:paraId="19F3643E" w14:textId="77777777" w:rsidR="00E20EDD" w:rsidRPr="000071E2" w:rsidRDefault="00E20EDD" w:rsidP="00E20EDD">
            <w:pPr>
              <w:jc w:val="center"/>
              <w:rPr>
                <w:sz w:val="20"/>
                <w:szCs w:val="20"/>
              </w:rPr>
            </w:pPr>
          </w:p>
        </w:tc>
      </w:tr>
      <w:tr w:rsidR="00E20EDD" w:rsidRPr="000071E2" w14:paraId="73E45568" w14:textId="77777777" w:rsidTr="00487AAC">
        <w:trPr>
          <w:trHeight w:val="20"/>
          <w:jc w:val="center"/>
        </w:trPr>
        <w:tc>
          <w:tcPr>
            <w:tcW w:w="1320" w:type="dxa"/>
            <w:tcBorders>
              <w:top w:val="nil"/>
              <w:left w:val="nil"/>
              <w:bottom w:val="nil"/>
              <w:right w:val="nil"/>
            </w:tcBorders>
            <w:noWrap/>
            <w:vAlign w:val="center"/>
            <w:hideMark/>
          </w:tcPr>
          <w:p w14:paraId="66579161" w14:textId="77777777" w:rsidR="00E20EDD" w:rsidRPr="000071E2" w:rsidRDefault="00E20EDD" w:rsidP="00E20EDD">
            <w:pPr>
              <w:jc w:val="center"/>
              <w:rPr>
                <w:i/>
                <w:iCs/>
                <w:sz w:val="20"/>
                <w:szCs w:val="20"/>
              </w:rPr>
            </w:pPr>
            <w:proofErr w:type="spellStart"/>
            <w:r w:rsidRPr="000071E2">
              <w:rPr>
                <w:i/>
                <w:iCs/>
                <w:sz w:val="20"/>
                <w:szCs w:val="20"/>
              </w:rPr>
              <w:t>Rpos</w:t>
            </w:r>
            <w:proofErr w:type="spellEnd"/>
          </w:p>
        </w:tc>
        <w:tc>
          <w:tcPr>
            <w:tcW w:w="1480" w:type="dxa"/>
            <w:tcBorders>
              <w:top w:val="nil"/>
              <w:left w:val="nil"/>
              <w:bottom w:val="nil"/>
              <w:right w:val="nil"/>
            </w:tcBorders>
            <w:noWrap/>
            <w:vAlign w:val="center"/>
            <w:hideMark/>
          </w:tcPr>
          <w:p w14:paraId="4871311F" w14:textId="77777777" w:rsidR="00E20EDD" w:rsidRPr="000071E2" w:rsidRDefault="00E20EDD" w:rsidP="00E20EDD">
            <w:pPr>
              <w:jc w:val="center"/>
              <w:rPr>
                <w:i/>
                <w:iCs/>
                <w:sz w:val="20"/>
                <w:szCs w:val="20"/>
              </w:rPr>
            </w:pPr>
          </w:p>
        </w:tc>
        <w:tc>
          <w:tcPr>
            <w:tcW w:w="1480" w:type="dxa"/>
            <w:tcBorders>
              <w:top w:val="nil"/>
              <w:left w:val="nil"/>
              <w:bottom w:val="nil"/>
              <w:right w:val="nil"/>
            </w:tcBorders>
            <w:vAlign w:val="center"/>
            <w:hideMark/>
          </w:tcPr>
          <w:p w14:paraId="397647E8" w14:textId="77777777" w:rsidR="00E20EDD" w:rsidRPr="000071E2" w:rsidRDefault="00E20EDD" w:rsidP="00E20EDD">
            <w:pPr>
              <w:jc w:val="center"/>
              <w:rPr>
                <w:color w:val="000000"/>
                <w:sz w:val="20"/>
                <w:szCs w:val="20"/>
              </w:rPr>
            </w:pPr>
            <w:r w:rsidRPr="000071E2">
              <w:rPr>
                <w:color w:val="000000"/>
                <w:sz w:val="20"/>
                <w:szCs w:val="20"/>
              </w:rPr>
              <w:t>0.251</w:t>
            </w:r>
            <w:r w:rsidRPr="000071E2">
              <w:rPr>
                <w:color w:val="000000"/>
                <w:sz w:val="20"/>
                <w:szCs w:val="20"/>
              </w:rPr>
              <w:br/>
              <w:t>(1.57)</w:t>
            </w:r>
          </w:p>
        </w:tc>
        <w:tc>
          <w:tcPr>
            <w:tcW w:w="1480" w:type="dxa"/>
            <w:tcBorders>
              <w:top w:val="nil"/>
              <w:left w:val="nil"/>
              <w:bottom w:val="nil"/>
              <w:right w:val="nil"/>
            </w:tcBorders>
            <w:noWrap/>
            <w:vAlign w:val="center"/>
            <w:hideMark/>
          </w:tcPr>
          <w:p w14:paraId="09B15A5D" w14:textId="77777777" w:rsidR="00E20EDD" w:rsidRPr="000071E2" w:rsidRDefault="00E20EDD" w:rsidP="00E20EDD">
            <w:pPr>
              <w:jc w:val="center"/>
              <w:rPr>
                <w:color w:val="000000"/>
                <w:sz w:val="20"/>
                <w:szCs w:val="20"/>
              </w:rPr>
            </w:pPr>
          </w:p>
        </w:tc>
      </w:tr>
      <w:tr w:rsidR="00E20EDD" w:rsidRPr="000071E2" w14:paraId="5DB29DEB" w14:textId="77777777" w:rsidTr="00487AAC">
        <w:trPr>
          <w:trHeight w:val="20"/>
          <w:jc w:val="center"/>
        </w:trPr>
        <w:tc>
          <w:tcPr>
            <w:tcW w:w="1320" w:type="dxa"/>
            <w:tcBorders>
              <w:top w:val="nil"/>
              <w:left w:val="nil"/>
              <w:bottom w:val="nil"/>
              <w:right w:val="nil"/>
            </w:tcBorders>
            <w:noWrap/>
            <w:vAlign w:val="center"/>
            <w:hideMark/>
          </w:tcPr>
          <w:p w14:paraId="19AD7CC1" w14:textId="77777777" w:rsidR="00E20EDD" w:rsidRPr="000071E2" w:rsidRDefault="00E20EDD" w:rsidP="00E20EDD">
            <w:pPr>
              <w:jc w:val="center"/>
              <w:rPr>
                <w:i/>
                <w:iCs/>
                <w:sz w:val="20"/>
                <w:szCs w:val="20"/>
              </w:rPr>
            </w:pPr>
            <w:proofErr w:type="spellStart"/>
            <w:r w:rsidRPr="000071E2">
              <w:rPr>
                <w:i/>
                <w:iCs/>
                <w:sz w:val="20"/>
                <w:szCs w:val="20"/>
              </w:rPr>
              <w:t>Rneg</w:t>
            </w:r>
            <w:proofErr w:type="spellEnd"/>
          </w:p>
        </w:tc>
        <w:tc>
          <w:tcPr>
            <w:tcW w:w="1480" w:type="dxa"/>
            <w:tcBorders>
              <w:top w:val="nil"/>
              <w:left w:val="nil"/>
              <w:bottom w:val="nil"/>
              <w:right w:val="nil"/>
            </w:tcBorders>
            <w:noWrap/>
            <w:vAlign w:val="center"/>
            <w:hideMark/>
          </w:tcPr>
          <w:p w14:paraId="2F97C943" w14:textId="77777777" w:rsidR="00E20EDD" w:rsidRPr="000071E2" w:rsidRDefault="00E20EDD" w:rsidP="00E20EDD">
            <w:pPr>
              <w:jc w:val="center"/>
              <w:rPr>
                <w:i/>
                <w:iCs/>
                <w:sz w:val="20"/>
                <w:szCs w:val="20"/>
              </w:rPr>
            </w:pPr>
          </w:p>
        </w:tc>
        <w:tc>
          <w:tcPr>
            <w:tcW w:w="1480" w:type="dxa"/>
            <w:tcBorders>
              <w:top w:val="nil"/>
              <w:left w:val="nil"/>
              <w:bottom w:val="nil"/>
              <w:right w:val="nil"/>
            </w:tcBorders>
            <w:noWrap/>
            <w:vAlign w:val="center"/>
            <w:hideMark/>
          </w:tcPr>
          <w:p w14:paraId="6D10DE50" w14:textId="77777777" w:rsidR="00E20EDD" w:rsidRPr="000071E2" w:rsidRDefault="00E20EDD" w:rsidP="00E20EDD">
            <w:pPr>
              <w:jc w:val="center"/>
              <w:rPr>
                <w:sz w:val="20"/>
                <w:szCs w:val="20"/>
              </w:rPr>
            </w:pPr>
          </w:p>
        </w:tc>
        <w:tc>
          <w:tcPr>
            <w:tcW w:w="1480" w:type="dxa"/>
            <w:tcBorders>
              <w:top w:val="nil"/>
              <w:left w:val="nil"/>
              <w:bottom w:val="nil"/>
              <w:right w:val="nil"/>
            </w:tcBorders>
            <w:vAlign w:val="center"/>
            <w:hideMark/>
          </w:tcPr>
          <w:p w14:paraId="3B2D8E23" w14:textId="77777777" w:rsidR="00E20EDD" w:rsidRPr="000071E2" w:rsidRDefault="00E20EDD" w:rsidP="00E20EDD">
            <w:pPr>
              <w:jc w:val="center"/>
              <w:rPr>
                <w:color w:val="000000"/>
                <w:sz w:val="20"/>
                <w:szCs w:val="20"/>
              </w:rPr>
            </w:pPr>
            <w:r w:rsidRPr="000071E2">
              <w:rPr>
                <w:color w:val="000000"/>
                <w:sz w:val="20"/>
                <w:szCs w:val="20"/>
              </w:rPr>
              <w:t>0.185</w:t>
            </w:r>
            <w:r w:rsidRPr="000071E2">
              <w:rPr>
                <w:color w:val="000000"/>
                <w:sz w:val="20"/>
                <w:szCs w:val="20"/>
              </w:rPr>
              <w:br/>
              <w:t>(0.59)</w:t>
            </w:r>
          </w:p>
        </w:tc>
      </w:tr>
      <w:tr w:rsidR="00E20EDD" w:rsidRPr="000071E2" w14:paraId="3DCDD150" w14:textId="77777777" w:rsidTr="00487AAC">
        <w:trPr>
          <w:trHeight w:val="20"/>
          <w:jc w:val="center"/>
        </w:trPr>
        <w:tc>
          <w:tcPr>
            <w:tcW w:w="1320" w:type="dxa"/>
            <w:tcBorders>
              <w:top w:val="nil"/>
              <w:left w:val="nil"/>
              <w:bottom w:val="nil"/>
              <w:right w:val="nil"/>
            </w:tcBorders>
            <w:noWrap/>
            <w:vAlign w:val="center"/>
            <w:hideMark/>
          </w:tcPr>
          <w:p w14:paraId="28612BF8" w14:textId="77777777" w:rsidR="00E20EDD" w:rsidRPr="000071E2" w:rsidRDefault="00E20EDD" w:rsidP="00E20EDD">
            <w:pPr>
              <w:jc w:val="center"/>
              <w:rPr>
                <w:i/>
                <w:iCs/>
                <w:sz w:val="20"/>
                <w:szCs w:val="20"/>
              </w:rPr>
            </w:pPr>
            <w:r w:rsidRPr="000071E2">
              <w:rPr>
                <w:i/>
                <w:iCs/>
                <w:sz w:val="20"/>
                <w:szCs w:val="20"/>
              </w:rPr>
              <w:t>Size</w:t>
            </w:r>
          </w:p>
        </w:tc>
        <w:tc>
          <w:tcPr>
            <w:tcW w:w="1480" w:type="dxa"/>
            <w:tcBorders>
              <w:top w:val="nil"/>
              <w:left w:val="nil"/>
              <w:bottom w:val="nil"/>
              <w:right w:val="nil"/>
            </w:tcBorders>
            <w:vAlign w:val="center"/>
            <w:hideMark/>
          </w:tcPr>
          <w:p w14:paraId="32E09CA4" w14:textId="77777777" w:rsidR="00E20EDD" w:rsidRPr="000071E2" w:rsidRDefault="00E20EDD" w:rsidP="00E20EDD">
            <w:pPr>
              <w:jc w:val="center"/>
              <w:rPr>
                <w:color w:val="000000"/>
                <w:sz w:val="20"/>
                <w:szCs w:val="20"/>
              </w:rPr>
            </w:pPr>
            <w:r w:rsidRPr="000071E2">
              <w:rPr>
                <w:color w:val="000000"/>
                <w:sz w:val="20"/>
                <w:szCs w:val="20"/>
              </w:rPr>
              <w:t>0.934***</w:t>
            </w:r>
            <w:r w:rsidRPr="000071E2">
              <w:rPr>
                <w:color w:val="000000"/>
                <w:sz w:val="20"/>
                <w:szCs w:val="20"/>
              </w:rPr>
              <w:br/>
              <w:t>(8.98)</w:t>
            </w:r>
          </w:p>
        </w:tc>
        <w:tc>
          <w:tcPr>
            <w:tcW w:w="1480" w:type="dxa"/>
            <w:tcBorders>
              <w:top w:val="nil"/>
              <w:left w:val="nil"/>
              <w:bottom w:val="nil"/>
              <w:right w:val="nil"/>
            </w:tcBorders>
            <w:vAlign w:val="center"/>
            <w:hideMark/>
          </w:tcPr>
          <w:p w14:paraId="6DE6075B" w14:textId="77777777" w:rsidR="00E20EDD" w:rsidRPr="000071E2" w:rsidRDefault="00E20EDD" w:rsidP="00E20EDD">
            <w:pPr>
              <w:jc w:val="center"/>
              <w:rPr>
                <w:color w:val="000000"/>
                <w:sz w:val="20"/>
                <w:szCs w:val="20"/>
              </w:rPr>
            </w:pPr>
            <w:r w:rsidRPr="000071E2">
              <w:rPr>
                <w:color w:val="000000"/>
                <w:sz w:val="20"/>
                <w:szCs w:val="20"/>
              </w:rPr>
              <w:t>0.942***</w:t>
            </w:r>
            <w:r w:rsidRPr="000071E2">
              <w:rPr>
                <w:color w:val="000000"/>
                <w:sz w:val="20"/>
                <w:szCs w:val="20"/>
              </w:rPr>
              <w:br/>
              <w:t>(8.96)</w:t>
            </w:r>
          </w:p>
        </w:tc>
        <w:tc>
          <w:tcPr>
            <w:tcW w:w="1480" w:type="dxa"/>
            <w:tcBorders>
              <w:top w:val="nil"/>
              <w:left w:val="nil"/>
              <w:bottom w:val="nil"/>
              <w:right w:val="nil"/>
            </w:tcBorders>
            <w:vAlign w:val="center"/>
            <w:hideMark/>
          </w:tcPr>
          <w:p w14:paraId="2CB52EB6" w14:textId="77777777" w:rsidR="00E20EDD" w:rsidRPr="000071E2" w:rsidRDefault="00E20EDD" w:rsidP="00E20EDD">
            <w:pPr>
              <w:jc w:val="center"/>
              <w:rPr>
                <w:color w:val="000000"/>
                <w:sz w:val="20"/>
                <w:szCs w:val="20"/>
              </w:rPr>
            </w:pPr>
            <w:r w:rsidRPr="000071E2">
              <w:rPr>
                <w:color w:val="000000"/>
                <w:sz w:val="20"/>
                <w:szCs w:val="20"/>
              </w:rPr>
              <w:t>0.932***</w:t>
            </w:r>
            <w:r w:rsidRPr="000071E2">
              <w:rPr>
                <w:color w:val="000000"/>
                <w:sz w:val="20"/>
                <w:szCs w:val="20"/>
              </w:rPr>
              <w:br/>
              <w:t>(8.17)</w:t>
            </w:r>
          </w:p>
        </w:tc>
      </w:tr>
      <w:tr w:rsidR="00E20EDD" w:rsidRPr="000071E2" w14:paraId="56CCC09F" w14:textId="77777777" w:rsidTr="00487AAC">
        <w:trPr>
          <w:trHeight w:val="20"/>
          <w:jc w:val="center"/>
        </w:trPr>
        <w:tc>
          <w:tcPr>
            <w:tcW w:w="1320" w:type="dxa"/>
            <w:tcBorders>
              <w:top w:val="nil"/>
              <w:left w:val="nil"/>
              <w:bottom w:val="nil"/>
              <w:right w:val="nil"/>
            </w:tcBorders>
            <w:noWrap/>
            <w:vAlign w:val="center"/>
            <w:hideMark/>
          </w:tcPr>
          <w:p w14:paraId="1BE3B1B2" w14:textId="77777777" w:rsidR="00E20EDD" w:rsidRPr="000071E2" w:rsidRDefault="00E20EDD" w:rsidP="00E20EDD">
            <w:pPr>
              <w:jc w:val="center"/>
              <w:rPr>
                <w:i/>
                <w:iCs/>
                <w:sz w:val="20"/>
                <w:szCs w:val="20"/>
              </w:rPr>
            </w:pPr>
            <w:r w:rsidRPr="000071E2">
              <w:rPr>
                <w:i/>
                <w:iCs/>
                <w:sz w:val="20"/>
                <w:szCs w:val="20"/>
              </w:rPr>
              <w:t>Lev</w:t>
            </w:r>
          </w:p>
        </w:tc>
        <w:tc>
          <w:tcPr>
            <w:tcW w:w="1480" w:type="dxa"/>
            <w:tcBorders>
              <w:top w:val="nil"/>
              <w:left w:val="nil"/>
              <w:bottom w:val="nil"/>
              <w:right w:val="nil"/>
            </w:tcBorders>
            <w:vAlign w:val="center"/>
            <w:hideMark/>
          </w:tcPr>
          <w:p w14:paraId="0924C605" w14:textId="77777777" w:rsidR="00E20EDD" w:rsidRPr="000071E2" w:rsidRDefault="00E20EDD" w:rsidP="00E20EDD">
            <w:pPr>
              <w:jc w:val="center"/>
              <w:rPr>
                <w:color w:val="000000"/>
                <w:sz w:val="20"/>
                <w:szCs w:val="20"/>
              </w:rPr>
            </w:pPr>
            <w:r w:rsidRPr="000071E2">
              <w:rPr>
                <w:color w:val="000000"/>
                <w:sz w:val="20"/>
                <w:szCs w:val="20"/>
              </w:rPr>
              <w:t>4.793</w:t>
            </w:r>
            <w:r w:rsidRPr="000071E2">
              <w:rPr>
                <w:color w:val="000000"/>
                <w:sz w:val="20"/>
                <w:szCs w:val="20"/>
              </w:rPr>
              <w:br/>
              <w:t>(1.38)</w:t>
            </w:r>
          </w:p>
        </w:tc>
        <w:tc>
          <w:tcPr>
            <w:tcW w:w="1480" w:type="dxa"/>
            <w:tcBorders>
              <w:top w:val="nil"/>
              <w:left w:val="nil"/>
              <w:bottom w:val="nil"/>
              <w:right w:val="nil"/>
            </w:tcBorders>
            <w:vAlign w:val="center"/>
            <w:hideMark/>
          </w:tcPr>
          <w:p w14:paraId="62CD64D0" w14:textId="77777777" w:rsidR="00E20EDD" w:rsidRPr="000071E2" w:rsidRDefault="00E20EDD" w:rsidP="00E20EDD">
            <w:pPr>
              <w:jc w:val="center"/>
              <w:rPr>
                <w:color w:val="000000"/>
                <w:sz w:val="20"/>
                <w:szCs w:val="20"/>
              </w:rPr>
            </w:pPr>
            <w:r w:rsidRPr="000071E2">
              <w:rPr>
                <w:color w:val="000000"/>
                <w:sz w:val="20"/>
                <w:szCs w:val="20"/>
              </w:rPr>
              <w:t>4.710</w:t>
            </w:r>
            <w:r w:rsidRPr="000071E2">
              <w:rPr>
                <w:color w:val="000000"/>
                <w:sz w:val="20"/>
                <w:szCs w:val="20"/>
              </w:rPr>
              <w:br/>
              <w:t>(1.35)</w:t>
            </w:r>
          </w:p>
        </w:tc>
        <w:tc>
          <w:tcPr>
            <w:tcW w:w="1480" w:type="dxa"/>
            <w:tcBorders>
              <w:top w:val="nil"/>
              <w:left w:val="nil"/>
              <w:bottom w:val="nil"/>
              <w:right w:val="nil"/>
            </w:tcBorders>
            <w:vAlign w:val="center"/>
            <w:hideMark/>
          </w:tcPr>
          <w:p w14:paraId="7CA165D6" w14:textId="77777777" w:rsidR="00E20EDD" w:rsidRPr="000071E2" w:rsidRDefault="00E20EDD" w:rsidP="00E20EDD">
            <w:pPr>
              <w:jc w:val="center"/>
              <w:rPr>
                <w:color w:val="000000"/>
                <w:sz w:val="20"/>
                <w:szCs w:val="20"/>
              </w:rPr>
            </w:pPr>
            <w:r w:rsidRPr="000071E2">
              <w:rPr>
                <w:color w:val="000000"/>
                <w:sz w:val="20"/>
                <w:szCs w:val="20"/>
              </w:rPr>
              <w:t>4.434</w:t>
            </w:r>
            <w:r w:rsidRPr="000071E2">
              <w:rPr>
                <w:color w:val="000000"/>
                <w:sz w:val="20"/>
                <w:szCs w:val="20"/>
              </w:rPr>
              <w:br/>
              <w:t>(1.25)</w:t>
            </w:r>
          </w:p>
        </w:tc>
      </w:tr>
      <w:tr w:rsidR="00E20EDD" w:rsidRPr="000071E2" w14:paraId="4632ECD1" w14:textId="77777777" w:rsidTr="00487AAC">
        <w:trPr>
          <w:trHeight w:val="20"/>
          <w:jc w:val="center"/>
        </w:trPr>
        <w:tc>
          <w:tcPr>
            <w:tcW w:w="1320" w:type="dxa"/>
            <w:tcBorders>
              <w:top w:val="nil"/>
              <w:left w:val="nil"/>
              <w:bottom w:val="nil"/>
              <w:right w:val="nil"/>
            </w:tcBorders>
            <w:noWrap/>
            <w:vAlign w:val="center"/>
            <w:hideMark/>
          </w:tcPr>
          <w:p w14:paraId="08067399" w14:textId="77777777" w:rsidR="00E20EDD" w:rsidRPr="000071E2" w:rsidRDefault="00E20EDD" w:rsidP="00E20EDD">
            <w:pPr>
              <w:jc w:val="center"/>
              <w:rPr>
                <w:i/>
                <w:iCs/>
                <w:sz w:val="20"/>
                <w:szCs w:val="20"/>
              </w:rPr>
            </w:pPr>
            <w:r w:rsidRPr="000071E2">
              <w:rPr>
                <w:i/>
                <w:iCs/>
                <w:sz w:val="20"/>
                <w:szCs w:val="20"/>
              </w:rPr>
              <w:t>ROA</w:t>
            </w:r>
          </w:p>
        </w:tc>
        <w:tc>
          <w:tcPr>
            <w:tcW w:w="1480" w:type="dxa"/>
            <w:tcBorders>
              <w:top w:val="nil"/>
              <w:left w:val="nil"/>
              <w:bottom w:val="nil"/>
              <w:right w:val="nil"/>
            </w:tcBorders>
            <w:vAlign w:val="center"/>
            <w:hideMark/>
          </w:tcPr>
          <w:p w14:paraId="7A8D7445" w14:textId="77777777" w:rsidR="00E20EDD" w:rsidRPr="000071E2" w:rsidRDefault="00E20EDD" w:rsidP="00E20EDD">
            <w:pPr>
              <w:jc w:val="center"/>
              <w:rPr>
                <w:color w:val="000000"/>
                <w:sz w:val="20"/>
                <w:szCs w:val="20"/>
              </w:rPr>
            </w:pPr>
            <w:r w:rsidRPr="000071E2">
              <w:rPr>
                <w:color w:val="000000"/>
                <w:sz w:val="20"/>
                <w:szCs w:val="20"/>
              </w:rPr>
              <w:t>60.744***</w:t>
            </w:r>
            <w:r w:rsidRPr="000071E2">
              <w:rPr>
                <w:color w:val="000000"/>
                <w:sz w:val="20"/>
                <w:szCs w:val="20"/>
              </w:rPr>
              <w:br/>
              <w:t>(3.75)</w:t>
            </w:r>
          </w:p>
        </w:tc>
        <w:tc>
          <w:tcPr>
            <w:tcW w:w="1480" w:type="dxa"/>
            <w:tcBorders>
              <w:top w:val="nil"/>
              <w:left w:val="nil"/>
              <w:bottom w:val="nil"/>
              <w:right w:val="nil"/>
            </w:tcBorders>
            <w:vAlign w:val="center"/>
            <w:hideMark/>
          </w:tcPr>
          <w:p w14:paraId="1FB2640B" w14:textId="77777777" w:rsidR="00E20EDD" w:rsidRPr="000071E2" w:rsidRDefault="00E20EDD" w:rsidP="00E20EDD">
            <w:pPr>
              <w:jc w:val="center"/>
              <w:rPr>
                <w:color w:val="000000"/>
                <w:sz w:val="20"/>
                <w:szCs w:val="20"/>
              </w:rPr>
            </w:pPr>
            <w:r w:rsidRPr="000071E2">
              <w:rPr>
                <w:color w:val="000000"/>
                <w:sz w:val="20"/>
                <w:szCs w:val="20"/>
              </w:rPr>
              <w:t>59.454***</w:t>
            </w:r>
            <w:r w:rsidRPr="000071E2">
              <w:rPr>
                <w:color w:val="000000"/>
                <w:sz w:val="20"/>
                <w:szCs w:val="20"/>
              </w:rPr>
              <w:br/>
              <w:t>(3.62)</w:t>
            </w:r>
          </w:p>
        </w:tc>
        <w:tc>
          <w:tcPr>
            <w:tcW w:w="1480" w:type="dxa"/>
            <w:tcBorders>
              <w:top w:val="nil"/>
              <w:left w:val="nil"/>
              <w:bottom w:val="nil"/>
              <w:right w:val="nil"/>
            </w:tcBorders>
            <w:vAlign w:val="center"/>
            <w:hideMark/>
          </w:tcPr>
          <w:p w14:paraId="19B4BFE8" w14:textId="77777777" w:rsidR="00E20EDD" w:rsidRPr="000071E2" w:rsidRDefault="00E20EDD" w:rsidP="00E20EDD">
            <w:pPr>
              <w:jc w:val="center"/>
              <w:rPr>
                <w:color w:val="000000"/>
                <w:sz w:val="20"/>
                <w:szCs w:val="20"/>
              </w:rPr>
            </w:pPr>
            <w:r w:rsidRPr="000071E2">
              <w:rPr>
                <w:color w:val="000000"/>
                <w:sz w:val="20"/>
                <w:szCs w:val="20"/>
              </w:rPr>
              <w:t>59.797***</w:t>
            </w:r>
            <w:r w:rsidRPr="000071E2">
              <w:rPr>
                <w:color w:val="000000"/>
                <w:sz w:val="20"/>
                <w:szCs w:val="20"/>
              </w:rPr>
              <w:br/>
              <w:t>(3.54)</w:t>
            </w:r>
          </w:p>
        </w:tc>
      </w:tr>
      <w:tr w:rsidR="00E20EDD" w:rsidRPr="000071E2" w14:paraId="4D37EF0F" w14:textId="77777777" w:rsidTr="00487AAC">
        <w:trPr>
          <w:trHeight w:val="20"/>
          <w:jc w:val="center"/>
        </w:trPr>
        <w:tc>
          <w:tcPr>
            <w:tcW w:w="1320" w:type="dxa"/>
            <w:tcBorders>
              <w:top w:val="nil"/>
              <w:left w:val="nil"/>
              <w:bottom w:val="nil"/>
              <w:right w:val="nil"/>
            </w:tcBorders>
            <w:noWrap/>
            <w:vAlign w:val="center"/>
            <w:hideMark/>
          </w:tcPr>
          <w:p w14:paraId="2AB3D6FC" w14:textId="77777777" w:rsidR="00E20EDD" w:rsidRPr="000071E2" w:rsidRDefault="00E20EDD" w:rsidP="00E20EDD">
            <w:pPr>
              <w:jc w:val="center"/>
              <w:rPr>
                <w:i/>
                <w:iCs/>
                <w:sz w:val="20"/>
                <w:szCs w:val="20"/>
              </w:rPr>
            </w:pPr>
            <w:r w:rsidRPr="000071E2">
              <w:rPr>
                <w:i/>
                <w:iCs/>
                <w:sz w:val="20"/>
                <w:szCs w:val="20"/>
              </w:rPr>
              <w:t>Growth</w:t>
            </w:r>
          </w:p>
        </w:tc>
        <w:tc>
          <w:tcPr>
            <w:tcW w:w="1480" w:type="dxa"/>
            <w:tcBorders>
              <w:top w:val="nil"/>
              <w:left w:val="nil"/>
              <w:bottom w:val="nil"/>
              <w:right w:val="nil"/>
            </w:tcBorders>
            <w:vAlign w:val="center"/>
            <w:hideMark/>
          </w:tcPr>
          <w:p w14:paraId="504B38D8" w14:textId="77777777" w:rsidR="00E20EDD" w:rsidRPr="000071E2" w:rsidRDefault="00E20EDD" w:rsidP="00E20EDD">
            <w:pPr>
              <w:jc w:val="center"/>
              <w:rPr>
                <w:color w:val="000000"/>
                <w:sz w:val="20"/>
                <w:szCs w:val="20"/>
              </w:rPr>
            </w:pPr>
            <w:r w:rsidRPr="000071E2">
              <w:rPr>
                <w:color w:val="000000"/>
                <w:sz w:val="20"/>
                <w:szCs w:val="20"/>
              </w:rPr>
              <w:t>0.206</w:t>
            </w:r>
            <w:r w:rsidRPr="000071E2">
              <w:rPr>
                <w:color w:val="000000"/>
                <w:sz w:val="20"/>
                <w:szCs w:val="20"/>
              </w:rPr>
              <w:br/>
              <w:t>(0.28)</w:t>
            </w:r>
          </w:p>
        </w:tc>
        <w:tc>
          <w:tcPr>
            <w:tcW w:w="1480" w:type="dxa"/>
            <w:tcBorders>
              <w:top w:val="nil"/>
              <w:left w:val="nil"/>
              <w:bottom w:val="nil"/>
              <w:right w:val="nil"/>
            </w:tcBorders>
            <w:vAlign w:val="center"/>
            <w:hideMark/>
          </w:tcPr>
          <w:p w14:paraId="70D09241" w14:textId="77777777" w:rsidR="00E20EDD" w:rsidRPr="000071E2" w:rsidRDefault="00E20EDD" w:rsidP="00E20EDD">
            <w:pPr>
              <w:jc w:val="center"/>
              <w:rPr>
                <w:color w:val="000000"/>
                <w:sz w:val="20"/>
                <w:szCs w:val="20"/>
              </w:rPr>
            </w:pPr>
            <w:r w:rsidRPr="000071E2">
              <w:rPr>
                <w:color w:val="000000"/>
                <w:sz w:val="20"/>
                <w:szCs w:val="20"/>
              </w:rPr>
              <w:t>0.188</w:t>
            </w:r>
            <w:r w:rsidRPr="000071E2">
              <w:rPr>
                <w:color w:val="000000"/>
                <w:sz w:val="20"/>
                <w:szCs w:val="20"/>
              </w:rPr>
              <w:br/>
              <w:t>(0.24)</w:t>
            </w:r>
          </w:p>
        </w:tc>
        <w:tc>
          <w:tcPr>
            <w:tcW w:w="1480" w:type="dxa"/>
            <w:tcBorders>
              <w:top w:val="nil"/>
              <w:left w:val="nil"/>
              <w:bottom w:val="nil"/>
              <w:right w:val="nil"/>
            </w:tcBorders>
            <w:vAlign w:val="center"/>
            <w:hideMark/>
          </w:tcPr>
          <w:p w14:paraId="0C87B503" w14:textId="77777777" w:rsidR="00E20EDD" w:rsidRPr="000071E2" w:rsidRDefault="00E20EDD" w:rsidP="00E20EDD">
            <w:pPr>
              <w:jc w:val="center"/>
              <w:rPr>
                <w:color w:val="000000"/>
                <w:sz w:val="20"/>
                <w:szCs w:val="20"/>
              </w:rPr>
            </w:pPr>
            <w:r w:rsidRPr="000071E2">
              <w:rPr>
                <w:color w:val="000000"/>
                <w:sz w:val="20"/>
                <w:szCs w:val="20"/>
              </w:rPr>
              <w:t>0.162</w:t>
            </w:r>
            <w:r w:rsidRPr="000071E2">
              <w:rPr>
                <w:color w:val="000000"/>
                <w:sz w:val="20"/>
                <w:szCs w:val="20"/>
              </w:rPr>
              <w:br/>
              <w:t>(0.22)</w:t>
            </w:r>
          </w:p>
        </w:tc>
      </w:tr>
      <w:tr w:rsidR="00E20EDD" w:rsidRPr="000071E2" w14:paraId="53F25EC7" w14:textId="77777777" w:rsidTr="00487AAC">
        <w:trPr>
          <w:trHeight w:val="20"/>
          <w:jc w:val="center"/>
        </w:trPr>
        <w:tc>
          <w:tcPr>
            <w:tcW w:w="1320" w:type="dxa"/>
            <w:tcBorders>
              <w:top w:val="nil"/>
              <w:left w:val="nil"/>
              <w:bottom w:val="nil"/>
              <w:right w:val="nil"/>
            </w:tcBorders>
            <w:noWrap/>
            <w:vAlign w:val="center"/>
            <w:hideMark/>
          </w:tcPr>
          <w:p w14:paraId="75DAEA69" w14:textId="77777777" w:rsidR="00E20EDD" w:rsidRPr="000071E2" w:rsidRDefault="00E20EDD" w:rsidP="00E20EDD">
            <w:pPr>
              <w:jc w:val="center"/>
              <w:rPr>
                <w:i/>
                <w:iCs/>
                <w:sz w:val="20"/>
                <w:szCs w:val="20"/>
              </w:rPr>
            </w:pPr>
            <w:r w:rsidRPr="000071E2">
              <w:rPr>
                <w:i/>
                <w:iCs/>
                <w:sz w:val="20"/>
                <w:szCs w:val="20"/>
              </w:rPr>
              <w:t>Observations</w:t>
            </w:r>
          </w:p>
        </w:tc>
        <w:tc>
          <w:tcPr>
            <w:tcW w:w="1480" w:type="dxa"/>
            <w:tcBorders>
              <w:top w:val="nil"/>
              <w:left w:val="nil"/>
              <w:bottom w:val="nil"/>
              <w:right w:val="nil"/>
            </w:tcBorders>
            <w:noWrap/>
            <w:vAlign w:val="center"/>
            <w:hideMark/>
          </w:tcPr>
          <w:p w14:paraId="6A5FC7C9" w14:textId="77777777" w:rsidR="00E20EDD" w:rsidRPr="000071E2" w:rsidRDefault="00E20EDD" w:rsidP="00E20EDD">
            <w:pPr>
              <w:jc w:val="center"/>
              <w:rPr>
                <w:color w:val="000000"/>
                <w:sz w:val="20"/>
                <w:szCs w:val="20"/>
              </w:rPr>
            </w:pPr>
            <w:r w:rsidRPr="000071E2">
              <w:rPr>
                <w:color w:val="000000"/>
                <w:sz w:val="20"/>
                <w:szCs w:val="20"/>
              </w:rPr>
              <w:t>119</w:t>
            </w:r>
          </w:p>
        </w:tc>
        <w:tc>
          <w:tcPr>
            <w:tcW w:w="1480" w:type="dxa"/>
            <w:tcBorders>
              <w:top w:val="nil"/>
              <w:left w:val="nil"/>
              <w:bottom w:val="nil"/>
              <w:right w:val="nil"/>
            </w:tcBorders>
            <w:noWrap/>
            <w:vAlign w:val="center"/>
            <w:hideMark/>
          </w:tcPr>
          <w:p w14:paraId="77805DC8" w14:textId="77777777" w:rsidR="00E20EDD" w:rsidRPr="000071E2" w:rsidRDefault="00E20EDD" w:rsidP="00E20EDD">
            <w:pPr>
              <w:jc w:val="center"/>
              <w:rPr>
                <w:color w:val="000000"/>
                <w:sz w:val="20"/>
                <w:szCs w:val="20"/>
              </w:rPr>
            </w:pPr>
            <w:r w:rsidRPr="000071E2">
              <w:rPr>
                <w:color w:val="000000"/>
                <w:sz w:val="20"/>
                <w:szCs w:val="20"/>
              </w:rPr>
              <w:t>119</w:t>
            </w:r>
          </w:p>
        </w:tc>
        <w:tc>
          <w:tcPr>
            <w:tcW w:w="1480" w:type="dxa"/>
            <w:tcBorders>
              <w:top w:val="nil"/>
              <w:left w:val="nil"/>
              <w:bottom w:val="nil"/>
              <w:right w:val="nil"/>
            </w:tcBorders>
            <w:noWrap/>
            <w:vAlign w:val="center"/>
            <w:hideMark/>
          </w:tcPr>
          <w:p w14:paraId="129AB3DA" w14:textId="77777777" w:rsidR="00E20EDD" w:rsidRPr="000071E2" w:rsidRDefault="00E20EDD" w:rsidP="00E20EDD">
            <w:pPr>
              <w:jc w:val="center"/>
              <w:rPr>
                <w:color w:val="000000"/>
                <w:sz w:val="20"/>
                <w:szCs w:val="20"/>
              </w:rPr>
            </w:pPr>
            <w:r w:rsidRPr="000071E2">
              <w:rPr>
                <w:color w:val="000000"/>
                <w:sz w:val="20"/>
                <w:szCs w:val="20"/>
              </w:rPr>
              <w:t>119</w:t>
            </w:r>
          </w:p>
        </w:tc>
      </w:tr>
      <w:tr w:rsidR="00E20EDD" w:rsidRPr="000071E2" w14:paraId="599659D8" w14:textId="77777777" w:rsidTr="00487AAC">
        <w:trPr>
          <w:trHeight w:val="20"/>
          <w:jc w:val="center"/>
        </w:trPr>
        <w:tc>
          <w:tcPr>
            <w:tcW w:w="1320" w:type="dxa"/>
            <w:tcBorders>
              <w:top w:val="nil"/>
              <w:left w:val="nil"/>
              <w:bottom w:val="nil"/>
              <w:right w:val="nil"/>
            </w:tcBorders>
            <w:noWrap/>
            <w:vAlign w:val="center"/>
            <w:hideMark/>
          </w:tcPr>
          <w:p w14:paraId="142AD50F" w14:textId="77777777" w:rsidR="00E20EDD" w:rsidRPr="000071E2" w:rsidRDefault="00E20EDD" w:rsidP="00E20EDD">
            <w:pPr>
              <w:jc w:val="center"/>
              <w:rPr>
                <w:i/>
                <w:iCs/>
                <w:sz w:val="20"/>
                <w:szCs w:val="20"/>
              </w:rPr>
            </w:pPr>
            <w:r w:rsidRPr="000071E2">
              <w:rPr>
                <w:i/>
                <w:iCs/>
                <w:sz w:val="20"/>
                <w:szCs w:val="20"/>
              </w:rPr>
              <w:t>R2</w:t>
            </w:r>
          </w:p>
        </w:tc>
        <w:tc>
          <w:tcPr>
            <w:tcW w:w="1480" w:type="dxa"/>
            <w:tcBorders>
              <w:top w:val="nil"/>
              <w:left w:val="nil"/>
              <w:bottom w:val="nil"/>
              <w:right w:val="nil"/>
            </w:tcBorders>
            <w:noWrap/>
            <w:vAlign w:val="center"/>
            <w:hideMark/>
          </w:tcPr>
          <w:p w14:paraId="4A3C4EFB" w14:textId="77777777" w:rsidR="00E20EDD" w:rsidRPr="000071E2" w:rsidRDefault="00E20EDD" w:rsidP="00E20EDD">
            <w:pPr>
              <w:jc w:val="center"/>
              <w:rPr>
                <w:color w:val="000000"/>
                <w:sz w:val="20"/>
                <w:szCs w:val="20"/>
              </w:rPr>
            </w:pPr>
            <w:r w:rsidRPr="000071E2">
              <w:rPr>
                <w:color w:val="000000"/>
                <w:sz w:val="20"/>
                <w:szCs w:val="20"/>
              </w:rPr>
              <w:t>0.659</w:t>
            </w:r>
          </w:p>
        </w:tc>
        <w:tc>
          <w:tcPr>
            <w:tcW w:w="1480" w:type="dxa"/>
            <w:tcBorders>
              <w:top w:val="nil"/>
              <w:left w:val="nil"/>
              <w:bottom w:val="nil"/>
              <w:right w:val="nil"/>
            </w:tcBorders>
            <w:noWrap/>
            <w:vAlign w:val="center"/>
            <w:hideMark/>
          </w:tcPr>
          <w:p w14:paraId="06AEC54F" w14:textId="77777777" w:rsidR="00E20EDD" w:rsidRPr="000071E2" w:rsidRDefault="00E20EDD" w:rsidP="00E20EDD">
            <w:pPr>
              <w:jc w:val="center"/>
              <w:rPr>
                <w:color w:val="000000"/>
                <w:sz w:val="20"/>
                <w:szCs w:val="20"/>
              </w:rPr>
            </w:pPr>
            <w:r w:rsidRPr="000071E2">
              <w:rPr>
                <w:color w:val="000000"/>
                <w:sz w:val="20"/>
                <w:szCs w:val="20"/>
              </w:rPr>
              <w:t>0.658</w:t>
            </w:r>
          </w:p>
        </w:tc>
        <w:tc>
          <w:tcPr>
            <w:tcW w:w="1480" w:type="dxa"/>
            <w:tcBorders>
              <w:top w:val="nil"/>
              <w:left w:val="nil"/>
              <w:bottom w:val="nil"/>
              <w:right w:val="nil"/>
            </w:tcBorders>
            <w:noWrap/>
            <w:vAlign w:val="center"/>
            <w:hideMark/>
          </w:tcPr>
          <w:p w14:paraId="79D41E2B" w14:textId="77777777" w:rsidR="00E20EDD" w:rsidRPr="000071E2" w:rsidRDefault="00E20EDD" w:rsidP="00E20EDD">
            <w:pPr>
              <w:jc w:val="center"/>
              <w:rPr>
                <w:color w:val="000000"/>
                <w:sz w:val="20"/>
                <w:szCs w:val="20"/>
              </w:rPr>
            </w:pPr>
            <w:r w:rsidRPr="000071E2">
              <w:rPr>
                <w:color w:val="000000"/>
                <w:sz w:val="20"/>
                <w:szCs w:val="20"/>
              </w:rPr>
              <w:t>0.654</w:t>
            </w:r>
          </w:p>
        </w:tc>
      </w:tr>
    </w:tbl>
    <w:p w14:paraId="4E03783E" w14:textId="77777777" w:rsidR="002E341F" w:rsidRDefault="002E341F" w:rsidP="002E341F">
      <w:pPr>
        <w:spacing w:before="120"/>
        <w:jc w:val="both"/>
        <w:rPr>
          <w:sz w:val="20"/>
          <w:szCs w:val="20"/>
        </w:rPr>
      </w:pPr>
    </w:p>
    <w:p w14:paraId="12625EF5" w14:textId="53BF8410" w:rsidR="002E341F" w:rsidRPr="00074BFE" w:rsidRDefault="002E341F" w:rsidP="002E341F">
      <w:pPr>
        <w:spacing w:before="120"/>
        <w:jc w:val="both"/>
        <w:rPr>
          <w:sz w:val="20"/>
          <w:szCs w:val="20"/>
        </w:rPr>
      </w:pPr>
      <w:r w:rsidRPr="00074BFE">
        <w:rPr>
          <w:sz w:val="20"/>
          <w:szCs w:val="20"/>
        </w:rPr>
        <w:t xml:space="preserve">The regression results in Table 4 show that the effect of rumors on mispricing depends on the measurement approach. With </w:t>
      </w:r>
      <m:oMath>
        <m:r>
          <w:rPr>
            <w:rFonts w:ascii="Cambria Math" w:hAnsi="Cambria Math"/>
            <w:sz w:val="20"/>
            <w:szCs w:val="20"/>
          </w:rPr>
          <m:t>Misp1</m:t>
        </m:r>
      </m:oMath>
      <w:r w:rsidRPr="00074BFE">
        <w:rPr>
          <w:sz w:val="20"/>
          <w:szCs w:val="20"/>
        </w:rPr>
        <w:t xml:space="preserve"> (accounting-based), the coefficient for total rumors is 0.162 (t = 0.87) and insignificant, while </w:t>
      </w:r>
      <m:oMath>
        <m:r>
          <w:rPr>
            <w:rFonts w:ascii="Cambria Math" w:hAnsi="Cambria Math"/>
            <w:sz w:val="20"/>
            <w:szCs w:val="20"/>
          </w:rPr>
          <m:t>Rpos</m:t>
        </m:r>
      </m:oMath>
      <w:r w:rsidRPr="00074BFE">
        <w:rPr>
          <w:sz w:val="20"/>
          <w:szCs w:val="20"/>
        </w:rPr>
        <w:t xml:space="preserve"> (0.285, t = 1.02) and </w:t>
      </w:r>
      <m:oMath>
        <m:r>
          <w:rPr>
            <w:rFonts w:ascii="Cambria Math" w:hAnsi="Cambria Math"/>
            <w:sz w:val="20"/>
            <w:szCs w:val="20"/>
          </w:rPr>
          <m:t>Rneg</m:t>
        </m:r>
      </m:oMath>
      <w:r w:rsidRPr="00074BFE">
        <w:rPr>
          <w:sz w:val="20"/>
          <w:szCs w:val="20"/>
        </w:rPr>
        <w:t xml:space="preserve"> (0.487, t = 1.10) are also insignificant. This indicates that rumors do not explain price deviations from fundamentals under accounting-based measures. By contrast, with </w:t>
      </w:r>
      <m:oMath>
        <m:r>
          <w:rPr>
            <w:rFonts w:ascii="Cambria Math" w:hAnsi="Cambria Math"/>
            <w:sz w:val="20"/>
            <w:szCs w:val="20"/>
          </w:rPr>
          <m:t>Misp2</m:t>
        </m:r>
      </m:oMath>
      <w:r w:rsidRPr="00074BFE">
        <w:rPr>
          <w:sz w:val="20"/>
          <w:szCs w:val="20"/>
        </w:rPr>
        <w:t xml:space="preserve"> (market-based, </w:t>
      </w:r>
      <m:oMath>
        <m:r>
          <w:rPr>
            <w:rFonts w:ascii="Cambria Math" w:hAnsi="Cambria Math"/>
            <w:sz w:val="20"/>
            <w:szCs w:val="20"/>
          </w:rPr>
          <m:t>Tobi</m:t>
        </m:r>
        <m:sSup>
          <m:sSupPr>
            <m:ctrlPr>
              <w:rPr>
                <w:rFonts w:ascii="Cambria Math" w:hAnsi="Cambria Math"/>
                <w:bCs/>
                <w:i/>
                <w:sz w:val="20"/>
                <w:szCs w:val="20"/>
              </w:rPr>
            </m:ctrlPr>
          </m:sSupPr>
          <m:e>
            <m:r>
              <w:rPr>
                <w:rFonts w:ascii="Cambria Math" w:hAnsi="Cambria Math"/>
                <w:sz w:val="20"/>
                <w:szCs w:val="20"/>
              </w:rPr>
              <m:t>n</m:t>
            </m:r>
          </m:e>
          <m:sup>
            <m:r>
              <w:rPr>
                <w:rFonts w:ascii="Cambria Math" w:hAnsi="Cambria Math"/>
                <w:sz w:val="20"/>
                <w:szCs w:val="20"/>
              </w:rPr>
              <m:t>'</m:t>
            </m:r>
          </m:sup>
        </m:sSup>
        <m:r>
          <w:rPr>
            <w:rFonts w:ascii="Cambria Math" w:hAnsi="Cambria Math"/>
            <w:sz w:val="20"/>
            <w:szCs w:val="20"/>
          </w:rPr>
          <m:t>sQ</m:t>
        </m:r>
      </m:oMath>
      <w:r w:rsidRPr="00074BFE">
        <w:rPr>
          <w:sz w:val="20"/>
          <w:szCs w:val="20"/>
        </w:rPr>
        <w:t xml:space="preserve"> residuals)</w:t>
      </w:r>
      <w:r w:rsidR="00FE0F15" w:rsidRPr="00074BFE">
        <w:rPr>
          <w:sz w:val="20"/>
          <w:szCs w:val="20"/>
        </w:rPr>
        <w:t>,</w:t>
      </w:r>
      <w:r w:rsidRPr="00074BFE">
        <w:rPr>
          <w:sz w:val="20"/>
          <w:szCs w:val="20"/>
        </w:rPr>
        <w:t xml:space="preserve"> total rumors have a positive and significant effect (0.366, t = 2.86, at the 1% level). However, </w:t>
      </w:r>
      <m:oMath>
        <m:r>
          <w:rPr>
            <w:rFonts w:ascii="Cambria Math" w:hAnsi="Cambria Math"/>
            <w:sz w:val="20"/>
            <w:szCs w:val="20"/>
          </w:rPr>
          <m:t>Rpos</m:t>
        </m:r>
      </m:oMath>
      <w:r w:rsidRPr="00074BFE">
        <w:rPr>
          <w:sz w:val="20"/>
          <w:szCs w:val="20"/>
        </w:rPr>
        <w:t xml:space="preserve"> (0.247, t = 1.21) and </w:t>
      </w:r>
      <m:oMath>
        <m:r>
          <w:rPr>
            <w:rFonts w:ascii="Cambria Math" w:hAnsi="Cambria Math"/>
            <w:sz w:val="20"/>
            <w:szCs w:val="20"/>
          </w:rPr>
          <m:t>Rneg</m:t>
        </m:r>
      </m:oMath>
      <w:r w:rsidRPr="00074BFE">
        <w:rPr>
          <w:sz w:val="20"/>
          <w:szCs w:val="20"/>
        </w:rPr>
        <w:t xml:space="preserve"> (0.241, t = 0.49) remain insignificant. This suggests that the presence of rumors, regardless of tone, increases valuation deviations under market-based measures. Overall, rumors do not affect mispricing in accounting-based models but significantly influence market-based mispricing, implying that in Vietnam’s banking sector, rumors amplify sentiment-driven noise rather than fundamentals.</w:t>
      </w:r>
    </w:p>
    <w:p w14:paraId="6FC3E392" w14:textId="77777777" w:rsidR="007A4679" w:rsidRPr="00074BFE" w:rsidRDefault="007A4679" w:rsidP="003811E5">
      <w:pPr>
        <w:spacing w:before="120"/>
        <w:jc w:val="both"/>
        <w:rPr>
          <w:sz w:val="20"/>
          <w:szCs w:val="20"/>
        </w:rPr>
      </w:pPr>
    </w:p>
    <w:p w14:paraId="29EB59B1" w14:textId="1BA7C525" w:rsidR="007A4679" w:rsidRPr="00074BFE" w:rsidRDefault="007A4679" w:rsidP="007A4679">
      <w:pPr>
        <w:spacing w:before="120"/>
        <w:jc w:val="center"/>
        <w:rPr>
          <w:sz w:val="20"/>
          <w:szCs w:val="20"/>
        </w:rPr>
      </w:pPr>
      <w:r w:rsidRPr="00074BFE">
        <w:rPr>
          <w:b/>
          <w:sz w:val="20"/>
          <w:szCs w:val="20"/>
        </w:rPr>
        <w:lastRenderedPageBreak/>
        <w:t>Table 4.</w:t>
      </w:r>
      <w:r w:rsidRPr="00074BFE">
        <w:rPr>
          <w:sz w:val="20"/>
          <w:szCs w:val="20"/>
        </w:rPr>
        <w:t xml:space="preserve"> Bank Rumors and </w:t>
      </w:r>
      <w:r w:rsidR="00F92F6C" w:rsidRPr="00074BFE">
        <w:rPr>
          <w:sz w:val="20"/>
          <w:szCs w:val="20"/>
        </w:rPr>
        <w:t>Mispricing</w:t>
      </w:r>
    </w:p>
    <w:tbl>
      <w:tblPr>
        <w:tblW w:w="7200" w:type="dxa"/>
        <w:jc w:val="center"/>
        <w:tblLook w:val="04A0" w:firstRow="1" w:lastRow="0" w:firstColumn="1" w:lastColumn="0" w:noHBand="0" w:noVBand="1"/>
      </w:tblPr>
      <w:tblGrid>
        <w:gridCol w:w="1320"/>
        <w:gridCol w:w="980"/>
        <w:gridCol w:w="980"/>
        <w:gridCol w:w="980"/>
        <w:gridCol w:w="980"/>
        <w:gridCol w:w="980"/>
        <w:gridCol w:w="980"/>
      </w:tblGrid>
      <w:tr w:rsidR="00074BFE" w:rsidRPr="00074BFE" w14:paraId="3EC9F860" w14:textId="77777777" w:rsidTr="00487FFC">
        <w:trPr>
          <w:trHeight w:val="288"/>
          <w:jc w:val="center"/>
        </w:trPr>
        <w:tc>
          <w:tcPr>
            <w:tcW w:w="1320" w:type="dxa"/>
            <w:tcBorders>
              <w:top w:val="single" w:sz="4" w:space="0" w:color="auto"/>
              <w:left w:val="nil"/>
              <w:bottom w:val="single" w:sz="4" w:space="0" w:color="auto"/>
              <w:right w:val="nil"/>
            </w:tcBorders>
            <w:noWrap/>
            <w:vAlign w:val="center"/>
            <w:hideMark/>
          </w:tcPr>
          <w:p w14:paraId="53BF2F2A" w14:textId="45B471B7" w:rsidR="00F92F6C" w:rsidRPr="00074BFE" w:rsidRDefault="00F92F6C" w:rsidP="00487FFC">
            <w:pPr>
              <w:jc w:val="center"/>
              <w:rPr>
                <w:i/>
                <w:iCs/>
                <w:sz w:val="20"/>
                <w:szCs w:val="20"/>
              </w:rPr>
            </w:pPr>
          </w:p>
        </w:tc>
        <w:tc>
          <w:tcPr>
            <w:tcW w:w="980" w:type="dxa"/>
            <w:tcBorders>
              <w:top w:val="single" w:sz="4" w:space="0" w:color="auto"/>
              <w:left w:val="nil"/>
              <w:bottom w:val="single" w:sz="4" w:space="0" w:color="auto"/>
              <w:right w:val="nil"/>
            </w:tcBorders>
            <w:vAlign w:val="center"/>
            <w:hideMark/>
          </w:tcPr>
          <w:p w14:paraId="68814A61" w14:textId="77777777" w:rsidR="00F92F6C" w:rsidRPr="00074BFE" w:rsidRDefault="00F92F6C" w:rsidP="00487FFC">
            <w:pPr>
              <w:jc w:val="center"/>
              <w:rPr>
                <w:i/>
                <w:iCs/>
                <w:sz w:val="20"/>
                <w:szCs w:val="20"/>
              </w:rPr>
            </w:pPr>
            <w:r w:rsidRPr="00074BFE">
              <w:rPr>
                <w:i/>
                <w:iCs/>
                <w:sz w:val="20"/>
                <w:szCs w:val="20"/>
              </w:rPr>
              <w:t>Misp1 (1)</w:t>
            </w:r>
          </w:p>
        </w:tc>
        <w:tc>
          <w:tcPr>
            <w:tcW w:w="980" w:type="dxa"/>
            <w:tcBorders>
              <w:top w:val="single" w:sz="4" w:space="0" w:color="auto"/>
              <w:left w:val="nil"/>
              <w:bottom w:val="single" w:sz="4" w:space="0" w:color="auto"/>
              <w:right w:val="nil"/>
            </w:tcBorders>
            <w:vAlign w:val="center"/>
            <w:hideMark/>
          </w:tcPr>
          <w:p w14:paraId="430F4933" w14:textId="77777777" w:rsidR="00F92F6C" w:rsidRPr="00074BFE" w:rsidRDefault="00F92F6C" w:rsidP="00487FFC">
            <w:pPr>
              <w:jc w:val="center"/>
              <w:rPr>
                <w:i/>
                <w:iCs/>
                <w:sz w:val="20"/>
                <w:szCs w:val="20"/>
              </w:rPr>
            </w:pPr>
            <w:r w:rsidRPr="00074BFE">
              <w:rPr>
                <w:i/>
                <w:iCs/>
                <w:sz w:val="20"/>
                <w:szCs w:val="20"/>
              </w:rPr>
              <w:t>Misp1 (2)</w:t>
            </w:r>
          </w:p>
        </w:tc>
        <w:tc>
          <w:tcPr>
            <w:tcW w:w="980" w:type="dxa"/>
            <w:tcBorders>
              <w:top w:val="single" w:sz="4" w:space="0" w:color="auto"/>
              <w:left w:val="nil"/>
              <w:bottom w:val="single" w:sz="4" w:space="0" w:color="auto"/>
              <w:right w:val="nil"/>
            </w:tcBorders>
            <w:vAlign w:val="center"/>
            <w:hideMark/>
          </w:tcPr>
          <w:p w14:paraId="3C77FAD3" w14:textId="77777777" w:rsidR="00F92F6C" w:rsidRPr="00074BFE" w:rsidRDefault="00F92F6C" w:rsidP="00487FFC">
            <w:pPr>
              <w:jc w:val="center"/>
              <w:rPr>
                <w:i/>
                <w:iCs/>
                <w:sz w:val="20"/>
                <w:szCs w:val="20"/>
              </w:rPr>
            </w:pPr>
            <w:r w:rsidRPr="00074BFE">
              <w:rPr>
                <w:i/>
                <w:iCs/>
                <w:sz w:val="20"/>
                <w:szCs w:val="20"/>
              </w:rPr>
              <w:t>Misp1 (3)</w:t>
            </w:r>
          </w:p>
        </w:tc>
        <w:tc>
          <w:tcPr>
            <w:tcW w:w="980" w:type="dxa"/>
            <w:tcBorders>
              <w:top w:val="single" w:sz="4" w:space="0" w:color="auto"/>
              <w:left w:val="nil"/>
              <w:bottom w:val="single" w:sz="4" w:space="0" w:color="auto"/>
              <w:right w:val="nil"/>
            </w:tcBorders>
            <w:vAlign w:val="center"/>
            <w:hideMark/>
          </w:tcPr>
          <w:p w14:paraId="61DE4D90" w14:textId="77777777" w:rsidR="00F92F6C" w:rsidRPr="00074BFE" w:rsidRDefault="00F92F6C" w:rsidP="00487FFC">
            <w:pPr>
              <w:jc w:val="center"/>
              <w:rPr>
                <w:i/>
                <w:iCs/>
                <w:sz w:val="20"/>
                <w:szCs w:val="20"/>
              </w:rPr>
            </w:pPr>
            <w:r w:rsidRPr="00074BFE">
              <w:rPr>
                <w:i/>
                <w:iCs/>
                <w:sz w:val="20"/>
                <w:szCs w:val="20"/>
              </w:rPr>
              <w:t>Misp2 (1)</w:t>
            </w:r>
          </w:p>
        </w:tc>
        <w:tc>
          <w:tcPr>
            <w:tcW w:w="980" w:type="dxa"/>
            <w:tcBorders>
              <w:top w:val="single" w:sz="4" w:space="0" w:color="auto"/>
              <w:left w:val="nil"/>
              <w:bottom w:val="single" w:sz="4" w:space="0" w:color="auto"/>
              <w:right w:val="nil"/>
            </w:tcBorders>
            <w:vAlign w:val="center"/>
            <w:hideMark/>
          </w:tcPr>
          <w:p w14:paraId="28527025" w14:textId="77777777" w:rsidR="00F92F6C" w:rsidRPr="00074BFE" w:rsidRDefault="00F92F6C" w:rsidP="00487FFC">
            <w:pPr>
              <w:jc w:val="center"/>
              <w:rPr>
                <w:i/>
                <w:iCs/>
                <w:sz w:val="20"/>
                <w:szCs w:val="20"/>
              </w:rPr>
            </w:pPr>
            <w:r w:rsidRPr="00074BFE">
              <w:rPr>
                <w:i/>
                <w:iCs/>
                <w:sz w:val="20"/>
                <w:szCs w:val="20"/>
              </w:rPr>
              <w:t>Misp2 (2)</w:t>
            </w:r>
          </w:p>
        </w:tc>
        <w:tc>
          <w:tcPr>
            <w:tcW w:w="980" w:type="dxa"/>
            <w:tcBorders>
              <w:top w:val="single" w:sz="4" w:space="0" w:color="auto"/>
              <w:left w:val="nil"/>
              <w:bottom w:val="single" w:sz="4" w:space="0" w:color="auto"/>
              <w:right w:val="nil"/>
            </w:tcBorders>
            <w:vAlign w:val="center"/>
            <w:hideMark/>
          </w:tcPr>
          <w:p w14:paraId="7DA50551" w14:textId="77777777" w:rsidR="00F92F6C" w:rsidRPr="00074BFE" w:rsidRDefault="00F92F6C" w:rsidP="00487FFC">
            <w:pPr>
              <w:jc w:val="center"/>
              <w:rPr>
                <w:i/>
                <w:iCs/>
                <w:sz w:val="20"/>
                <w:szCs w:val="20"/>
              </w:rPr>
            </w:pPr>
            <w:r w:rsidRPr="00074BFE">
              <w:rPr>
                <w:i/>
                <w:iCs/>
                <w:sz w:val="20"/>
                <w:szCs w:val="20"/>
              </w:rPr>
              <w:t>Misp2 (3)</w:t>
            </w:r>
          </w:p>
        </w:tc>
      </w:tr>
      <w:tr w:rsidR="00074BFE" w:rsidRPr="00074BFE" w14:paraId="4CD0AFA5" w14:textId="77777777" w:rsidTr="00487FFC">
        <w:trPr>
          <w:trHeight w:val="540"/>
          <w:jc w:val="center"/>
        </w:trPr>
        <w:tc>
          <w:tcPr>
            <w:tcW w:w="1320" w:type="dxa"/>
            <w:tcBorders>
              <w:top w:val="nil"/>
              <w:left w:val="nil"/>
              <w:bottom w:val="nil"/>
              <w:right w:val="nil"/>
            </w:tcBorders>
            <w:noWrap/>
            <w:vAlign w:val="center"/>
            <w:hideMark/>
          </w:tcPr>
          <w:p w14:paraId="654A4FC4" w14:textId="77777777" w:rsidR="00F92F6C" w:rsidRPr="00074BFE" w:rsidRDefault="00F92F6C" w:rsidP="00487FFC">
            <w:pPr>
              <w:jc w:val="center"/>
              <w:rPr>
                <w:i/>
                <w:iCs/>
                <w:sz w:val="20"/>
                <w:szCs w:val="20"/>
              </w:rPr>
            </w:pPr>
            <w:r w:rsidRPr="00074BFE">
              <w:rPr>
                <w:i/>
                <w:iCs/>
                <w:sz w:val="20"/>
                <w:szCs w:val="20"/>
              </w:rPr>
              <w:t>Rumor</w:t>
            </w:r>
          </w:p>
        </w:tc>
        <w:tc>
          <w:tcPr>
            <w:tcW w:w="980" w:type="dxa"/>
            <w:tcBorders>
              <w:top w:val="nil"/>
              <w:left w:val="nil"/>
              <w:bottom w:val="nil"/>
              <w:right w:val="nil"/>
            </w:tcBorders>
            <w:vAlign w:val="center"/>
            <w:hideMark/>
          </w:tcPr>
          <w:p w14:paraId="6EE30AAF" w14:textId="77777777" w:rsidR="00F92F6C" w:rsidRPr="00074BFE" w:rsidRDefault="00F92F6C" w:rsidP="00487FFC">
            <w:pPr>
              <w:jc w:val="center"/>
              <w:rPr>
                <w:sz w:val="20"/>
                <w:szCs w:val="20"/>
              </w:rPr>
            </w:pPr>
            <w:r w:rsidRPr="00074BFE">
              <w:rPr>
                <w:sz w:val="20"/>
                <w:szCs w:val="20"/>
              </w:rPr>
              <w:t>0.162</w:t>
            </w:r>
            <w:r w:rsidRPr="00074BFE">
              <w:rPr>
                <w:sz w:val="20"/>
                <w:szCs w:val="20"/>
              </w:rPr>
              <w:br/>
              <w:t>(0.87)</w:t>
            </w:r>
          </w:p>
        </w:tc>
        <w:tc>
          <w:tcPr>
            <w:tcW w:w="980" w:type="dxa"/>
            <w:tcBorders>
              <w:top w:val="nil"/>
              <w:left w:val="nil"/>
              <w:bottom w:val="nil"/>
              <w:right w:val="nil"/>
            </w:tcBorders>
            <w:vAlign w:val="center"/>
            <w:hideMark/>
          </w:tcPr>
          <w:p w14:paraId="171DDEC7" w14:textId="77777777" w:rsidR="00F92F6C" w:rsidRPr="00074BFE" w:rsidRDefault="00F92F6C" w:rsidP="00487FFC">
            <w:pPr>
              <w:jc w:val="center"/>
              <w:rPr>
                <w:sz w:val="20"/>
                <w:szCs w:val="20"/>
              </w:rPr>
            </w:pPr>
          </w:p>
        </w:tc>
        <w:tc>
          <w:tcPr>
            <w:tcW w:w="980" w:type="dxa"/>
            <w:tcBorders>
              <w:top w:val="nil"/>
              <w:left w:val="nil"/>
              <w:bottom w:val="nil"/>
              <w:right w:val="nil"/>
            </w:tcBorders>
            <w:vAlign w:val="center"/>
            <w:hideMark/>
          </w:tcPr>
          <w:p w14:paraId="6FF82DDD" w14:textId="77777777" w:rsidR="00F92F6C" w:rsidRPr="00074BFE" w:rsidRDefault="00F92F6C" w:rsidP="00487FFC">
            <w:pPr>
              <w:jc w:val="center"/>
              <w:rPr>
                <w:sz w:val="20"/>
                <w:szCs w:val="20"/>
              </w:rPr>
            </w:pPr>
          </w:p>
        </w:tc>
        <w:tc>
          <w:tcPr>
            <w:tcW w:w="980" w:type="dxa"/>
            <w:tcBorders>
              <w:top w:val="nil"/>
              <w:left w:val="nil"/>
              <w:bottom w:val="nil"/>
              <w:right w:val="nil"/>
            </w:tcBorders>
            <w:vAlign w:val="center"/>
            <w:hideMark/>
          </w:tcPr>
          <w:p w14:paraId="1F04729F" w14:textId="77777777" w:rsidR="00F92F6C" w:rsidRPr="00074BFE" w:rsidRDefault="00F92F6C" w:rsidP="00487FFC">
            <w:pPr>
              <w:jc w:val="center"/>
              <w:rPr>
                <w:sz w:val="20"/>
                <w:szCs w:val="20"/>
              </w:rPr>
            </w:pPr>
            <w:r w:rsidRPr="00074BFE">
              <w:rPr>
                <w:sz w:val="20"/>
                <w:szCs w:val="20"/>
              </w:rPr>
              <w:t>0.366***</w:t>
            </w:r>
            <w:r w:rsidRPr="00074BFE">
              <w:rPr>
                <w:sz w:val="20"/>
                <w:szCs w:val="20"/>
              </w:rPr>
              <w:br/>
              <w:t>(2.86)</w:t>
            </w:r>
          </w:p>
        </w:tc>
        <w:tc>
          <w:tcPr>
            <w:tcW w:w="980" w:type="dxa"/>
            <w:tcBorders>
              <w:top w:val="nil"/>
              <w:left w:val="nil"/>
              <w:bottom w:val="nil"/>
              <w:right w:val="nil"/>
            </w:tcBorders>
            <w:vAlign w:val="center"/>
            <w:hideMark/>
          </w:tcPr>
          <w:p w14:paraId="08ADF0A4" w14:textId="77777777" w:rsidR="00F92F6C" w:rsidRPr="00074BFE" w:rsidRDefault="00F92F6C" w:rsidP="00487FFC">
            <w:pPr>
              <w:jc w:val="center"/>
              <w:rPr>
                <w:sz w:val="20"/>
                <w:szCs w:val="20"/>
              </w:rPr>
            </w:pPr>
          </w:p>
        </w:tc>
        <w:tc>
          <w:tcPr>
            <w:tcW w:w="980" w:type="dxa"/>
            <w:tcBorders>
              <w:top w:val="nil"/>
              <w:left w:val="nil"/>
              <w:bottom w:val="nil"/>
              <w:right w:val="nil"/>
            </w:tcBorders>
            <w:vAlign w:val="center"/>
            <w:hideMark/>
          </w:tcPr>
          <w:p w14:paraId="13F583DF" w14:textId="77777777" w:rsidR="00F92F6C" w:rsidRPr="00074BFE" w:rsidRDefault="00F92F6C" w:rsidP="00487FFC">
            <w:pPr>
              <w:jc w:val="center"/>
              <w:rPr>
                <w:sz w:val="20"/>
                <w:szCs w:val="20"/>
              </w:rPr>
            </w:pPr>
          </w:p>
        </w:tc>
      </w:tr>
      <w:tr w:rsidR="00074BFE" w:rsidRPr="00074BFE" w14:paraId="512949DD" w14:textId="77777777" w:rsidTr="00487FFC">
        <w:trPr>
          <w:trHeight w:val="540"/>
          <w:jc w:val="center"/>
        </w:trPr>
        <w:tc>
          <w:tcPr>
            <w:tcW w:w="1320" w:type="dxa"/>
            <w:tcBorders>
              <w:top w:val="nil"/>
              <w:left w:val="nil"/>
              <w:bottom w:val="nil"/>
              <w:right w:val="nil"/>
            </w:tcBorders>
            <w:noWrap/>
            <w:vAlign w:val="center"/>
            <w:hideMark/>
          </w:tcPr>
          <w:p w14:paraId="7CEF182B" w14:textId="77777777" w:rsidR="00F92F6C" w:rsidRPr="00074BFE" w:rsidRDefault="00F92F6C" w:rsidP="00487FFC">
            <w:pPr>
              <w:jc w:val="center"/>
              <w:rPr>
                <w:i/>
                <w:iCs/>
                <w:sz w:val="20"/>
                <w:szCs w:val="20"/>
              </w:rPr>
            </w:pPr>
            <w:proofErr w:type="spellStart"/>
            <w:r w:rsidRPr="00074BFE">
              <w:rPr>
                <w:i/>
                <w:iCs/>
                <w:sz w:val="20"/>
                <w:szCs w:val="20"/>
              </w:rPr>
              <w:t>Rpos</w:t>
            </w:r>
            <w:proofErr w:type="spellEnd"/>
          </w:p>
        </w:tc>
        <w:tc>
          <w:tcPr>
            <w:tcW w:w="980" w:type="dxa"/>
            <w:tcBorders>
              <w:top w:val="nil"/>
              <w:left w:val="nil"/>
              <w:bottom w:val="nil"/>
              <w:right w:val="nil"/>
            </w:tcBorders>
            <w:vAlign w:val="center"/>
            <w:hideMark/>
          </w:tcPr>
          <w:p w14:paraId="7B7F118B" w14:textId="77777777" w:rsidR="00F92F6C" w:rsidRPr="00074BFE" w:rsidRDefault="00F92F6C" w:rsidP="00487FFC">
            <w:pPr>
              <w:jc w:val="center"/>
              <w:rPr>
                <w:i/>
                <w:iCs/>
                <w:sz w:val="20"/>
                <w:szCs w:val="20"/>
              </w:rPr>
            </w:pPr>
          </w:p>
        </w:tc>
        <w:tc>
          <w:tcPr>
            <w:tcW w:w="980" w:type="dxa"/>
            <w:tcBorders>
              <w:top w:val="nil"/>
              <w:left w:val="nil"/>
              <w:bottom w:val="nil"/>
              <w:right w:val="nil"/>
            </w:tcBorders>
            <w:vAlign w:val="center"/>
            <w:hideMark/>
          </w:tcPr>
          <w:p w14:paraId="54D0FF4D" w14:textId="77777777" w:rsidR="00F92F6C" w:rsidRPr="00074BFE" w:rsidRDefault="00F92F6C" w:rsidP="00487FFC">
            <w:pPr>
              <w:jc w:val="center"/>
              <w:rPr>
                <w:sz w:val="20"/>
                <w:szCs w:val="20"/>
              </w:rPr>
            </w:pPr>
            <w:r w:rsidRPr="00074BFE">
              <w:rPr>
                <w:sz w:val="20"/>
                <w:szCs w:val="20"/>
              </w:rPr>
              <w:t>0.285</w:t>
            </w:r>
            <w:r w:rsidRPr="00074BFE">
              <w:rPr>
                <w:sz w:val="20"/>
                <w:szCs w:val="20"/>
              </w:rPr>
              <w:br/>
              <w:t>(1.02)</w:t>
            </w:r>
          </w:p>
        </w:tc>
        <w:tc>
          <w:tcPr>
            <w:tcW w:w="980" w:type="dxa"/>
            <w:tcBorders>
              <w:top w:val="nil"/>
              <w:left w:val="nil"/>
              <w:bottom w:val="nil"/>
              <w:right w:val="nil"/>
            </w:tcBorders>
            <w:vAlign w:val="center"/>
            <w:hideMark/>
          </w:tcPr>
          <w:p w14:paraId="70DF05E9" w14:textId="77777777" w:rsidR="00F92F6C" w:rsidRPr="00074BFE" w:rsidRDefault="00F92F6C" w:rsidP="00487FFC">
            <w:pPr>
              <w:jc w:val="center"/>
              <w:rPr>
                <w:sz w:val="20"/>
                <w:szCs w:val="20"/>
              </w:rPr>
            </w:pPr>
          </w:p>
        </w:tc>
        <w:tc>
          <w:tcPr>
            <w:tcW w:w="980" w:type="dxa"/>
            <w:tcBorders>
              <w:top w:val="nil"/>
              <w:left w:val="nil"/>
              <w:bottom w:val="nil"/>
              <w:right w:val="nil"/>
            </w:tcBorders>
            <w:vAlign w:val="center"/>
            <w:hideMark/>
          </w:tcPr>
          <w:p w14:paraId="36F2ACCA" w14:textId="77777777" w:rsidR="00F92F6C" w:rsidRPr="00074BFE" w:rsidRDefault="00F92F6C" w:rsidP="00487FFC">
            <w:pPr>
              <w:jc w:val="center"/>
              <w:rPr>
                <w:sz w:val="20"/>
                <w:szCs w:val="20"/>
              </w:rPr>
            </w:pPr>
          </w:p>
        </w:tc>
        <w:tc>
          <w:tcPr>
            <w:tcW w:w="980" w:type="dxa"/>
            <w:tcBorders>
              <w:top w:val="nil"/>
              <w:left w:val="nil"/>
              <w:bottom w:val="nil"/>
              <w:right w:val="nil"/>
            </w:tcBorders>
            <w:vAlign w:val="center"/>
            <w:hideMark/>
          </w:tcPr>
          <w:p w14:paraId="16DB7FA7" w14:textId="77777777" w:rsidR="00F92F6C" w:rsidRPr="00074BFE" w:rsidRDefault="00F92F6C" w:rsidP="00487FFC">
            <w:pPr>
              <w:jc w:val="center"/>
              <w:rPr>
                <w:sz w:val="20"/>
                <w:szCs w:val="20"/>
              </w:rPr>
            </w:pPr>
            <w:r w:rsidRPr="00074BFE">
              <w:rPr>
                <w:sz w:val="20"/>
                <w:szCs w:val="20"/>
              </w:rPr>
              <w:t>0.247</w:t>
            </w:r>
            <w:r w:rsidRPr="00074BFE">
              <w:rPr>
                <w:sz w:val="20"/>
                <w:szCs w:val="20"/>
              </w:rPr>
              <w:br/>
              <w:t>(1.21)</w:t>
            </w:r>
          </w:p>
        </w:tc>
        <w:tc>
          <w:tcPr>
            <w:tcW w:w="980" w:type="dxa"/>
            <w:tcBorders>
              <w:top w:val="nil"/>
              <w:left w:val="nil"/>
              <w:bottom w:val="nil"/>
              <w:right w:val="nil"/>
            </w:tcBorders>
            <w:vAlign w:val="center"/>
            <w:hideMark/>
          </w:tcPr>
          <w:p w14:paraId="7DBCDAF8" w14:textId="77777777" w:rsidR="00F92F6C" w:rsidRPr="00074BFE" w:rsidRDefault="00F92F6C" w:rsidP="00487FFC">
            <w:pPr>
              <w:jc w:val="center"/>
              <w:rPr>
                <w:sz w:val="20"/>
                <w:szCs w:val="20"/>
              </w:rPr>
            </w:pPr>
          </w:p>
        </w:tc>
      </w:tr>
      <w:tr w:rsidR="00074BFE" w:rsidRPr="00074BFE" w14:paraId="6E527607" w14:textId="77777777" w:rsidTr="00487FFC">
        <w:trPr>
          <w:trHeight w:val="540"/>
          <w:jc w:val="center"/>
        </w:trPr>
        <w:tc>
          <w:tcPr>
            <w:tcW w:w="1320" w:type="dxa"/>
            <w:tcBorders>
              <w:top w:val="nil"/>
              <w:left w:val="nil"/>
              <w:bottom w:val="nil"/>
              <w:right w:val="nil"/>
            </w:tcBorders>
            <w:noWrap/>
            <w:vAlign w:val="center"/>
            <w:hideMark/>
          </w:tcPr>
          <w:p w14:paraId="3803812C" w14:textId="77777777" w:rsidR="00F92F6C" w:rsidRPr="00074BFE" w:rsidRDefault="00F92F6C" w:rsidP="00487FFC">
            <w:pPr>
              <w:jc w:val="center"/>
              <w:rPr>
                <w:i/>
                <w:iCs/>
                <w:sz w:val="20"/>
                <w:szCs w:val="20"/>
              </w:rPr>
            </w:pPr>
            <w:proofErr w:type="spellStart"/>
            <w:r w:rsidRPr="00074BFE">
              <w:rPr>
                <w:i/>
                <w:iCs/>
                <w:sz w:val="20"/>
                <w:szCs w:val="20"/>
              </w:rPr>
              <w:t>Rneg</w:t>
            </w:r>
            <w:proofErr w:type="spellEnd"/>
          </w:p>
        </w:tc>
        <w:tc>
          <w:tcPr>
            <w:tcW w:w="980" w:type="dxa"/>
            <w:tcBorders>
              <w:top w:val="nil"/>
              <w:left w:val="nil"/>
              <w:bottom w:val="nil"/>
              <w:right w:val="nil"/>
            </w:tcBorders>
            <w:vAlign w:val="center"/>
            <w:hideMark/>
          </w:tcPr>
          <w:p w14:paraId="797F3F4F" w14:textId="77777777" w:rsidR="00F92F6C" w:rsidRPr="00074BFE" w:rsidRDefault="00F92F6C" w:rsidP="00487FFC">
            <w:pPr>
              <w:jc w:val="center"/>
              <w:rPr>
                <w:i/>
                <w:iCs/>
                <w:sz w:val="20"/>
                <w:szCs w:val="20"/>
              </w:rPr>
            </w:pPr>
          </w:p>
        </w:tc>
        <w:tc>
          <w:tcPr>
            <w:tcW w:w="980" w:type="dxa"/>
            <w:tcBorders>
              <w:top w:val="nil"/>
              <w:left w:val="nil"/>
              <w:bottom w:val="nil"/>
              <w:right w:val="nil"/>
            </w:tcBorders>
            <w:vAlign w:val="center"/>
            <w:hideMark/>
          </w:tcPr>
          <w:p w14:paraId="21ACC119" w14:textId="77777777" w:rsidR="00F92F6C" w:rsidRPr="00074BFE" w:rsidRDefault="00F92F6C" w:rsidP="00487FFC">
            <w:pPr>
              <w:jc w:val="center"/>
              <w:rPr>
                <w:sz w:val="20"/>
                <w:szCs w:val="20"/>
              </w:rPr>
            </w:pPr>
          </w:p>
        </w:tc>
        <w:tc>
          <w:tcPr>
            <w:tcW w:w="980" w:type="dxa"/>
            <w:tcBorders>
              <w:top w:val="nil"/>
              <w:left w:val="nil"/>
              <w:bottom w:val="nil"/>
              <w:right w:val="nil"/>
            </w:tcBorders>
            <w:vAlign w:val="center"/>
            <w:hideMark/>
          </w:tcPr>
          <w:p w14:paraId="7B78983F" w14:textId="77777777" w:rsidR="00F92F6C" w:rsidRPr="00074BFE" w:rsidRDefault="00F92F6C" w:rsidP="00487FFC">
            <w:pPr>
              <w:jc w:val="center"/>
              <w:rPr>
                <w:sz w:val="20"/>
                <w:szCs w:val="20"/>
              </w:rPr>
            </w:pPr>
            <w:r w:rsidRPr="00074BFE">
              <w:rPr>
                <w:sz w:val="20"/>
                <w:szCs w:val="20"/>
              </w:rPr>
              <w:t>0.487</w:t>
            </w:r>
            <w:r w:rsidRPr="00074BFE">
              <w:rPr>
                <w:sz w:val="20"/>
                <w:szCs w:val="20"/>
              </w:rPr>
              <w:br/>
              <w:t>(1.10)</w:t>
            </w:r>
          </w:p>
        </w:tc>
        <w:tc>
          <w:tcPr>
            <w:tcW w:w="980" w:type="dxa"/>
            <w:tcBorders>
              <w:top w:val="nil"/>
              <w:left w:val="nil"/>
              <w:bottom w:val="nil"/>
              <w:right w:val="nil"/>
            </w:tcBorders>
            <w:vAlign w:val="center"/>
            <w:hideMark/>
          </w:tcPr>
          <w:p w14:paraId="5C75A39E" w14:textId="77777777" w:rsidR="00F92F6C" w:rsidRPr="00074BFE" w:rsidRDefault="00F92F6C" w:rsidP="00487FFC">
            <w:pPr>
              <w:jc w:val="center"/>
              <w:rPr>
                <w:sz w:val="20"/>
                <w:szCs w:val="20"/>
              </w:rPr>
            </w:pPr>
          </w:p>
        </w:tc>
        <w:tc>
          <w:tcPr>
            <w:tcW w:w="980" w:type="dxa"/>
            <w:tcBorders>
              <w:top w:val="nil"/>
              <w:left w:val="nil"/>
              <w:bottom w:val="nil"/>
              <w:right w:val="nil"/>
            </w:tcBorders>
            <w:vAlign w:val="center"/>
            <w:hideMark/>
          </w:tcPr>
          <w:p w14:paraId="2812D29F" w14:textId="77777777" w:rsidR="00F92F6C" w:rsidRPr="00074BFE" w:rsidRDefault="00F92F6C" w:rsidP="00487FFC">
            <w:pPr>
              <w:jc w:val="center"/>
              <w:rPr>
                <w:sz w:val="20"/>
                <w:szCs w:val="20"/>
              </w:rPr>
            </w:pPr>
          </w:p>
        </w:tc>
        <w:tc>
          <w:tcPr>
            <w:tcW w:w="980" w:type="dxa"/>
            <w:tcBorders>
              <w:top w:val="nil"/>
              <w:left w:val="nil"/>
              <w:bottom w:val="nil"/>
              <w:right w:val="nil"/>
            </w:tcBorders>
            <w:vAlign w:val="center"/>
            <w:hideMark/>
          </w:tcPr>
          <w:p w14:paraId="7526D8A7" w14:textId="77777777" w:rsidR="00F92F6C" w:rsidRPr="00074BFE" w:rsidRDefault="00F92F6C" w:rsidP="00487FFC">
            <w:pPr>
              <w:jc w:val="center"/>
              <w:rPr>
                <w:sz w:val="20"/>
                <w:szCs w:val="20"/>
              </w:rPr>
            </w:pPr>
            <w:r w:rsidRPr="00074BFE">
              <w:rPr>
                <w:sz w:val="20"/>
                <w:szCs w:val="20"/>
              </w:rPr>
              <w:t>0.241</w:t>
            </w:r>
            <w:r w:rsidRPr="00074BFE">
              <w:rPr>
                <w:sz w:val="20"/>
                <w:szCs w:val="20"/>
              </w:rPr>
              <w:br/>
              <w:t>(0.49)</w:t>
            </w:r>
          </w:p>
        </w:tc>
      </w:tr>
      <w:tr w:rsidR="00074BFE" w:rsidRPr="00074BFE" w14:paraId="497EE467" w14:textId="77777777" w:rsidTr="00487FFC">
        <w:trPr>
          <w:trHeight w:val="540"/>
          <w:jc w:val="center"/>
        </w:trPr>
        <w:tc>
          <w:tcPr>
            <w:tcW w:w="1320" w:type="dxa"/>
            <w:tcBorders>
              <w:top w:val="nil"/>
              <w:left w:val="nil"/>
              <w:bottom w:val="nil"/>
              <w:right w:val="nil"/>
            </w:tcBorders>
            <w:noWrap/>
            <w:vAlign w:val="center"/>
            <w:hideMark/>
          </w:tcPr>
          <w:p w14:paraId="6C86D204" w14:textId="77777777" w:rsidR="00F92F6C" w:rsidRPr="00074BFE" w:rsidRDefault="00F92F6C" w:rsidP="00487FFC">
            <w:pPr>
              <w:jc w:val="center"/>
              <w:rPr>
                <w:i/>
                <w:iCs/>
                <w:sz w:val="20"/>
                <w:szCs w:val="20"/>
              </w:rPr>
            </w:pPr>
            <w:r w:rsidRPr="00074BFE">
              <w:rPr>
                <w:i/>
                <w:iCs/>
                <w:sz w:val="20"/>
                <w:szCs w:val="20"/>
              </w:rPr>
              <w:t>Size</w:t>
            </w:r>
          </w:p>
        </w:tc>
        <w:tc>
          <w:tcPr>
            <w:tcW w:w="980" w:type="dxa"/>
            <w:tcBorders>
              <w:top w:val="nil"/>
              <w:left w:val="nil"/>
              <w:bottom w:val="nil"/>
              <w:right w:val="nil"/>
            </w:tcBorders>
            <w:vAlign w:val="center"/>
            <w:hideMark/>
          </w:tcPr>
          <w:p w14:paraId="0B33DDD1" w14:textId="77777777" w:rsidR="00F92F6C" w:rsidRPr="00074BFE" w:rsidRDefault="00F92F6C" w:rsidP="00487FFC">
            <w:pPr>
              <w:jc w:val="center"/>
              <w:rPr>
                <w:sz w:val="20"/>
                <w:szCs w:val="20"/>
              </w:rPr>
            </w:pPr>
            <w:r w:rsidRPr="00074BFE">
              <w:rPr>
                <w:sz w:val="20"/>
                <w:szCs w:val="20"/>
              </w:rPr>
              <w:t>-0.475</w:t>
            </w:r>
            <w:r w:rsidRPr="00074BFE">
              <w:rPr>
                <w:sz w:val="20"/>
                <w:szCs w:val="20"/>
              </w:rPr>
              <w:br/>
              <w:t>(-1.17)</w:t>
            </w:r>
          </w:p>
        </w:tc>
        <w:tc>
          <w:tcPr>
            <w:tcW w:w="980" w:type="dxa"/>
            <w:tcBorders>
              <w:top w:val="nil"/>
              <w:left w:val="nil"/>
              <w:bottom w:val="nil"/>
              <w:right w:val="nil"/>
            </w:tcBorders>
            <w:vAlign w:val="center"/>
            <w:hideMark/>
          </w:tcPr>
          <w:p w14:paraId="5FD13FDD" w14:textId="77777777" w:rsidR="00F92F6C" w:rsidRPr="00074BFE" w:rsidRDefault="00F92F6C" w:rsidP="00487FFC">
            <w:pPr>
              <w:jc w:val="center"/>
              <w:rPr>
                <w:sz w:val="20"/>
                <w:szCs w:val="20"/>
              </w:rPr>
            </w:pPr>
            <w:r w:rsidRPr="00074BFE">
              <w:rPr>
                <w:sz w:val="20"/>
                <w:szCs w:val="20"/>
              </w:rPr>
              <w:t>-0.468</w:t>
            </w:r>
            <w:r w:rsidRPr="00074BFE">
              <w:rPr>
                <w:sz w:val="20"/>
                <w:szCs w:val="20"/>
              </w:rPr>
              <w:br/>
              <w:t>(-1.16)</w:t>
            </w:r>
          </w:p>
        </w:tc>
        <w:tc>
          <w:tcPr>
            <w:tcW w:w="980" w:type="dxa"/>
            <w:tcBorders>
              <w:top w:val="nil"/>
              <w:left w:val="nil"/>
              <w:bottom w:val="nil"/>
              <w:right w:val="nil"/>
            </w:tcBorders>
            <w:vAlign w:val="center"/>
            <w:hideMark/>
          </w:tcPr>
          <w:p w14:paraId="798BF02D" w14:textId="77777777" w:rsidR="00F92F6C" w:rsidRPr="00074BFE" w:rsidRDefault="00F92F6C" w:rsidP="00487FFC">
            <w:pPr>
              <w:jc w:val="center"/>
              <w:rPr>
                <w:sz w:val="20"/>
                <w:szCs w:val="20"/>
              </w:rPr>
            </w:pPr>
            <w:r w:rsidRPr="00074BFE">
              <w:rPr>
                <w:sz w:val="20"/>
                <w:szCs w:val="20"/>
              </w:rPr>
              <w:t>-0.496</w:t>
            </w:r>
            <w:r w:rsidRPr="00074BFE">
              <w:rPr>
                <w:sz w:val="20"/>
                <w:szCs w:val="20"/>
              </w:rPr>
              <w:br/>
              <w:t>(-1.19)</w:t>
            </w:r>
          </w:p>
        </w:tc>
        <w:tc>
          <w:tcPr>
            <w:tcW w:w="980" w:type="dxa"/>
            <w:tcBorders>
              <w:top w:val="nil"/>
              <w:left w:val="nil"/>
              <w:bottom w:val="nil"/>
              <w:right w:val="nil"/>
            </w:tcBorders>
            <w:vAlign w:val="center"/>
            <w:hideMark/>
          </w:tcPr>
          <w:p w14:paraId="0889E7F6" w14:textId="77777777" w:rsidR="00F92F6C" w:rsidRPr="00074BFE" w:rsidRDefault="00F92F6C" w:rsidP="00487FFC">
            <w:pPr>
              <w:jc w:val="center"/>
              <w:rPr>
                <w:sz w:val="20"/>
                <w:szCs w:val="20"/>
              </w:rPr>
            </w:pPr>
            <w:r w:rsidRPr="00074BFE">
              <w:rPr>
                <w:sz w:val="20"/>
                <w:szCs w:val="20"/>
              </w:rPr>
              <w:t>-0.053</w:t>
            </w:r>
            <w:r w:rsidRPr="00074BFE">
              <w:rPr>
                <w:sz w:val="20"/>
                <w:szCs w:val="20"/>
              </w:rPr>
              <w:br/>
              <w:t>(-0.26)</w:t>
            </w:r>
          </w:p>
        </w:tc>
        <w:tc>
          <w:tcPr>
            <w:tcW w:w="980" w:type="dxa"/>
            <w:tcBorders>
              <w:top w:val="nil"/>
              <w:left w:val="nil"/>
              <w:bottom w:val="nil"/>
              <w:right w:val="nil"/>
            </w:tcBorders>
            <w:vAlign w:val="center"/>
            <w:hideMark/>
          </w:tcPr>
          <w:p w14:paraId="2D94745A" w14:textId="77777777" w:rsidR="00F92F6C" w:rsidRPr="00074BFE" w:rsidRDefault="00F92F6C" w:rsidP="00487FFC">
            <w:pPr>
              <w:jc w:val="center"/>
              <w:rPr>
                <w:sz w:val="20"/>
                <w:szCs w:val="20"/>
              </w:rPr>
            </w:pPr>
            <w:r w:rsidRPr="00074BFE">
              <w:rPr>
                <w:sz w:val="20"/>
                <w:szCs w:val="20"/>
              </w:rPr>
              <w:t>-0.047</w:t>
            </w:r>
            <w:r w:rsidRPr="00074BFE">
              <w:rPr>
                <w:sz w:val="20"/>
                <w:szCs w:val="20"/>
              </w:rPr>
              <w:br/>
              <w:t>(-0.23)</w:t>
            </w:r>
          </w:p>
        </w:tc>
        <w:tc>
          <w:tcPr>
            <w:tcW w:w="980" w:type="dxa"/>
            <w:tcBorders>
              <w:top w:val="nil"/>
              <w:left w:val="nil"/>
              <w:bottom w:val="nil"/>
              <w:right w:val="nil"/>
            </w:tcBorders>
            <w:vAlign w:val="center"/>
            <w:hideMark/>
          </w:tcPr>
          <w:p w14:paraId="33406C13" w14:textId="77777777" w:rsidR="00F92F6C" w:rsidRPr="00074BFE" w:rsidRDefault="00F92F6C" w:rsidP="00487FFC">
            <w:pPr>
              <w:jc w:val="center"/>
              <w:rPr>
                <w:sz w:val="20"/>
                <w:szCs w:val="20"/>
              </w:rPr>
            </w:pPr>
            <w:r w:rsidRPr="00074BFE">
              <w:rPr>
                <w:sz w:val="20"/>
                <w:szCs w:val="20"/>
              </w:rPr>
              <w:t>-0.064</w:t>
            </w:r>
            <w:r w:rsidRPr="00074BFE">
              <w:rPr>
                <w:sz w:val="20"/>
                <w:szCs w:val="20"/>
              </w:rPr>
              <w:br/>
              <w:t>(-0.29)</w:t>
            </w:r>
          </w:p>
        </w:tc>
      </w:tr>
      <w:tr w:rsidR="00074BFE" w:rsidRPr="00074BFE" w14:paraId="204959D2" w14:textId="77777777" w:rsidTr="00487FFC">
        <w:trPr>
          <w:trHeight w:val="540"/>
          <w:jc w:val="center"/>
        </w:trPr>
        <w:tc>
          <w:tcPr>
            <w:tcW w:w="1320" w:type="dxa"/>
            <w:tcBorders>
              <w:top w:val="nil"/>
              <w:left w:val="nil"/>
              <w:bottom w:val="nil"/>
              <w:right w:val="nil"/>
            </w:tcBorders>
            <w:noWrap/>
            <w:vAlign w:val="center"/>
            <w:hideMark/>
          </w:tcPr>
          <w:p w14:paraId="240D128B" w14:textId="77777777" w:rsidR="00F92F6C" w:rsidRPr="00074BFE" w:rsidRDefault="00F92F6C" w:rsidP="00487FFC">
            <w:pPr>
              <w:jc w:val="center"/>
              <w:rPr>
                <w:i/>
                <w:iCs/>
                <w:sz w:val="20"/>
                <w:szCs w:val="20"/>
              </w:rPr>
            </w:pPr>
            <w:r w:rsidRPr="00074BFE">
              <w:rPr>
                <w:i/>
                <w:iCs/>
                <w:sz w:val="20"/>
                <w:szCs w:val="20"/>
              </w:rPr>
              <w:t>Lev</w:t>
            </w:r>
          </w:p>
        </w:tc>
        <w:tc>
          <w:tcPr>
            <w:tcW w:w="980" w:type="dxa"/>
            <w:tcBorders>
              <w:top w:val="nil"/>
              <w:left w:val="nil"/>
              <w:bottom w:val="nil"/>
              <w:right w:val="nil"/>
            </w:tcBorders>
            <w:vAlign w:val="center"/>
            <w:hideMark/>
          </w:tcPr>
          <w:p w14:paraId="248D3125" w14:textId="77777777" w:rsidR="00F92F6C" w:rsidRPr="00074BFE" w:rsidRDefault="00F92F6C" w:rsidP="00487FFC">
            <w:pPr>
              <w:jc w:val="center"/>
              <w:rPr>
                <w:sz w:val="20"/>
                <w:szCs w:val="20"/>
              </w:rPr>
            </w:pPr>
            <w:r w:rsidRPr="00074BFE">
              <w:rPr>
                <w:sz w:val="20"/>
                <w:szCs w:val="20"/>
              </w:rPr>
              <w:t>7.165</w:t>
            </w:r>
            <w:r w:rsidRPr="00074BFE">
              <w:rPr>
                <w:sz w:val="20"/>
                <w:szCs w:val="20"/>
              </w:rPr>
              <w:br/>
              <w:t>(0.62)</w:t>
            </w:r>
          </w:p>
        </w:tc>
        <w:tc>
          <w:tcPr>
            <w:tcW w:w="980" w:type="dxa"/>
            <w:tcBorders>
              <w:top w:val="nil"/>
              <w:left w:val="nil"/>
              <w:bottom w:val="nil"/>
              <w:right w:val="nil"/>
            </w:tcBorders>
            <w:vAlign w:val="center"/>
            <w:hideMark/>
          </w:tcPr>
          <w:p w14:paraId="57A31954" w14:textId="77777777" w:rsidR="00F92F6C" w:rsidRPr="00074BFE" w:rsidRDefault="00F92F6C" w:rsidP="00487FFC">
            <w:pPr>
              <w:jc w:val="center"/>
              <w:rPr>
                <w:sz w:val="20"/>
                <w:szCs w:val="20"/>
              </w:rPr>
            </w:pPr>
            <w:r w:rsidRPr="00074BFE">
              <w:rPr>
                <w:sz w:val="20"/>
                <w:szCs w:val="20"/>
              </w:rPr>
              <w:t>7.438</w:t>
            </w:r>
            <w:r w:rsidRPr="00074BFE">
              <w:rPr>
                <w:sz w:val="20"/>
                <w:szCs w:val="20"/>
              </w:rPr>
              <w:br/>
              <w:t>(0.64)</w:t>
            </w:r>
          </w:p>
        </w:tc>
        <w:tc>
          <w:tcPr>
            <w:tcW w:w="980" w:type="dxa"/>
            <w:tcBorders>
              <w:top w:val="nil"/>
              <w:left w:val="nil"/>
              <w:bottom w:val="nil"/>
              <w:right w:val="nil"/>
            </w:tcBorders>
            <w:vAlign w:val="center"/>
            <w:hideMark/>
          </w:tcPr>
          <w:p w14:paraId="270F90E5" w14:textId="77777777" w:rsidR="00F92F6C" w:rsidRPr="00074BFE" w:rsidRDefault="00F92F6C" w:rsidP="00487FFC">
            <w:pPr>
              <w:jc w:val="center"/>
              <w:rPr>
                <w:sz w:val="20"/>
                <w:szCs w:val="20"/>
              </w:rPr>
            </w:pPr>
            <w:r w:rsidRPr="00074BFE">
              <w:rPr>
                <w:sz w:val="20"/>
                <w:szCs w:val="20"/>
              </w:rPr>
              <w:t>6.730</w:t>
            </w:r>
            <w:r w:rsidRPr="00074BFE">
              <w:rPr>
                <w:sz w:val="20"/>
                <w:szCs w:val="20"/>
              </w:rPr>
              <w:br/>
              <w:t>(0.59)</w:t>
            </w:r>
          </w:p>
        </w:tc>
        <w:tc>
          <w:tcPr>
            <w:tcW w:w="980" w:type="dxa"/>
            <w:tcBorders>
              <w:top w:val="nil"/>
              <w:left w:val="nil"/>
              <w:bottom w:val="nil"/>
              <w:right w:val="nil"/>
            </w:tcBorders>
            <w:vAlign w:val="center"/>
            <w:hideMark/>
          </w:tcPr>
          <w:p w14:paraId="1B3671D1" w14:textId="77777777" w:rsidR="00F92F6C" w:rsidRPr="00074BFE" w:rsidRDefault="00F92F6C" w:rsidP="00487FFC">
            <w:pPr>
              <w:jc w:val="center"/>
              <w:rPr>
                <w:sz w:val="20"/>
                <w:szCs w:val="20"/>
              </w:rPr>
            </w:pPr>
            <w:r w:rsidRPr="00074BFE">
              <w:rPr>
                <w:sz w:val="20"/>
                <w:szCs w:val="20"/>
              </w:rPr>
              <w:t>4.759</w:t>
            </w:r>
            <w:r w:rsidRPr="00074BFE">
              <w:rPr>
                <w:sz w:val="20"/>
                <w:szCs w:val="20"/>
              </w:rPr>
              <w:br/>
              <w:t>(0.61)</w:t>
            </w:r>
          </w:p>
        </w:tc>
        <w:tc>
          <w:tcPr>
            <w:tcW w:w="980" w:type="dxa"/>
            <w:tcBorders>
              <w:top w:val="nil"/>
              <w:left w:val="nil"/>
              <w:bottom w:val="nil"/>
              <w:right w:val="nil"/>
            </w:tcBorders>
            <w:vAlign w:val="center"/>
            <w:hideMark/>
          </w:tcPr>
          <w:p w14:paraId="12B9237D" w14:textId="77777777" w:rsidR="00F92F6C" w:rsidRPr="00074BFE" w:rsidRDefault="00F92F6C" w:rsidP="00487FFC">
            <w:pPr>
              <w:jc w:val="center"/>
              <w:rPr>
                <w:sz w:val="20"/>
                <w:szCs w:val="20"/>
              </w:rPr>
            </w:pPr>
            <w:r w:rsidRPr="00074BFE">
              <w:rPr>
                <w:sz w:val="20"/>
                <w:szCs w:val="20"/>
              </w:rPr>
              <w:t>4.453</w:t>
            </w:r>
            <w:r w:rsidRPr="00074BFE">
              <w:rPr>
                <w:sz w:val="20"/>
                <w:szCs w:val="20"/>
              </w:rPr>
              <w:br/>
              <w:t>(0.55)</w:t>
            </w:r>
          </w:p>
        </w:tc>
        <w:tc>
          <w:tcPr>
            <w:tcW w:w="980" w:type="dxa"/>
            <w:tcBorders>
              <w:top w:val="nil"/>
              <w:left w:val="nil"/>
              <w:bottom w:val="nil"/>
              <w:right w:val="nil"/>
            </w:tcBorders>
            <w:vAlign w:val="center"/>
            <w:hideMark/>
          </w:tcPr>
          <w:p w14:paraId="63932D9A" w14:textId="77777777" w:rsidR="00F92F6C" w:rsidRPr="00074BFE" w:rsidRDefault="00F92F6C" w:rsidP="00487FFC">
            <w:pPr>
              <w:jc w:val="center"/>
              <w:rPr>
                <w:sz w:val="20"/>
                <w:szCs w:val="20"/>
              </w:rPr>
            </w:pPr>
            <w:r w:rsidRPr="00074BFE">
              <w:rPr>
                <w:sz w:val="20"/>
                <w:szCs w:val="20"/>
              </w:rPr>
              <w:t>3.857</w:t>
            </w:r>
            <w:r w:rsidRPr="00074BFE">
              <w:rPr>
                <w:sz w:val="20"/>
                <w:szCs w:val="20"/>
              </w:rPr>
              <w:br/>
              <w:t>(0.45)</w:t>
            </w:r>
          </w:p>
        </w:tc>
      </w:tr>
      <w:tr w:rsidR="00074BFE" w:rsidRPr="00074BFE" w14:paraId="3C289039" w14:textId="77777777" w:rsidTr="00487FFC">
        <w:trPr>
          <w:trHeight w:val="540"/>
          <w:jc w:val="center"/>
        </w:trPr>
        <w:tc>
          <w:tcPr>
            <w:tcW w:w="1320" w:type="dxa"/>
            <w:tcBorders>
              <w:top w:val="nil"/>
              <w:left w:val="nil"/>
              <w:bottom w:val="nil"/>
              <w:right w:val="nil"/>
            </w:tcBorders>
            <w:noWrap/>
            <w:vAlign w:val="center"/>
            <w:hideMark/>
          </w:tcPr>
          <w:p w14:paraId="39077DD8" w14:textId="77777777" w:rsidR="00F92F6C" w:rsidRPr="00074BFE" w:rsidRDefault="00F92F6C" w:rsidP="00487FFC">
            <w:pPr>
              <w:jc w:val="center"/>
              <w:rPr>
                <w:i/>
                <w:iCs/>
                <w:sz w:val="20"/>
                <w:szCs w:val="20"/>
              </w:rPr>
            </w:pPr>
            <w:r w:rsidRPr="00074BFE">
              <w:rPr>
                <w:i/>
                <w:iCs/>
                <w:sz w:val="20"/>
                <w:szCs w:val="20"/>
              </w:rPr>
              <w:t>ROA</w:t>
            </w:r>
          </w:p>
        </w:tc>
        <w:tc>
          <w:tcPr>
            <w:tcW w:w="980" w:type="dxa"/>
            <w:tcBorders>
              <w:top w:val="nil"/>
              <w:left w:val="nil"/>
              <w:bottom w:val="nil"/>
              <w:right w:val="nil"/>
            </w:tcBorders>
            <w:vAlign w:val="center"/>
            <w:hideMark/>
          </w:tcPr>
          <w:p w14:paraId="6F7395EB" w14:textId="77777777" w:rsidR="00F92F6C" w:rsidRPr="00074BFE" w:rsidRDefault="00F92F6C" w:rsidP="00487FFC">
            <w:pPr>
              <w:jc w:val="center"/>
              <w:rPr>
                <w:sz w:val="20"/>
                <w:szCs w:val="20"/>
              </w:rPr>
            </w:pPr>
            <w:r w:rsidRPr="00074BFE">
              <w:rPr>
                <w:sz w:val="20"/>
                <w:szCs w:val="20"/>
              </w:rPr>
              <w:t>-46.296</w:t>
            </w:r>
            <w:r w:rsidRPr="00074BFE">
              <w:rPr>
                <w:sz w:val="20"/>
                <w:szCs w:val="20"/>
              </w:rPr>
              <w:br/>
              <w:t>(-1.57)</w:t>
            </w:r>
          </w:p>
        </w:tc>
        <w:tc>
          <w:tcPr>
            <w:tcW w:w="980" w:type="dxa"/>
            <w:tcBorders>
              <w:top w:val="nil"/>
              <w:left w:val="nil"/>
              <w:bottom w:val="nil"/>
              <w:right w:val="nil"/>
            </w:tcBorders>
            <w:vAlign w:val="center"/>
            <w:hideMark/>
          </w:tcPr>
          <w:p w14:paraId="404B3907" w14:textId="77777777" w:rsidR="00F92F6C" w:rsidRPr="00074BFE" w:rsidRDefault="00F92F6C" w:rsidP="00487FFC">
            <w:pPr>
              <w:jc w:val="center"/>
              <w:rPr>
                <w:sz w:val="20"/>
                <w:szCs w:val="20"/>
              </w:rPr>
            </w:pPr>
            <w:r w:rsidRPr="00074BFE">
              <w:rPr>
                <w:sz w:val="20"/>
                <w:szCs w:val="20"/>
              </w:rPr>
              <w:t>-46.167</w:t>
            </w:r>
            <w:r w:rsidRPr="00074BFE">
              <w:rPr>
                <w:sz w:val="20"/>
                <w:szCs w:val="20"/>
              </w:rPr>
              <w:br/>
              <w:t>(-1.56)</w:t>
            </w:r>
          </w:p>
        </w:tc>
        <w:tc>
          <w:tcPr>
            <w:tcW w:w="980" w:type="dxa"/>
            <w:tcBorders>
              <w:top w:val="nil"/>
              <w:left w:val="nil"/>
              <w:bottom w:val="nil"/>
              <w:right w:val="nil"/>
            </w:tcBorders>
            <w:vAlign w:val="center"/>
            <w:hideMark/>
          </w:tcPr>
          <w:p w14:paraId="20D7A7AC" w14:textId="77777777" w:rsidR="00F92F6C" w:rsidRPr="00074BFE" w:rsidRDefault="00F92F6C" w:rsidP="00487FFC">
            <w:pPr>
              <w:jc w:val="center"/>
              <w:rPr>
                <w:sz w:val="20"/>
                <w:szCs w:val="20"/>
              </w:rPr>
            </w:pPr>
            <w:r w:rsidRPr="00074BFE">
              <w:rPr>
                <w:sz w:val="20"/>
                <w:szCs w:val="20"/>
              </w:rPr>
              <w:t>-46.099</w:t>
            </w:r>
            <w:r w:rsidRPr="00074BFE">
              <w:rPr>
                <w:sz w:val="20"/>
                <w:szCs w:val="20"/>
              </w:rPr>
              <w:br/>
              <w:t>(-1.56)</w:t>
            </w:r>
          </w:p>
        </w:tc>
        <w:tc>
          <w:tcPr>
            <w:tcW w:w="980" w:type="dxa"/>
            <w:tcBorders>
              <w:top w:val="nil"/>
              <w:left w:val="nil"/>
              <w:bottom w:val="nil"/>
              <w:right w:val="nil"/>
            </w:tcBorders>
            <w:vAlign w:val="center"/>
            <w:hideMark/>
          </w:tcPr>
          <w:p w14:paraId="0C483B11" w14:textId="77777777" w:rsidR="00F92F6C" w:rsidRPr="00074BFE" w:rsidRDefault="00F92F6C" w:rsidP="00487FFC">
            <w:pPr>
              <w:jc w:val="center"/>
              <w:rPr>
                <w:sz w:val="20"/>
                <w:szCs w:val="20"/>
              </w:rPr>
            </w:pPr>
            <w:r w:rsidRPr="00074BFE">
              <w:rPr>
                <w:sz w:val="20"/>
                <w:szCs w:val="20"/>
              </w:rPr>
              <w:t>26.778</w:t>
            </w:r>
            <w:r w:rsidRPr="00074BFE">
              <w:rPr>
                <w:sz w:val="20"/>
                <w:szCs w:val="20"/>
              </w:rPr>
              <w:br/>
              <w:t>(0.77)</w:t>
            </w:r>
          </w:p>
        </w:tc>
        <w:tc>
          <w:tcPr>
            <w:tcW w:w="980" w:type="dxa"/>
            <w:tcBorders>
              <w:top w:val="nil"/>
              <w:left w:val="nil"/>
              <w:bottom w:val="nil"/>
              <w:right w:val="nil"/>
            </w:tcBorders>
            <w:vAlign w:val="center"/>
            <w:hideMark/>
          </w:tcPr>
          <w:p w14:paraId="4A0EBCE3" w14:textId="77777777" w:rsidR="00F92F6C" w:rsidRPr="00074BFE" w:rsidRDefault="00F92F6C" w:rsidP="00487FFC">
            <w:pPr>
              <w:jc w:val="center"/>
              <w:rPr>
                <w:sz w:val="20"/>
                <w:szCs w:val="20"/>
              </w:rPr>
            </w:pPr>
            <w:r w:rsidRPr="00074BFE">
              <w:rPr>
                <w:sz w:val="20"/>
                <w:szCs w:val="20"/>
              </w:rPr>
              <w:t>25.562</w:t>
            </w:r>
            <w:r w:rsidRPr="00074BFE">
              <w:rPr>
                <w:sz w:val="20"/>
                <w:szCs w:val="20"/>
              </w:rPr>
              <w:br/>
              <w:t>(0.72)</w:t>
            </w:r>
          </w:p>
        </w:tc>
        <w:tc>
          <w:tcPr>
            <w:tcW w:w="980" w:type="dxa"/>
            <w:tcBorders>
              <w:top w:val="nil"/>
              <w:left w:val="nil"/>
              <w:bottom w:val="nil"/>
              <w:right w:val="nil"/>
            </w:tcBorders>
            <w:vAlign w:val="center"/>
            <w:hideMark/>
          </w:tcPr>
          <w:p w14:paraId="327135C5" w14:textId="77777777" w:rsidR="00F92F6C" w:rsidRPr="00074BFE" w:rsidRDefault="00F92F6C" w:rsidP="00487FFC">
            <w:pPr>
              <w:jc w:val="center"/>
              <w:rPr>
                <w:sz w:val="20"/>
                <w:szCs w:val="20"/>
              </w:rPr>
            </w:pPr>
            <w:r w:rsidRPr="00074BFE">
              <w:rPr>
                <w:sz w:val="20"/>
                <w:szCs w:val="20"/>
              </w:rPr>
              <w:t>25.191</w:t>
            </w:r>
            <w:r w:rsidRPr="00074BFE">
              <w:rPr>
                <w:sz w:val="20"/>
                <w:szCs w:val="20"/>
              </w:rPr>
              <w:br/>
              <w:t>(0.69)</w:t>
            </w:r>
          </w:p>
        </w:tc>
      </w:tr>
      <w:tr w:rsidR="00074BFE" w:rsidRPr="00074BFE" w14:paraId="0F622E73" w14:textId="77777777" w:rsidTr="00487FFC">
        <w:trPr>
          <w:trHeight w:val="540"/>
          <w:jc w:val="center"/>
        </w:trPr>
        <w:tc>
          <w:tcPr>
            <w:tcW w:w="1320" w:type="dxa"/>
            <w:tcBorders>
              <w:top w:val="nil"/>
              <w:left w:val="nil"/>
              <w:bottom w:val="nil"/>
              <w:right w:val="nil"/>
            </w:tcBorders>
            <w:noWrap/>
            <w:vAlign w:val="center"/>
            <w:hideMark/>
          </w:tcPr>
          <w:p w14:paraId="7B31A362" w14:textId="77777777" w:rsidR="00F92F6C" w:rsidRPr="00074BFE" w:rsidRDefault="00F92F6C" w:rsidP="00487FFC">
            <w:pPr>
              <w:jc w:val="center"/>
              <w:rPr>
                <w:i/>
                <w:iCs/>
                <w:sz w:val="20"/>
                <w:szCs w:val="20"/>
              </w:rPr>
            </w:pPr>
            <w:r w:rsidRPr="00074BFE">
              <w:rPr>
                <w:i/>
                <w:iCs/>
                <w:sz w:val="20"/>
                <w:szCs w:val="20"/>
              </w:rPr>
              <w:t>Growth</w:t>
            </w:r>
          </w:p>
        </w:tc>
        <w:tc>
          <w:tcPr>
            <w:tcW w:w="980" w:type="dxa"/>
            <w:tcBorders>
              <w:top w:val="nil"/>
              <w:left w:val="nil"/>
              <w:bottom w:val="nil"/>
              <w:right w:val="nil"/>
            </w:tcBorders>
            <w:vAlign w:val="center"/>
            <w:hideMark/>
          </w:tcPr>
          <w:p w14:paraId="3A55EE26" w14:textId="77777777" w:rsidR="00F92F6C" w:rsidRPr="00074BFE" w:rsidRDefault="00F92F6C" w:rsidP="00487FFC">
            <w:pPr>
              <w:jc w:val="center"/>
              <w:rPr>
                <w:sz w:val="20"/>
                <w:szCs w:val="20"/>
              </w:rPr>
            </w:pPr>
            <w:r w:rsidRPr="00074BFE">
              <w:rPr>
                <w:sz w:val="20"/>
                <w:szCs w:val="20"/>
              </w:rPr>
              <w:t>-6.927</w:t>
            </w:r>
            <w:r w:rsidRPr="00074BFE">
              <w:rPr>
                <w:sz w:val="20"/>
                <w:szCs w:val="20"/>
              </w:rPr>
              <w:br/>
              <w:t>(-1.43)</w:t>
            </w:r>
          </w:p>
        </w:tc>
        <w:tc>
          <w:tcPr>
            <w:tcW w:w="980" w:type="dxa"/>
            <w:tcBorders>
              <w:top w:val="nil"/>
              <w:left w:val="nil"/>
              <w:bottom w:val="nil"/>
              <w:right w:val="nil"/>
            </w:tcBorders>
            <w:vAlign w:val="center"/>
            <w:hideMark/>
          </w:tcPr>
          <w:p w14:paraId="0D9DF1EA" w14:textId="77777777" w:rsidR="00F92F6C" w:rsidRPr="00074BFE" w:rsidRDefault="00F92F6C" w:rsidP="00487FFC">
            <w:pPr>
              <w:jc w:val="center"/>
              <w:rPr>
                <w:sz w:val="20"/>
                <w:szCs w:val="20"/>
              </w:rPr>
            </w:pPr>
            <w:r w:rsidRPr="00074BFE">
              <w:rPr>
                <w:sz w:val="20"/>
                <w:szCs w:val="20"/>
              </w:rPr>
              <w:t>-6.917</w:t>
            </w:r>
            <w:r w:rsidRPr="00074BFE">
              <w:rPr>
                <w:sz w:val="20"/>
                <w:szCs w:val="20"/>
              </w:rPr>
              <w:br/>
              <w:t>(-1.45)</w:t>
            </w:r>
          </w:p>
        </w:tc>
        <w:tc>
          <w:tcPr>
            <w:tcW w:w="980" w:type="dxa"/>
            <w:tcBorders>
              <w:top w:val="nil"/>
              <w:left w:val="nil"/>
              <w:bottom w:val="nil"/>
              <w:right w:val="nil"/>
            </w:tcBorders>
            <w:vAlign w:val="center"/>
            <w:hideMark/>
          </w:tcPr>
          <w:p w14:paraId="7F5643C5" w14:textId="77777777" w:rsidR="00F92F6C" w:rsidRPr="00074BFE" w:rsidRDefault="00F92F6C" w:rsidP="00487FFC">
            <w:pPr>
              <w:jc w:val="center"/>
              <w:rPr>
                <w:sz w:val="20"/>
                <w:szCs w:val="20"/>
              </w:rPr>
            </w:pPr>
            <w:r w:rsidRPr="00074BFE">
              <w:rPr>
                <w:sz w:val="20"/>
                <w:szCs w:val="20"/>
              </w:rPr>
              <w:t>-7.020</w:t>
            </w:r>
            <w:r w:rsidRPr="00074BFE">
              <w:rPr>
                <w:sz w:val="20"/>
                <w:szCs w:val="20"/>
              </w:rPr>
              <w:br/>
              <w:t>(-1.44)</w:t>
            </w:r>
          </w:p>
        </w:tc>
        <w:tc>
          <w:tcPr>
            <w:tcW w:w="980" w:type="dxa"/>
            <w:tcBorders>
              <w:top w:val="nil"/>
              <w:left w:val="nil"/>
              <w:bottom w:val="nil"/>
              <w:right w:val="nil"/>
            </w:tcBorders>
            <w:vAlign w:val="center"/>
            <w:hideMark/>
          </w:tcPr>
          <w:p w14:paraId="2B72CB63" w14:textId="77777777" w:rsidR="00F92F6C" w:rsidRPr="00074BFE" w:rsidRDefault="00F92F6C" w:rsidP="00487FFC">
            <w:pPr>
              <w:jc w:val="center"/>
              <w:rPr>
                <w:sz w:val="20"/>
                <w:szCs w:val="20"/>
              </w:rPr>
            </w:pPr>
            <w:r w:rsidRPr="00074BFE">
              <w:rPr>
                <w:sz w:val="20"/>
                <w:szCs w:val="20"/>
              </w:rPr>
              <w:t>-1.967</w:t>
            </w:r>
            <w:r w:rsidRPr="00074BFE">
              <w:rPr>
                <w:sz w:val="20"/>
                <w:szCs w:val="20"/>
              </w:rPr>
              <w:br/>
              <w:t>(-1.12)</w:t>
            </w:r>
          </w:p>
        </w:tc>
        <w:tc>
          <w:tcPr>
            <w:tcW w:w="980" w:type="dxa"/>
            <w:tcBorders>
              <w:top w:val="nil"/>
              <w:left w:val="nil"/>
              <w:bottom w:val="nil"/>
              <w:right w:val="nil"/>
            </w:tcBorders>
            <w:vAlign w:val="center"/>
            <w:hideMark/>
          </w:tcPr>
          <w:p w14:paraId="6DF16150" w14:textId="77777777" w:rsidR="00F92F6C" w:rsidRPr="00074BFE" w:rsidRDefault="00F92F6C" w:rsidP="00487FFC">
            <w:pPr>
              <w:jc w:val="center"/>
              <w:rPr>
                <w:sz w:val="20"/>
                <w:szCs w:val="20"/>
              </w:rPr>
            </w:pPr>
            <w:r w:rsidRPr="00074BFE">
              <w:rPr>
                <w:sz w:val="20"/>
                <w:szCs w:val="20"/>
              </w:rPr>
              <w:t>-2.058</w:t>
            </w:r>
            <w:r w:rsidRPr="00074BFE">
              <w:rPr>
                <w:sz w:val="20"/>
                <w:szCs w:val="20"/>
              </w:rPr>
              <w:br/>
              <w:t>(-1.17)</w:t>
            </w:r>
          </w:p>
        </w:tc>
        <w:tc>
          <w:tcPr>
            <w:tcW w:w="980" w:type="dxa"/>
            <w:tcBorders>
              <w:top w:val="nil"/>
              <w:left w:val="nil"/>
              <w:bottom w:val="nil"/>
              <w:right w:val="nil"/>
            </w:tcBorders>
            <w:vAlign w:val="center"/>
            <w:hideMark/>
          </w:tcPr>
          <w:p w14:paraId="602F3DC9" w14:textId="77777777" w:rsidR="00F92F6C" w:rsidRPr="00074BFE" w:rsidRDefault="00F92F6C" w:rsidP="00487FFC">
            <w:pPr>
              <w:jc w:val="center"/>
              <w:rPr>
                <w:sz w:val="20"/>
                <w:szCs w:val="20"/>
              </w:rPr>
            </w:pPr>
            <w:r w:rsidRPr="00074BFE">
              <w:rPr>
                <w:sz w:val="20"/>
                <w:szCs w:val="20"/>
              </w:rPr>
              <w:t>-2.140</w:t>
            </w:r>
            <w:r w:rsidRPr="00074BFE">
              <w:rPr>
                <w:sz w:val="20"/>
                <w:szCs w:val="20"/>
              </w:rPr>
              <w:br/>
              <w:t>(-1.21)</w:t>
            </w:r>
          </w:p>
        </w:tc>
      </w:tr>
      <w:tr w:rsidR="00074BFE" w:rsidRPr="00074BFE" w14:paraId="4DC67DD2" w14:textId="77777777" w:rsidTr="00487FFC">
        <w:trPr>
          <w:trHeight w:val="288"/>
          <w:jc w:val="center"/>
        </w:trPr>
        <w:tc>
          <w:tcPr>
            <w:tcW w:w="1320" w:type="dxa"/>
            <w:tcBorders>
              <w:top w:val="nil"/>
              <w:left w:val="nil"/>
              <w:bottom w:val="nil"/>
              <w:right w:val="nil"/>
            </w:tcBorders>
            <w:noWrap/>
            <w:vAlign w:val="center"/>
            <w:hideMark/>
          </w:tcPr>
          <w:p w14:paraId="449CB0DE" w14:textId="77777777" w:rsidR="00F92F6C" w:rsidRPr="00074BFE" w:rsidRDefault="00F92F6C" w:rsidP="00487FFC">
            <w:pPr>
              <w:jc w:val="center"/>
              <w:rPr>
                <w:i/>
                <w:iCs/>
                <w:sz w:val="20"/>
                <w:szCs w:val="20"/>
              </w:rPr>
            </w:pPr>
            <w:r w:rsidRPr="00074BFE">
              <w:rPr>
                <w:i/>
                <w:iCs/>
                <w:sz w:val="20"/>
                <w:szCs w:val="20"/>
              </w:rPr>
              <w:t>Observations</w:t>
            </w:r>
          </w:p>
        </w:tc>
        <w:tc>
          <w:tcPr>
            <w:tcW w:w="980" w:type="dxa"/>
            <w:tcBorders>
              <w:top w:val="nil"/>
              <w:left w:val="nil"/>
              <w:bottom w:val="nil"/>
              <w:right w:val="nil"/>
            </w:tcBorders>
            <w:vAlign w:val="center"/>
            <w:hideMark/>
          </w:tcPr>
          <w:p w14:paraId="4A3A0C3D" w14:textId="77777777" w:rsidR="00F92F6C" w:rsidRPr="00074BFE" w:rsidRDefault="00F92F6C" w:rsidP="00487FFC">
            <w:pPr>
              <w:jc w:val="center"/>
              <w:rPr>
                <w:sz w:val="20"/>
                <w:szCs w:val="20"/>
              </w:rPr>
            </w:pPr>
            <w:r w:rsidRPr="00074BFE">
              <w:rPr>
                <w:sz w:val="20"/>
                <w:szCs w:val="20"/>
              </w:rPr>
              <w:t>115</w:t>
            </w:r>
          </w:p>
        </w:tc>
        <w:tc>
          <w:tcPr>
            <w:tcW w:w="980" w:type="dxa"/>
            <w:tcBorders>
              <w:top w:val="nil"/>
              <w:left w:val="nil"/>
              <w:bottom w:val="nil"/>
              <w:right w:val="nil"/>
            </w:tcBorders>
            <w:vAlign w:val="center"/>
            <w:hideMark/>
          </w:tcPr>
          <w:p w14:paraId="2FF466F7" w14:textId="77777777" w:rsidR="00F92F6C" w:rsidRPr="00074BFE" w:rsidRDefault="00F92F6C" w:rsidP="00487FFC">
            <w:pPr>
              <w:jc w:val="center"/>
              <w:rPr>
                <w:sz w:val="20"/>
                <w:szCs w:val="20"/>
              </w:rPr>
            </w:pPr>
            <w:r w:rsidRPr="00074BFE">
              <w:rPr>
                <w:sz w:val="20"/>
                <w:szCs w:val="20"/>
              </w:rPr>
              <w:t>115</w:t>
            </w:r>
          </w:p>
        </w:tc>
        <w:tc>
          <w:tcPr>
            <w:tcW w:w="980" w:type="dxa"/>
            <w:tcBorders>
              <w:top w:val="nil"/>
              <w:left w:val="nil"/>
              <w:bottom w:val="nil"/>
              <w:right w:val="nil"/>
            </w:tcBorders>
            <w:vAlign w:val="center"/>
            <w:hideMark/>
          </w:tcPr>
          <w:p w14:paraId="4E1ECD4C" w14:textId="77777777" w:rsidR="00F92F6C" w:rsidRPr="00074BFE" w:rsidRDefault="00F92F6C" w:rsidP="00487FFC">
            <w:pPr>
              <w:jc w:val="center"/>
              <w:rPr>
                <w:sz w:val="20"/>
                <w:szCs w:val="20"/>
              </w:rPr>
            </w:pPr>
            <w:r w:rsidRPr="00074BFE">
              <w:rPr>
                <w:sz w:val="20"/>
                <w:szCs w:val="20"/>
              </w:rPr>
              <w:t>115</w:t>
            </w:r>
          </w:p>
        </w:tc>
        <w:tc>
          <w:tcPr>
            <w:tcW w:w="980" w:type="dxa"/>
            <w:tcBorders>
              <w:top w:val="nil"/>
              <w:left w:val="nil"/>
              <w:bottom w:val="nil"/>
              <w:right w:val="nil"/>
            </w:tcBorders>
            <w:vAlign w:val="center"/>
            <w:hideMark/>
          </w:tcPr>
          <w:p w14:paraId="0EB6C5F6" w14:textId="77777777" w:rsidR="00F92F6C" w:rsidRPr="00074BFE" w:rsidRDefault="00F92F6C" w:rsidP="00487FFC">
            <w:pPr>
              <w:jc w:val="center"/>
              <w:rPr>
                <w:sz w:val="20"/>
                <w:szCs w:val="20"/>
              </w:rPr>
            </w:pPr>
            <w:r w:rsidRPr="00074BFE">
              <w:rPr>
                <w:sz w:val="20"/>
                <w:szCs w:val="20"/>
              </w:rPr>
              <w:t>115</w:t>
            </w:r>
          </w:p>
        </w:tc>
        <w:tc>
          <w:tcPr>
            <w:tcW w:w="980" w:type="dxa"/>
            <w:tcBorders>
              <w:top w:val="nil"/>
              <w:left w:val="nil"/>
              <w:bottom w:val="nil"/>
              <w:right w:val="nil"/>
            </w:tcBorders>
            <w:vAlign w:val="center"/>
            <w:hideMark/>
          </w:tcPr>
          <w:p w14:paraId="14D530AF" w14:textId="77777777" w:rsidR="00F92F6C" w:rsidRPr="00074BFE" w:rsidRDefault="00F92F6C" w:rsidP="00487FFC">
            <w:pPr>
              <w:jc w:val="center"/>
              <w:rPr>
                <w:sz w:val="20"/>
                <w:szCs w:val="20"/>
              </w:rPr>
            </w:pPr>
            <w:r w:rsidRPr="00074BFE">
              <w:rPr>
                <w:sz w:val="20"/>
                <w:szCs w:val="20"/>
              </w:rPr>
              <w:t>115</w:t>
            </w:r>
          </w:p>
        </w:tc>
        <w:tc>
          <w:tcPr>
            <w:tcW w:w="980" w:type="dxa"/>
            <w:tcBorders>
              <w:top w:val="nil"/>
              <w:left w:val="nil"/>
              <w:bottom w:val="nil"/>
              <w:right w:val="nil"/>
            </w:tcBorders>
            <w:vAlign w:val="center"/>
            <w:hideMark/>
          </w:tcPr>
          <w:p w14:paraId="51B95389" w14:textId="77777777" w:rsidR="00F92F6C" w:rsidRPr="00074BFE" w:rsidRDefault="00F92F6C" w:rsidP="00487FFC">
            <w:pPr>
              <w:jc w:val="center"/>
              <w:rPr>
                <w:sz w:val="20"/>
                <w:szCs w:val="20"/>
              </w:rPr>
            </w:pPr>
            <w:r w:rsidRPr="00074BFE">
              <w:rPr>
                <w:sz w:val="20"/>
                <w:szCs w:val="20"/>
              </w:rPr>
              <w:t>115</w:t>
            </w:r>
          </w:p>
        </w:tc>
      </w:tr>
      <w:tr w:rsidR="00F92F6C" w:rsidRPr="00074BFE" w14:paraId="09250BA6" w14:textId="77777777" w:rsidTr="00487FFC">
        <w:trPr>
          <w:trHeight w:val="288"/>
          <w:jc w:val="center"/>
        </w:trPr>
        <w:tc>
          <w:tcPr>
            <w:tcW w:w="1320" w:type="dxa"/>
            <w:tcBorders>
              <w:top w:val="nil"/>
              <w:left w:val="nil"/>
              <w:bottom w:val="nil"/>
              <w:right w:val="nil"/>
            </w:tcBorders>
            <w:noWrap/>
            <w:vAlign w:val="center"/>
            <w:hideMark/>
          </w:tcPr>
          <w:p w14:paraId="52D5ACF7" w14:textId="77777777" w:rsidR="00F92F6C" w:rsidRPr="00074BFE" w:rsidRDefault="00F92F6C" w:rsidP="00487FFC">
            <w:pPr>
              <w:jc w:val="center"/>
              <w:rPr>
                <w:i/>
                <w:iCs/>
                <w:sz w:val="20"/>
                <w:szCs w:val="20"/>
              </w:rPr>
            </w:pPr>
            <w:r w:rsidRPr="00074BFE">
              <w:rPr>
                <w:i/>
                <w:iCs/>
                <w:sz w:val="20"/>
                <w:szCs w:val="20"/>
              </w:rPr>
              <w:t>R2</w:t>
            </w:r>
          </w:p>
        </w:tc>
        <w:tc>
          <w:tcPr>
            <w:tcW w:w="980" w:type="dxa"/>
            <w:tcBorders>
              <w:top w:val="nil"/>
              <w:left w:val="nil"/>
              <w:bottom w:val="nil"/>
              <w:right w:val="nil"/>
            </w:tcBorders>
            <w:vAlign w:val="center"/>
            <w:hideMark/>
          </w:tcPr>
          <w:p w14:paraId="6A596B1A" w14:textId="77777777" w:rsidR="00F92F6C" w:rsidRPr="00074BFE" w:rsidRDefault="00F92F6C" w:rsidP="00487FFC">
            <w:pPr>
              <w:jc w:val="center"/>
              <w:rPr>
                <w:sz w:val="20"/>
                <w:szCs w:val="20"/>
              </w:rPr>
            </w:pPr>
            <w:r w:rsidRPr="00074BFE">
              <w:rPr>
                <w:sz w:val="20"/>
                <w:szCs w:val="20"/>
              </w:rPr>
              <w:t>0.411</w:t>
            </w:r>
          </w:p>
        </w:tc>
        <w:tc>
          <w:tcPr>
            <w:tcW w:w="980" w:type="dxa"/>
            <w:tcBorders>
              <w:top w:val="nil"/>
              <w:left w:val="nil"/>
              <w:bottom w:val="nil"/>
              <w:right w:val="nil"/>
            </w:tcBorders>
            <w:vAlign w:val="center"/>
            <w:hideMark/>
          </w:tcPr>
          <w:p w14:paraId="036EA974" w14:textId="77777777" w:rsidR="00F92F6C" w:rsidRPr="00074BFE" w:rsidRDefault="00F92F6C" w:rsidP="00487FFC">
            <w:pPr>
              <w:jc w:val="center"/>
              <w:rPr>
                <w:sz w:val="20"/>
                <w:szCs w:val="20"/>
              </w:rPr>
            </w:pPr>
            <w:r w:rsidRPr="00074BFE">
              <w:rPr>
                <w:sz w:val="20"/>
                <w:szCs w:val="20"/>
              </w:rPr>
              <w:t>0.413</w:t>
            </w:r>
          </w:p>
        </w:tc>
        <w:tc>
          <w:tcPr>
            <w:tcW w:w="980" w:type="dxa"/>
            <w:tcBorders>
              <w:top w:val="nil"/>
              <w:left w:val="nil"/>
              <w:bottom w:val="nil"/>
              <w:right w:val="nil"/>
            </w:tcBorders>
            <w:vAlign w:val="center"/>
            <w:hideMark/>
          </w:tcPr>
          <w:p w14:paraId="476774EC" w14:textId="77777777" w:rsidR="00F92F6C" w:rsidRPr="00074BFE" w:rsidRDefault="00F92F6C" w:rsidP="00487FFC">
            <w:pPr>
              <w:jc w:val="center"/>
              <w:rPr>
                <w:sz w:val="20"/>
                <w:szCs w:val="20"/>
              </w:rPr>
            </w:pPr>
            <w:r w:rsidRPr="00074BFE">
              <w:rPr>
                <w:sz w:val="20"/>
                <w:szCs w:val="20"/>
              </w:rPr>
              <w:t>0.410</w:t>
            </w:r>
          </w:p>
        </w:tc>
        <w:tc>
          <w:tcPr>
            <w:tcW w:w="980" w:type="dxa"/>
            <w:tcBorders>
              <w:top w:val="nil"/>
              <w:left w:val="nil"/>
              <w:bottom w:val="nil"/>
              <w:right w:val="nil"/>
            </w:tcBorders>
            <w:vAlign w:val="center"/>
            <w:hideMark/>
          </w:tcPr>
          <w:p w14:paraId="66FD5AE6" w14:textId="77777777" w:rsidR="00F92F6C" w:rsidRPr="00074BFE" w:rsidRDefault="00F92F6C" w:rsidP="00487FFC">
            <w:pPr>
              <w:jc w:val="center"/>
              <w:rPr>
                <w:sz w:val="20"/>
                <w:szCs w:val="20"/>
              </w:rPr>
            </w:pPr>
            <w:r w:rsidRPr="00074BFE">
              <w:rPr>
                <w:sz w:val="20"/>
                <w:szCs w:val="20"/>
              </w:rPr>
              <w:t>0.055</w:t>
            </w:r>
          </w:p>
        </w:tc>
        <w:tc>
          <w:tcPr>
            <w:tcW w:w="980" w:type="dxa"/>
            <w:tcBorders>
              <w:top w:val="nil"/>
              <w:left w:val="nil"/>
              <w:bottom w:val="nil"/>
              <w:right w:val="nil"/>
            </w:tcBorders>
            <w:vAlign w:val="center"/>
            <w:hideMark/>
          </w:tcPr>
          <w:p w14:paraId="2095093E" w14:textId="77777777" w:rsidR="00F92F6C" w:rsidRPr="00074BFE" w:rsidRDefault="00F92F6C" w:rsidP="00487FFC">
            <w:pPr>
              <w:jc w:val="center"/>
              <w:rPr>
                <w:sz w:val="20"/>
                <w:szCs w:val="20"/>
              </w:rPr>
            </w:pPr>
            <w:r w:rsidRPr="00074BFE">
              <w:rPr>
                <w:sz w:val="20"/>
                <w:szCs w:val="20"/>
              </w:rPr>
              <w:t>0.031</w:t>
            </w:r>
          </w:p>
        </w:tc>
        <w:tc>
          <w:tcPr>
            <w:tcW w:w="980" w:type="dxa"/>
            <w:tcBorders>
              <w:top w:val="nil"/>
              <w:left w:val="nil"/>
              <w:bottom w:val="nil"/>
              <w:right w:val="nil"/>
            </w:tcBorders>
            <w:vAlign w:val="center"/>
            <w:hideMark/>
          </w:tcPr>
          <w:p w14:paraId="10904147" w14:textId="77777777" w:rsidR="00F92F6C" w:rsidRPr="00074BFE" w:rsidRDefault="00F92F6C" w:rsidP="00487FFC">
            <w:pPr>
              <w:jc w:val="center"/>
              <w:rPr>
                <w:sz w:val="20"/>
                <w:szCs w:val="20"/>
              </w:rPr>
            </w:pPr>
            <w:r w:rsidRPr="00074BFE">
              <w:rPr>
                <w:sz w:val="20"/>
                <w:szCs w:val="20"/>
              </w:rPr>
              <w:t>0.023</w:t>
            </w:r>
          </w:p>
        </w:tc>
      </w:tr>
    </w:tbl>
    <w:p w14:paraId="5C5BE495" w14:textId="77777777" w:rsidR="007A4679" w:rsidRPr="00074BFE" w:rsidRDefault="007A4679" w:rsidP="003811E5">
      <w:pPr>
        <w:spacing w:before="120"/>
        <w:jc w:val="both"/>
        <w:rPr>
          <w:sz w:val="20"/>
          <w:szCs w:val="20"/>
        </w:rPr>
      </w:pPr>
    </w:p>
    <w:p w14:paraId="685B2AB7" w14:textId="3E947FEE" w:rsidR="00BD3878" w:rsidRPr="00074BFE" w:rsidRDefault="00BD3878" w:rsidP="003811E5">
      <w:pPr>
        <w:spacing w:before="120"/>
        <w:jc w:val="both"/>
        <w:rPr>
          <w:i/>
          <w:iCs/>
          <w:sz w:val="20"/>
          <w:szCs w:val="20"/>
        </w:rPr>
      </w:pPr>
      <w:r w:rsidRPr="00074BFE">
        <w:rPr>
          <w:i/>
          <w:iCs/>
          <w:sz w:val="20"/>
          <w:szCs w:val="20"/>
        </w:rPr>
        <w:t>Note: T</w:t>
      </w:r>
      <w:r w:rsidR="00F92F6C" w:rsidRPr="00074BFE">
        <w:rPr>
          <w:i/>
          <w:iCs/>
          <w:sz w:val="20"/>
          <w:szCs w:val="20"/>
        </w:rPr>
        <w:t>able 3 and 4</w:t>
      </w:r>
      <w:r w:rsidRPr="00074BFE">
        <w:rPr>
          <w:i/>
          <w:iCs/>
          <w:sz w:val="20"/>
          <w:szCs w:val="20"/>
        </w:rPr>
        <w:t xml:space="preserve"> report the </w:t>
      </w:r>
      <w:r w:rsidR="2B4DF3BD" w:rsidRPr="00074BFE">
        <w:rPr>
          <w:i/>
          <w:iCs/>
          <w:sz w:val="20"/>
          <w:szCs w:val="20"/>
        </w:rPr>
        <w:t xml:space="preserve">results of the </w:t>
      </w:r>
      <w:r w:rsidRPr="00074BFE">
        <w:rPr>
          <w:i/>
          <w:iCs/>
          <w:sz w:val="20"/>
          <w:szCs w:val="20"/>
        </w:rPr>
        <w:t>regression model (</w:t>
      </w:r>
      <w:r w:rsidR="007A4679" w:rsidRPr="00074BFE">
        <w:rPr>
          <w:i/>
          <w:iCs/>
          <w:sz w:val="20"/>
          <w:szCs w:val="20"/>
        </w:rPr>
        <w:t>6</w:t>
      </w:r>
      <w:r w:rsidRPr="00074BFE">
        <w:rPr>
          <w:i/>
          <w:iCs/>
          <w:sz w:val="20"/>
          <w:szCs w:val="20"/>
        </w:rPr>
        <w:t xml:space="preserve">). </w:t>
      </w:r>
      <w:r w:rsidR="2B4DF3BD" w:rsidRPr="00074BFE">
        <w:rPr>
          <w:i/>
          <w:iCs/>
          <w:sz w:val="20"/>
          <w:szCs w:val="20"/>
        </w:rPr>
        <w:t>Stock</w:t>
      </w:r>
      <w:r w:rsidRPr="00074BFE">
        <w:rPr>
          <w:i/>
          <w:iCs/>
          <w:sz w:val="20"/>
          <w:szCs w:val="20"/>
        </w:rPr>
        <w:t xml:space="preserve"> price synchronicity</w:t>
      </w:r>
      <w:r w:rsidR="00F92F6C" w:rsidRPr="00074BFE">
        <w:rPr>
          <w:i/>
          <w:iCs/>
          <w:sz w:val="20"/>
          <w:szCs w:val="20"/>
        </w:rPr>
        <w:t xml:space="preserve"> and mispricing indices</w:t>
      </w:r>
      <w:r w:rsidRPr="00074BFE">
        <w:rPr>
          <w:i/>
          <w:iCs/>
          <w:sz w:val="20"/>
          <w:szCs w:val="20"/>
        </w:rPr>
        <w:t xml:space="preserve"> </w:t>
      </w:r>
      <w:r w:rsidR="2B4DF3BD" w:rsidRPr="00074BFE">
        <w:rPr>
          <w:i/>
          <w:iCs/>
          <w:sz w:val="20"/>
          <w:szCs w:val="20"/>
        </w:rPr>
        <w:t xml:space="preserve">denoted as </w:t>
      </w:r>
      <w:r w:rsidRPr="00074BFE">
        <w:rPr>
          <w:i/>
          <w:iCs/>
          <w:sz w:val="20"/>
          <w:szCs w:val="20"/>
        </w:rPr>
        <w:t>SYN</w:t>
      </w:r>
      <w:r w:rsidR="00F92F6C" w:rsidRPr="00074BFE">
        <w:rPr>
          <w:i/>
          <w:iCs/>
          <w:sz w:val="20"/>
          <w:szCs w:val="20"/>
        </w:rPr>
        <w:t xml:space="preserve"> and Misp1, Misp2 are</w:t>
      </w:r>
      <w:r w:rsidR="2B4DF3BD" w:rsidRPr="00074BFE">
        <w:rPr>
          <w:i/>
          <w:iCs/>
          <w:sz w:val="20"/>
          <w:szCs w:val="20"/>
        </w:rPr>
        <w:t xml:space="preserve"> the dependent variable</w:t>
      </w:r>
      <w:r w:rsidR="00F92F6C" w:rsidRPr="00074BFE">
        <w:rPr>
          <w:i/>
          <w:iCs/>
          <w:sz w:val="20"/>
          <w:szCs w:val="20"/>
        </w:rPr>
        <w:t>s</w:t>
      </w:r>
      <w:r w:rsidRPr="00074BFE">
        <w:rPr>
          <w:i/>
          <w:iCs/>
          <w:sz w:val="20"/>
          <w:szCs w:val="20"/>
        </w:rPr>
        <w:t>.</w:t>
      </w:r>
      <w:r w:rsidR="00F92F6C" w:rsidRPr="00074BFE">
        <w:rPr>
          <w:i/>
          <w:iCs/>
          <w:sz w:val="20"/>
          <w:szCs w:val="20"/>
        </w:rPr>
        <w:t xml:space="preserve"> T-statistics are reported in parentheses </w:t>
      </w:r>
      <w:r w:rsidRPr="00074BFE">
        <w:rPr>
          <w:i/>
          <w:iCs/>
          <w:sz w:val="20"/>
          <w:szCs w:val="20"/>
        </w:rPr>
        <w:t>*, **, and *** indicate significance at the 10%, 5%, and 1% levels, respectively</w:t>
      </w:r>
      <w:r w:rsidR="2B4DF3BD" w:rsidRPr="00074BFE">
        <w:rPr>
          <w:i/>
          <w:iCs/>
          <w:sz w:val="20"/>
          <w:szCs w:val="20"/>
        </w:rPr>
        <w:t>.</w:t>
      </w:r>
    </w:p>
    <w:p w14:paraId="56C2B199" w14:textId="77777777" w:rsidR="00805C23" w:rsidRPr="004B50EE" w:rsidRDefault="00805C23">
      <w:pPr>
        <w:spacing w:before="120"/>
        <w:rPr>
          <w:sz w:val="20"/>
          <w:szCs w:val="20"/>
        </w:rPr>
      </w:pPr>
    </w:p>
    <w:p w14:paraId="7EF96E66" w14:textId="00C07F3C" w:rsidR="003D6CAC" w:rsidRPr="000071E2" w:rsidRDefault="00F9546E">
      <w:pPr>
        <w:spacing w:before="120"/>
        <w:rPr>
          <w:b/>
          <w:sz w:val="20"/>
          <w:szCs w:val="20"/>
        </w:rPr>
      </w:pPr>
      <w:r w:rsidRPr="000071E2">
        <w:rPr>
          <w:b/>
          <w:sz w:val="20"/>
          <w:szCs w:val="20"/>
        </w:rPr>
        <w:t>6</w:t>
      </w:r>
      <w:r w:rsidR="00436226" w:rsidRPr="000071E2">
        <w:rPr>
          <w:b/>
          <w:sz w:val="20"/>
          <w:szCs w:val="20"/>
        </w:rPr>
        <w:t>. CONCLUSION</w:t>
      </w:r>
      <w:r w:rsidR="00BD3878" w:rsidRPr="000071E2">
        <w:rPr>
          <w:b/>
          <w:sz w:val="20"/>
          <w:szCs w:val="20"/>
        </w:rPr>
        <w:t xml:space="preserve"> AND FUTURE RESEARCH</w:t>
      </w:r>
    </w:p>
    <w:p w14:paraId="61A58CEB" w14:textId="1E39C938" w:rsidR="00BD3878" w:rsidRPr="000071E2" w:rsidRDefault="00F9546E">
      <w:pPr>
        <w:spacing w:before="120"/>
        <w:rPr>
          <w:b/>
          <w:sz w:val="20"/>
          <w:szCs w:val="20"/>
        </w:rPr>
      </w:pPr>
      <w:r w:rsidRPr="000071E2">
        <w:rPr>
          <w:b/>
          <w:sz w:val="20"/>
          <w:szCs w:val="20"/>
        </w:rPr>
        <w:t>6</w:t>
      </w:r>
      <w:r w:rsidR="00BD3878" w:rsidRPr="000071E2">
        <w:rPr>
          <w:b/>
          <w:sz w:val="20"/>
          <w:szCs w:val="20"/>
        </w:rPr>
        <w:t>.1 Conclusion</w:t>
      </w:r>
    </w:p>
    <w:p w14:paraId="0E7340EC" w14:textId="20AD5A09" w:rsidR="00D80629" w:rsidRPr="00D80629" w:rsidRDefault="00D80629" w:rsidP="00D80629">
      <w:pPr>
        <w:spacing w:before="120"/>
        <w:jc w:val="both"/>
        <w:rPr>
          <w:sz w:val="20"/>
          <w:szCs w:val="20"/>
          <w:lang w:val="en-GB"/>
        </w:rPr>
      </w:pPr>
      <w:r w:rsidRPr="00D80629">
        <w:rPr>
          <w:sz w:val="20"/>
          <w:szCs w:val="20"/>
          <w:lang w:val="en-GB"/>
        </w:rPr>
        <w:t xml:space="preserve">This study investigates the impacts of </w:t>
      </w:r>
      <w:proofErr w:type="spellStart"/>
      <w:r w:rsidRPr="00D80629">
        <w:rPr>
          <w:sz w:val="20"/>
          <w:szCs w:val="20"/>
          <w:lang w:val="en-GB"/>
        </w:rPr>
        <w:t>rumors</w:t>
      </w:r>
      <w:proofErr w:type="spellEnd"/>
      <w:r w:rsidRPr="00D80629">
        <w:rPr>
          <w:sz w:val="20"/>
          <w:szCs w:val="20"/>
          <w:lang w:val="en-GB"/>
        </w:rPr>
        <w:t xml:space="preserve"> on the information-reflecting efficiency of Vietnamese bank stock prices, focusing on two aspects: the degree of </w:t>
      </w:r>
      <w:proofErr w:type="spellStart"/>
      <w:r w:rsidRPr="00D80629">
        <w:rPr>
          <w:sz w:val="20"/>
          <w:szCs w:val="20"/>
          <w:lang w:val="en-GB"/>
        </w:rPr>
        <w:t>synchronivity</w:t>
      </w:r>
      <w:proofErr w:type="spellEnd"/>
      <w:r w:rsidRPr="00D80629">
        <w:rPr>
          <w:sz w:val="20"/>
          <w:szCs w:val="20"/>
          <w:lang w:val="en-GB"/>
        </w:rPr>
        <w:t xml:space="preserve"> and mispricing. The regression results in Table 3 demonstrate that the coefficients for both total </w:t>
      </w:r>
      <w:proofErr w:type="spellStart"/>
      <w:r w:rsidRPr="00D80629">
        <w:rPr>
          <w:sz w:val="20"/>
          <w:szCs w:val="20"/>
          <w:lang w:val="en-GB"/>
        </w:rPr>
        <w:t>rumors</w:t>
      </w:r>
      <w:proofErr w:type="spellEnd"/>
      <w:r w:rsidRPr="00D80629">
        <w:rPr>
          <w:sz w:val="20"/>
          <w:szCs w:val="20"/>
          <w:lang w:val="en-GB"/>
        </w:rPr>
        <w:t xml:space="preserve"> (</w:t>
      </w:r>
      <m:oMath>
        <m:r>
          <w:rPr>
            <w:rFonts w:ascii="Cambria Math" w:hAnsi="Cambria Math"/>
            <w:sz w:val="20"/>
            <w:szCs w:val="20"/>
          </w:rPr>
          <m:t>Rumor</m:t>
        </m:r>
      </m:oMath>
      <w:r w:rsidRPr="00D80629">
        <w:rPr>
          <w:sz w:val="20"/>
          <w:szCs w:val="20"/>
          <w:lang w:val="en-GB"/>
        </w:rPr>
        <w:t>) and their sub-categories (</w:t>
      </w:r>
      <m:oMath>
        <m:r>
          <w:rPr>
            <w:rFonts w:ascii="Cambria Math" w:hAnsi="Cambria Math"/>
            <w:sz w:val="20"/>
            <w:szCs w:val="20"/>
          </w:rPr>
          <m:t>Rpos</m:t>
        </m:r>
      </m:oMath>
      <w:r w:rsidRPr="00D80629">
        <w:rPr>
          <w:sz w:val="20"/>
          <w:szCs w:val="20"/>
          <w:lang w:val="en-GB"/>
        </w:rPr>
        <w:t xml:space="preserve">, </w:t>
      </w:r>
      <m:oMath>
        <m:r>
          <w:rPr>
            <w:rFonts w:ascii="Cambria Math" w:hAnsi="Cambria Math"/>
            <w:sz w:val="20"/>
            <w:szCs w:val="20"/>
          </w:rPr>
          <m:t>Rneg</m:t>
        </m:r>
      </m:oMath>
      <w:r w:rsidRPr="00D80629">
        <w:rPr>
          <w:sz w:val="20"/>
          <w:szCs w:val="20"/>
          <w:lang w:val="en-GB"/>
        </w:rPr>
        <w:t>) are positive but statistically insignificant. This suggests that rumors do not significantly change the level of synchronous fluctuations of bank stock prices with the market and industry. Synchronicity in the sample is primarily determined by fundamental characteristics, particularly bank size (</w:t>
      </w:r>
      <m:oMath>
        <m:r>
          <w:rPr>
            <w:rFonts w:ascii="Cambria Math" w:hAnsi="Cambria Math"/>
            <w:sz w:val="20"/>
            <w:szCs w:val="20"/>
            <w:lang w:val="en-GB"/>
          </w:rPr>
          <m:t>Size</m:t>
        </m:r>
      </m:oMath>
      <w:r w:rsidRPr="00D80629">
        <w:rPr>
          <w:sz w:val="20"/>
          <w:szCs w:val="20"/>
          <w:lang w:val="en-GB"/>
        </w:rPr>
        <w:t xml:space="preserve">), with a coefficient of approximately 0.93-0.94 and high statistical significance at the 1% level. This reflects that industry-level stock prices are still more determined by fundamentals and systematic information than by rumors. </w:t>
      </w:r>
    </w:p>
    <w:p w14:paraId="768E570D" w14:textId="125D8F7A" w:rsidR="00D80629" w:rsidRPr="00D80629" w:rsidRDefault="00D80629" w:rsidP="00D80629">
      <w:pPr>
        <w:spacing w:before="120"/>
        <w:jc w:val="both"/>
        <w:rPr>
          <w:sz w:val="20"/>
          <w:szCs w:val="20"/>
          <w:lang w:val="en-GB"/>
        </w:rPr>
      </w:pPr>
      <w:r w:rsidRPr="00D80629">
        <w:rPr>
          <w:sz w:val="20"/>
          <w:szCs w:val="20"/>
          <w:lang w:val="en-GB"/>
        </w:rPr>
        <w:t xml:space="preserve">However, from the perspective of pricing errors, the results reveal a different effect. Table 4 shows that the </w:t>
      </w:r>
      <w:proofErr w:type="spellStart"/>
      <w:r w:rsidRPr="00D80629">
        <w:rPr>
          <w:sz w:val="20"/>
          <w:szCs w:val="20"/>
          <w:lang w:val="en-GB"/>
        </w:rPr>
        <w:t>rumor</w:t>
      </w:r>
      <w:proofErr w:type="spellEnd"/>
      <w:r w:rsidRPr="00D80629">
        <w:rPr>
          <w:sz w:val="20"/>
          <w:szCs w:val="20"/>
          <w:lang w:val="en-GB"/>
        </w:rPr>
        <w:t xml:space="preserve"> coefficient for the accounting-based pricing error index (</w:t>
      </w:r>
      <m:oMath>
        <m:r>
          <w:rPr>
            <w:rFonts w:ascii="Cambria Math" w:hAnsi="Cambria Math"/>
            <w:sz w:val="20"/>
            <w:szCs w:val="20"/>
            <w:lang w:val="en-GB"/>
          </w:rPr>
          <m:t>Misp1</m:t>
        </m:r>
      </m:oMath>
      <w:r w:rsidRPr="00D80629">
        <w:rPr>
          <w:sz w:val="20"/>
          <w:szCs w:val="20"/>
          <w:lang w:val="en-GB"/>
        </w:rPr>
        <w:t>) is not statistically significant. In contrast, for the market-based measure (</w:t>
      </w:r>
      <m:oMath>
        <m:r>
          <w:rPr>
            <w:rFonts w:ascii="Cambria Math" w:hAnsi="Cambria Math"/>
            <w:sz w:val="20"/>
            <w:szCs w:val="20"/>
            <w:lang w:val="en-GB"/>
          </w:rPr>
          <m:t>Misp2</m:t>
        </m:r>
      </m:oMath>
      <w:r w:rsidRPr="00D80629">
        <w:rPr>
          <w:sz w:val="20"/>
          <w:szCs w:val="20"/>
          <w:lang w:val="en-GB"/>
        </w:rPr>
        <w:t>), rumors have a positive and statistically significant effect at the 1% level. This suggests that rumors, regardless of their positive or negative implications, tend to amplify pricing errors between market prices and fundamentals, reflecting amplified sentiment and increased volatility at the firm level. In other words, even if rumors are not remarkable enough to create artificial synchronicity across the sector, they nevertheless contribute to deviations of individual stock prices from their intrinsic value.</w:t>
      </w:r>
    </w:p>
    <w:p w14:paraId="03F2F492" w14:textId="77777777" w:rsidR="00D80629" w:rsidRDefault="00D80629" w:rsidP="00D80629">
      <w:pPr>
        <w:spacing w:before="120"/>
        <w:jc w:val="both"/>
        <w:rPr>
          <w:b/>
          <w:sz w:val="20"/>
          <w:szCs w:val="20"/>
          <w:lang w:val="en-GB"/>
        </w:rPr>
      </w:pPr>
      <w:r w:rsidRPr="00D80629">
        <w:rPr>
          <w:sz w:val="20"/>
          <w:szCs w:val="20"/>
          <w:lang w:val="en-GB"/>
        </w:rPr>
        <w:t xml:space="preserve">Overall, the results show that, although </w:t>
      </w:r>
      <w:proofErr w:type="spellStart"/>
      <w:r w:rsidRPr="00D80629">
        <w:rPr>
          <w:sz w:val="20"/>
          <w:szCs w:val="20"/>
          <w:lang w:val="en-GB"/>
        </w:rPr>
        <w:t>rumors</w:t>
      </w:r>
      <w:proofErr w:type="spellEnd"/>
      <w:r w:rsidRPr="00D80629">
        <w:rPr>
          <w:sz w:val="20"/>
          <w:szCs w:val="20"/>
          <w:lang w:val="en-GB"/>
        </w:rPr>
        <w:t xml:space="preserve"> in the Vietnamese banking market do not create industry synchronization, they reduce firm-level price efficiency by amplifying pricing errors. Furthermore, the positive but non-significant coefficients in the synchronicity model, combined with descriptive statistics showing that </w:t>
      </w:r>
      <w:proofErr w:type="spellStart"/>
      <w:r w:rsidRPr="00D80629">
        <w:rPr>
          <w:sz w:val="20"/>
          <w:szCs w:val="20"/>
          <w:lang w:val="en-GB"/>
        </w:rPr>
        <w:t>rumors</w:t>
      </w:r>
      <w:proofErr w:type="spellEnd"/>
      <w:r w:rsidRPr="00D80629">
        <w:rPr>
          <w:sz w:val="20"/>
          <w:szCs w:val="20"/>
          <w:lang w:val="en-GB"/>
        </w:rPr>
        <w:t xml:space="preserve"> remain a persistent feature of the information landscape (an average of 0.235 </w:t>
      </w:r>
      <w:proofErr w:type="spellStart"/>
      <w:r w:rsidRPr="00D80629">
        <w:rPr>
          <w:sz w:val="20"/>
          <w:szCs w:val="20"/>
          <w:lang w:val="en-GB"/>
        </w:rPr>
        <w:t>rumors</w:t>
      </w:r>
      <w:proofErr w:type="spellEnd"/>
      <w:r w:rsidRPr="00D80629">
        <w:rPr>
          <w:sz w:val="20"/>
          <w:szCs w:val="20"/>
          <w:lang w:val="en-GB"/>
        </w:rPr>
        <w:t xml:space="preserve"> per bank per year), suggest that </w:t>
      </w:r>
      <w:proofErr w:type="spellStart"/>
      <w:r w:rsidRPr="00D80629">
        <w:rPr>
          <w:sz w:val="20"/>
          <w:szCs w:val="20"/>
          <w:lang w:val="en-GB"/>
        </w:rPr>
        <w:t>rumors</w:t>
      </w:r>
      <w:proofErr w:type="spellEnd"/>
      <w:r w:rsidRPr="00D80629">
        <w:rPr>
          <w:sz w:val="20"/>
          <w:szCs w:val="20"/>
          <w:lang w:val="en-GB"/>
        </w:rPr>
        <w:t xml:space="preserve"> can contribute to short-term volatility and increase the volatility of individual stock returns, even if they are not strong enough to alter the correlation with the overall market. This suggests that </w:t>
      </w:r>
      <w:proofErr w:type="spellStart"/>
      <w:r w:rsidRPr="00D80629">
        <w:rPr>
          <w:sz w:val="20"/>
          <w:szCs w:val="20"/>
          <w:lang w:val="en-GB"/>
        </w:rPr>
        <w:t>rumors</w:t>
      </w:r>
      <w:proofErr w:type="spellEnd"/>
      <w:r w:rsidRPr="00D80629">
        <w:rPr>
          <w:sz w:val="20"/>
          <w:szCs w:val="20"/>
          <w:lang w:val="en-GB"/>
        </w:rPr>
        <w:t xml:space="preserve"> are more of a source of idiosyncratic risk than a driver of market or sector trends. The banking stock market is still generally dominated by systemic factors and the fundamental performance of individual companies, while </w:t>
      </w:r>
      <w:proofErr w:type="spellStart"/>
      <w:r w:rsidRPr="00D80629">
        <w:rPr>
          <w:sz w:val="20"/>
          <w:szCs w:val="20"/>
          <w:lang w:val="en-GB"/>
        </w:rPr>
        <w:t>rumors</w:t>
      </w:r>
      <w:proofErr w:type="spellEnd"/>
      <w:r w:rsidRPr="00D80629">
        <w:rPr>
          <w:sz w:val="20"/>
          <w:szCs w:val="20"/>
          <w:lang w:val="en-GB"/>
        </w:rPr>
        <w:t xml:space="preserve"> play only a secondary disruptive role, increasing short-term volatility without altering the main drivers of price fluctuations.</w:t>
      </w:r>
      <w:r w:rsidRPr="00D80629">
        <w:rPr>
          <w:b/>
          <w:sz w:val="20"/>
          <w:szCs w:val="20"/>
          <w:lang w:val="en-GB"/>
        </w:rPr>
        <w:t xml:space="preserve"> </w:t>
      </w:r>
    </w:p>
    <w:p w14:paraId="07429A17" w14:textId="4F297178" w:rsidR="00BD3878" w:rsidRPr="000071E2" w:rsidRDefault="00F9546E" w:rsidP="00D80629">
      <w:pPr>
        <w:spacing w:before="120"/>
        <w:jc w:val="both"/>
        <w:rPr>
          <w:b/>
          <w:sz w:val="20"/>
          <w:szCs w:val="20"/>
        </w:rPr>
      </w:pPr>
      <w:r w:rsidRPr="000071E2">
        <w:rPr>
          <w:b/>
          <w:sz w:val="20"/>
          <w:szCs w:val="20"/>
        </w:rPr>
        <w:t>6</w:t>
      </w:r>
      <w:r w:rsidR="00BD3878" w:rsidRPr="000071E2">
        <w:rPr>
          <w:b/>
          <w:sz w:val="20"/>
          <w:szCs w:val="20"/>
        </w:rPr>
        <w:t>.2 Future Research</w:t>
      </w:r>
    </w:p>
    <w:p w14:paraId="66D060C9" w14:textId="753AB7A0" w:rsidR="004656E6" w:rsidRPr="004656E6" w:rsidRDefault="004656E6" w:rsidP="004656E6">
      <w:pPr>
        <w:spacing w:before="120"/>
        <w:jc w:val="both"/>
        <w:rPr>
          <w:sz w:val="20"/>
          <w:szCs w:val="20"/>
          <w:lang w:val="en-GB"/>
        </w:rPr>
      </w:pPr>
      <w:r w:rsidRPr="004656E6">
        <w:rPr>
          <w:sz w:val="20"/>
          <w:szCs w:val="20"/>
          <w:lang w:val="en-GB"/>
        </w:rPr>
        <w:lastRenderedPageBreak/>
        <w:t xml:space="preserve">The limitations of this study and its findings offer several promising avenues for future research. First, extending the model beyond the banking sector to include non-financial listed companies, particularly those in the technology, real estate, or consumer goods sectors - which are more susceptible to speculative </w:t>
      </w:r>
      <w:proofErr w:type="spellStart"/>
      <w:r w:rsidRPr="004656E6">
        <w:rPr>
          <w:sz w:val="20"/>
          <w:szCs w:val="20"/>
          <w:lang w:val="en-GB"/>
        </w:rPr>
        <w:t>rumors</w:t>
      </w:r>
      <w:proofErr w:type="spellEnd"/>
      <w:r w:rsidRPr="004656E6">
        <w:rPr>
          <w:sz w:val="20"/>
          <w:szCs w:val="20"/>
          <w:lang w:val="en-GB"/>
        </w:rPr>
        <w:t xml:space="preserve"> and "hot concepts" - could provide a clearer picture of the impact of </w:t>
      </w:r>
      <w:proofErr w:type="spellStart"/>
      <w:r>
        <w:rPr>
          <w:sz w:val="20"/>
          <w:szCs w:val="20"/>
          <w:lang w:val="en-GB"/>
        </w:rPr>
        <w:t>rumors</w:t>
      </w:r>
      <w:proofErr w:type="spellEnd"/>
      <w:r>
        <w:rPr>
          <w:sz w:val="20"/>
          <w:szCs w:val="20"/>
          <w:lang w:val="en-GB"/>
        </w:rPr>
        <w:t xml:space="preserve"> </w:t>
      </w:r>
      <w:r w:rsidRPr="004656E6">
        <w:rPr>
          <w:sz w:val="20"/>
          <w:szCs w:val="20"/>
          <w:lang w:val="en-GB"/>
        </w:rPr>
        <w:t xml:space="preserve">on synchronization and mispricing. </w:t>
      </w:r>
      <w:r w:rsidR="005F20EF" w:rsidRPr="005F20EF">
        <w:rPr>
          <w:sz w:val="20"/>
          <w:szCs w:val="20"/>
          <w:lang w:val="en-GB"/>
        </w:rPr>
        <w:t xml:space="preserve">Future research should also shift its focus to alternative outcome measures, such as earnings volatility to capture idiosyncratic risk, mispricing to assess deviation from fundamentals, and stock crash risk to examine whether the accumulation of unrealized </w:t>
      </w:r>
      <w:proofErr w:type="spellStart"/>
      <w:r w:rsidR="005F20EF" w:rsidRPr="005F20EF">
        <w:rPr>
          <w:sz w:val="20"/>
          <w:szCs w:val="20"/>
          <w:lang w:val="en-GB"/>
        </w:rPr>
        <w:t>rumors</w:t>
      </w:r>
      <w:proofErr w:type="spellEnd"/>
      <w:r w:rsidR="005F20EF" w:rsidRPr="005F20EF">
        <w:rPr>
          <w:sz w:val="20"/>
          <w:szCs w:val="20"/>
          <w:lang w:val="en-GB"/>
        </w:rPr>
        <w:t xml:space="preserve">, especially negative </w:t>
      </w:r>
      <w:proofErr w:type="spellStart"/>
      <w:r w:rsidR="005F20EF" w:rsidRPr="005F20EF">
        <w:rPr>
          <w:sz w:val="20"/>
          <w:szCs w:val="20"/>
          <w:lang w:val="en-GB"/>
        </w:rPr>
        <w:t>rumors</w:t>
      </w:r>
      <w:proofErr w:type="spellEnd"/>
      <w:r w:rsidR="005F20EF" w:rsidRPr="005F20EF">
        <w:rPr>
          <w:sz w:val="20"/>
          <w:szCs w:val="20"/>
          <w:lang w:val="en-GB"/>
        </w:rPr>
        <w:t>, increases the likelihood of sharp downward corrections.</w:t>
      </w:r>
    </w:p>
    <w:p w14:paraId="0CF26C21" w14:textId="77777777" w:rsidR="004656E6" w:rsidRPr="004656E6" w:rsidRDefault="004656E6" w:rsidP="004656E6">
      <w:pPr>
        <w:spacing w:before="120"/>
        <w:jc w:val="both"/>
        <w:rPr>
          <w:sz w:val="20"/>
          <w:szCs w:val="20"/>
          <w:lang w:val="en-GB"/>
        </w:rPr>
      </w:pPr>
      <w:r w:rsidRPr="004656E6">
        <w:rPr>
          <w:sz w:val="20"/>
          <w:szCs w:val="20"/>
          <w:lang w:val="en-GB"/>
        </w:rPr>
        <w:t xml:space="preserve">Methodologically, an event study design with a timeframe of a few days around the announcement date could more precisely assess the timing of abnormal and dynamic returns, while addressing the limitations of small-sample bootstrapping procedures.  However, the window length criteria need to be carefully studied and adjusted to balance sensitivity to the reaction period and minimize noise. Furthermore, adding parsimonious variables, such as analyst coverage, institutional ownership, or media attention, along with corporate governance factors (foreign ownership, state ownership, governance characteristics, and quality control), would help elucidate the specific role of co-governance, synergies, and mispricing. This is particularly important in Vietnam, given its potentially unique ownership and regulatory structure.  Another approach, leveraging quantitative analysis of survey or interview data, could also provide insights into investor </w:t>
      </w:r>
      <w:proofErr w:type="spellStart"/>
      <w:r w:rsidRPr="004656E6">
        <w:rPr>
          <w:sz w:val="20"/>
          <w:szCs w:val="20"/>
          <w:lang w:val="en-GB"/>
        </w:rPr>
        <w:t>behavior</w:t>
      </w:r>
      <w:proofErr w:type="spellEnd"/>
      <w:r w:rsidRPr="004656E6">
        <w:rPr>
          <w:sz w:val="20"/>
          <w:szCs w:val="20"/>
          <w:lang w:val="en-GB"/>
        </w:rPr>
        <w:t xml:space="preserve"> and explain why coverage of Vietnam does not improve synchronization - whether due to hesitancy, reliance on alternative information, or differences in information transmission mechanisms.</w:t>
      </w:r>
    </w:p>
    <w:p w14:paraId="76F2B536" w14:textId="03BE8591" w:rsidR="00BD3878" w:rsidRPr="000071E2" w:rsidRDefault="004656E6" w:rsidP="004656E6">
      <w:pPr>
        <w:spacing w:before="120"/>
        <w:jc w:val="both"/>
        <w:rPr>
          <w:sz w:val="20"/>
          <w:szCs w:val="20"/>
        </w:rPr>
      </w:pPr>
      <w:r w:rsidRPr="004656E6">
        <w:rPr>
          <w:sz w:val="20"/>
          <w:szCs w:val="20"/>
          <w:lang w:val="en-GB"/>
        </w:rPr>
        <w:t xml:space="preserve">Furthermore, comparing Vietnam with other emerging markets such as China, Thailand, or Indonesia would highlight the unique characteristics of the relationship between synchronization, synergies, and mispricing, thus enhancing the contribution of this paper to the international literature. Finally, future research could apply advanced AI/NLP methods - particularly deep learning models and transformer architectures (such as BERT or </w:t>
      </w:r>
      <w:proofErr w:type="spellStart"/>
      <w:r w:rsidRPr="004656E6">
        <w:rPr>
          <w:sz w:val="20"/>
          <w:szCs w:val="20"/>
          <w:lang w:val="en-GB"/>
        </w:rPr>
        <w:t>PhoBERT</w:t>
      </w:r>
      <w:proofErr w:type="spellEnd"/>
      <w:r w:rsidRPr="004656E6">
        <w:rPr>
          <w:sz w:val="20"/>
          <w:szCs w:val="20"/>
          <w:lang w:val="en-GB"/>
        </w:rPr>
        <w:t xml:space="preserve">) - to more accurately classify and assess the nuances of news reports, thereby improving the effectiveness of measuring </w:t>
      </w:r>
      <w:proofErr w:type="spellStart"/>
      <w:r w:rsidRPr="004656E6">
        <w:rPr>
          <w:sz w:val="20"/>
          <w:szCs w:val="20"/>
          <w:lang w:val="en-GB"/>
        </w:rPr>
        <w:t>rumor</w:t>
      </w:r>
      <w:proofErr w:type="spellEnd"/>
      <w:r w:rsidRPr="004656E6">
        <w:rPr>
          <w:sz w:val="20"/>
          <w:szCs w:val="20"/>
          <w:lang w:val="en-GB"/>
        </w:rPr>
        <w:t xml:space="preserve"> activity in the financial markets.</w:t>
      </w:r>
    </w:p>
    <w:p w14:paraId="1A2DF251" w14:textId="46D20841" w:rsidR="004B50EE" w:rsidRDefault="004B50EE">
      <w:pPr>
        <w:pBdr>
          <w:top w:val="nil"/>
          <w:left w:val="nil"/>
          <w:bottom w:val="nil"/>
          <w:right w:val="nil"/>
          <w:between w:val="nil"/>
        </w:pBdr>
        <w:spacing w:before="120"/>
        <w:rPr>
          <w:b/>
          <w:sz w:val="20"/>
          <w:szCs w:val="20"/>
        </w:rPr>
      </w:pPr>
    </w:p>
    <w:p w14:paraId="71C6DFEE" w14:textId="7CC484F7" w:rsidR="00B37552" w:rsidRPr="004B50EE" w:rsidRDefault="00436226" w:rsidP="003811E5">
      <w:pPr>
        <w:pBdr>
          <w:top w:val="nil"/>
          <w:left w:val="nil"/>
          <w:bottom w:val="nil"/>
          <w:right w:val="nil"/>
          <w:between w:val="nil"/>
        </w:pBdr>
        <w:spacing w:before="120"/>
        <w:jc w:val="both"/>
        <w:rPr>
          <w:bCs/>
          <w:sz w:val="20"/>
          <w:szCs w:val="20"/>
        </w:rPr>
      </w:pPr>
      <w:r w:rsidRPr="000071E2">
        <w:rPr>
          <w:b/>
          <w:sz w:val="20"/>
          <w:szCs w:val="20"/>
        </w:rPr>
        <w:t>Appendix</w:t>
      </w:r>
      <w:r w:rsidR="00CD5761">
        <w:rPr>
          <w:b/>
          <w:sz w:val="20"/>
          <w:szCs w:val="20"/>
        </w:rPr>
        <w:t xml:space="preserve"> 1</w:t>
      </w:r>
      <w:r w:rsidRPr="000071E2">
        <w:rPr>
          <w:b/>
          <w:sz w:val="20"/>
          <w:szCs w:val="20"/>
        </w:rPr>
        <w:t xml:space="preserve">. </w:t>
      </w:r>
      <w:r w:rsidR="004B50EE" w:rsidRPr="004B50EE">
        <w:rPr>
          <w:bCs/>
          <w:sz w:val="20"/>
          <w:szCs w:val="20"/>
        </w:rPr>
        <w:t>Rumor Verification Sample</w:t>
      </w:r>
    </w:p>
    <w:p w14:paraId="667EB3CD" w14:textId="1D89B08B" w:rsidR="008B2AFA" w:rsidRPr="00165B09" w:rsidRDefault="69C09A3B" w:rsidP="00165B09">
      <w:pPr>
        <w:pBdr>
          <w:top w:val="nil"/>
          <w:left w:val="nil"/>
          <w:bottom w:val="nil"/>
          <w:right w:val="nil"/>
          <w:between w:val="nil"/>
        </w:pBdr>
        <w:spacing w:before="120" w:after="240"/>
        <w:jc w:val="both"/>
        <w:rPr>
          <w:sz w:val="20"/>
          <w:szCs w:val="20"/>
          <w:lang w:val="en-GB"/>
        </w:rPr>
      </w:pPr>
      <w:r w:rsidRPr="000071E2">
        <w:rPr>
          <w:sz w:val="20"/>
          <w:szCs w:val="20"/>
          <w:lang w:val="en-GB"/>
        </w:rPr>
        <w:t xml:space="preserve">The following texts are </w:t>
      </w:r>
      <w:r w:rsidR="00165B09">
        <w:rPr>
          <w:sz w:val="20"/>
          <w:szCs w:val="20"/>
          <w:lang w:val="en-GB"/>
        </w:rPr>
        <w:t>representative excerpts</w:t>
      </w:r>
      <w:r w:rsidRPr="000071E2">
        <w:rPr>
          <w:sz w:val="20"/>
          <w:szCs w:val="20"/>
          <w:lang w:val="en-GB"/>
        </w:rPr>
        <w:t xml:space="preserve"> from the original </w:t>
      </w:r>
      <w:proofErr w:type="spellStart"/>
      <w:r w:rsidRPr="000071E2">
        <w:rPr>
          <w:sz w:val="20"/>
          <w:szCs w:val="20"/>
          <w:lang w:val="en-GB"/>
        </w:rPr>
        <w:t>rumor</w:t>
      </w:r>
      <w:proofErr w:type="spellEnd"/>
      <w:r w:rsidRPr="000071E2">
        <w:rPr>
          <w:sz w:val="20"/>
          <w:szCs w:val="20"/>
          <w:lang w:val="en-GB"/>
        </w:rPr>
        <w:t xml:space="preserve"> verification sample, with 22 positive cases, 2 negative cases, and 6 neutral cases.</w:t>
      </w:r>
    </w:p>
    <w:tbl>
      <w:tblPr>
        <w:tblW w:w="9356" w:type="dxa"/>
        <w:jc w:val="center"/>
        <w:tblLook w:val="04A0" w:firstRow="1" w:lastRow="0" w:firstColumn="1" w:lastColumn="0" w:noHBand="0" w:noVBand="1"/>
      </w:tblPr>
      <w:tblGrid>
        <w:gridCol w:w="680"/>
        <w:gridCol w:w="1060"/>
        <w:gridCol w:w="1060"/>
        <w:gridCol w:w="1600"/>
        <w:gridCol w:w="4956"/>
      </w:tblGrid>
      <w:tr w:rsidR="00E20EDD" w:rsidRPr="008B2AFA" w14:paraId="35D79B9B" w14:textId="77777777" w:rsidTr="00036EEF">
        <w:trPr>
          <w:trHeight w:val="312"/>
          <w:jc w:val="center"/>
        </w:trPr>
        <w:tc>
          <w:tcPr>
            <w:tcW w:w="680" w:type="dxa"/>
            <w:tcBorders>
              <w:top w:val="single" w:sz="4" w:space="0" w:color="auto"/>
              <w:left w:val="nil"/>
              <w:bottom w:val="single" w:sz="4" w:space="0" w:color="auto"/>
              <w:right w:val="nil"/>
            </w:tcBorders>
            <w:noWrap/>
            <w:vAlign w:val="center"/>
            <w:hideMark/>
          </w:tcPr>
          <w:p w14:paraId="49087196" w14:textId="77777777" w:rsidR="00E20EDD" w:rsidRPr="008B2AFA" w:rsidRDefault="00E20EDD" w:rsidP="00E20EDD">
            <w:pPr>
              <w:jc w:val="center"/>
              <w:rPr>
                <w:i/>
                <w:iCs/>
                <w:color w:val="000000"/>
                <w:sz w:val="20"/>
                <w:szCs w:val="20"/>
              </w:rPr>
            </w:pPr>
            <w:r w:rsidRPr="008B2AFA">
              <w:rPr>
                <w:i/>
                <w:iCs/>
                <w:color w:val="000000"/>
                <w:sz w:val="20"/>
                <w:szCs w:val="20"/>
              </w:rPr>
              <w:t>No</w:t>
            </w:r>
          </w:p>
        </w:tc>
        <w:tc>
          <w:tcPr>
            <w:tcW w:w="1060" w:type="dxa"/>
            <w:tcBorders>
              <w:top w:val="single" w:sz="4" w:space="0" w:color="auto"/>
              <w:left w:val="nil"/>
              <w:bottom w:val="single" w:sz="4" w:space="0" w:color="auto"/>
              <w:right w:val="nil"/>
            </w:tcBorders>
            <w:noWrap/>
            <w:vAlign w:val="center"/>
            <w:hideMark/>
          </w:tcPr>
          <w:p w14:paraId="63FA73E9" w14:textId="3B8CE0E0" w:rsidR="00E20EDD" w:rsidRPr="008B2AFA" w:rsidRDefault="4A96126F" w:rsidP="00E20EDD">
            <w:pPr>
              <w:jc w:val="center"/>
              <w:rPr>
                <w:i/>
                <w:iCs/>
                <w:color w:val="000000"/>
                <w:sz w:val="20"/>
                <w:szCs w:val="20"/>
              </w:rPr>
            </w:pPr>
            <w:r w:rsidRPr="008B2AFA">
              <w:rPr>
                <w:i/>
                <w:iCs/>
                <w:color w:val="000000" w:themeColor="text1"/>
                <w:sz w:val="20"/>
                <w:szCs w:val="20"/>
              </w:rPr>
              <w:t>Keyword</w:t>
            </w:r>
          </w:p>
        </w:tc>
        <w:tc>
          <w:tcPr>
            <w:tcW w:w="1060" w:type="dxa"/>
            <w:tcBorders>
              <w:top w:val="single" w:sz="4" w:space="0" w:color="auto"/>
              <w:left w:val="nil"/>
              <w:bottom w:val="single" w:sz="4" w:space="0" w:color="auto"/>
              <w:right w:val="nil"/>
            </w:tcBorders>
            <w:noWrap/>
            <w:vAlign w:val="center"/>
            <w:hideMark/>
          </w:tcPr>
          <w:p w14:paraId="1A3DAB7B" w14:textId="77777777" w:rsidR="00E20EDD" w:rsidRPr="008B2AFA" w:rsidRDefault="00E20EDD" w:rsidP="00E20EDD">
            <w:pPr>
              <w:jc w:val="center"/>
              <w:rPr>
                <w:i/>
                <w:iCs/>
                <w:color w:val="000000"/>
                <w:sz w:val="20"/>
                <w:szCs w:val="20"/>
              </w:rPr>
            </w:pPr>
            <w:r w:rsidRPr="008B2AFA">
              <w:rPr>
                <w:i/>
                <w:iCs/>
                <w:color w:val="000000"/>
                <w:sz w:val="20"/>
                <w:szCs w:val="20"/>
              </w:rPr>
              <w:t>Year</w:t>
            </w:r>
          </w:p>
        </w:tc>
        <w:tc>
          <w:tcPr>
            <w:tcW w:w="1600" w:type="dxa"/>
            <w:tcBorders>
              <w:top w:val="single" w:sz="4" w:space="0" w:color="auto"/>
              <w:left w:val="nil"/>
              <w:bottom w:val="single" w:sz="4" w:space="0" w:color="auto"/>
              <w:right w:val="nil"/>
            </w:tcBorders>
            <w:noWrap/>
            <w:vAlign w:val="center"/>
            <w:hideMark/>
          </w:tcPr>
          <w:p w14:paraId="4AE84E7F" w14:textId="77777777" w:rsidR="00E20EDD" w:rsidRPr="008B2AFA" w:rsidRDefault="00E20EDD" w:rsidP="00E20EDD">
            <w:pPr>
              <w:jc w:val="center"/>
              <w:rPr>
                <w:i/>
                <w:iCs/>
                <w:color w:val="000000"/>
                <w:sz w:val="20"/>
                <w:szCs w:val="20"/>
              </w:rPr>
            </w:pPr>
            <w:r w:rsidRPr="008B2AFA">
              <w:rPr>
                <w:i/>
                <w:iCs/>
                <w:color w:val="000000"/>
                <w:sz w:val="20"/>
                <w:szCs w:val="20"/>
              </w:rPr>
              <w:t>Sentiment</w:t>
            </w:r>
          </w:p>
        </w:tc>
        <w:tc>
          <w:tcPr>
            <w:tcW w:w="4956" w:type="dxa"/>
            <w:tcBorders>
              <w:top w:val="single" w:sz="4" w:space="0" w:color="auto"/>
              <w:left w:val="nil"/>
              <w:bottom w:val="single" w:sz="4" w:space="0" w:color="auto"/>
              <w:right w:val="nil"/>
            </w:tcBorders>
            <w:noWrap/>
            <w:vAlign w:val="center"/>
            <w:hideMark/>
          </w:tcPr>
          <w:p w14:paraId="4D183C8C" w14:textId="77777777" w:rsidR="00E20EDD" w:rsidRPr="008B2AFA" w:rsidRDefault="00E20EDD" w:rsidP="00E20EDD">
            <w:pPr>
              <w:jc w:val="center"/>
              <w:rPr>
                <w:i/>
                <w:iCs/>
                <w:color w:val="000000"/>
                <w:sz w:val="20"/>
                <w:szCs w:val="20"/>
              </w:rPr>
            </w:pPr>
            <w:r w:rsidRPr="008B2AFA">
              <w:rPr>
                <w:i/>
                <w:iCs/>
                <w:color w:val="000000"/>
                <w:sz w:val="20"/>
                <w:szCs w:val="20"/>
              </w:rPr>
              <w:t>Title</w:t>
            </w:r>
          </w:p>
        </w:tc>
      </w:tr>
      <w:tr w:rsidR="00E20EDD" w:rsidRPr="000071E2" w14:paraId="0FEF1F3A" w14:textId="77777777" w:rsidTr="00036EEF">
        <w:trPr>
          <w:trHeight w:val="312"/>
          <w:jc w:val="center"/>
        </w:trPr>
        <w:tc>
          <w:tcPr>
            <w:tcW w:w="680" w:type="dxa"/>
            <w:tcBorders>
              <w:top w:val="nil"/>
              <w:left w:val="nil"/>
              <w:bottom w:val="nil"/>
              <w:right w:val="nil"/>
            </w:tcBorders>
            <w:noWrap/>
            <w:vAlign w:val="center"/>
            <w:hideMark/>
          </w:tcPr>
          <w:p w14:paraId="2B794D7F" w14:textId="77777777" w:rsidR="00E20EDD" w:rsidRPr="000071E2" w:rsidRDefault="00E20EDD" w:rsidP="00E20EDD">
            <w:pPr>
              <w:jc w:val="center"/>
              <w:rPr>
                <w:color w:val="000000"/>
                <w:sz w:val="20"/>
                <w:szCs w:val="20"/>
              </w:rPr>
            </w:pPr>
            <w:r w:rsidRPr="000071E2">
              <w:rPr>
                <w:color w:val="000000"/>
                <w:sz w:val="20"/>
                <w:szCs w:val="20"/>
              </w:rPr>
              <w:t>1</w:t>
            </w:r>
          </w:p>
        </w:tc>
        <w:tc>
          <w:tcPr>
            <w:tcW w:w="1060" w:type="dxa"/>
            <w:tcBorders>
              <w:top w:val="nil"/>
              <w:left w:val="nil"/>
              <w:bottom w:val="nil"/>
              <w:right w:val="nil"/>
            </w:tcBorders>
            <w:noWrap/>
            <w:vAlign w:val="center"/>
            <w:hideMark/>
          </w:tcPr>
          <w:p w14:paraId="679EBFDA" w14:textId="77777777" w:rsidR="00E20EDD" w:rsidRPr="000071E2" w:rsidRDefault="00E20EDD" w:rsidP="00E20EDD">
            <w:pPr>
              <w:jc w:val="center"/>
              <w:rPr>
                <w:color w:val="000000"/>
                <w:sz w:val="20"/>
                <w:szCs w:val="20"/>
              </w:rPr>
            </w:pPr>
            <w:r w:rsidRPr="000071E2">
              <w:rPr>
                <w:color w:val="000000"/>
                <w:sz w:val="20"/>
                <w:szCs w:val="20"/>
              </w:rPr>
              <w:t>ACB</w:t>
            </w:r>
          </w:p>
        </w:tc>
        <w:tc>
          <w:tcPr>
            <w:tcW w:w="1060" w:type="dxa"/>
            <w:tcBorders>
              <w:top w:val="nil"/>
              <w:left w:val="nil"/>
              <w:bottom w:val="nil"/>
              <w:right w:val="nil"/>
            </w:tcBorders>
            <w:noWrap/>
            <w:vAlign w:val="center"/>
            <w:hideMark/>
          </w:tcPr>
          <w:p w14:paraId="5032E94F" w14:textId="77777777" w:rsidR="00E20EDD" w:rsidRPr="000071E2" w:rsidRDefault="00E20EDD" w:rsidP="00E20EDD">
            <w:pPr>
              <w:jc w:val="center"/>
              <w:rPr>
                <w:color w:val="000000"/>
                <w:sz w:val="20"/>
                <w:szCs w:val="20"/>
              </w:rPr>
            </w:pPr>
            <w:r w:rsidRPr="000071E2">
              <w:rPr>
                <w:color w:val="000000"/>
                <w:sz w:val="20"/>
                <w:szCs w:val="20"/>
              </w:rPr>
              <w:t>2017</w:t>
            </w:r>
          </w:p>
        </w:tc>
        <w:tc>
          <w:tcPr>
            <w:tcW w:w="1600" w:type="dxa"/>
            <w:tcBorders>
              <w:top w:val="nil"/>
              <w:left w:val="nil"/>
              <w:bottom w:val="nil"/>
              <w:right w:val="nil"/>
            </w:tcBorders>
            <w:noWrap/>
            <w:vAlign w:val="center"/>
            <w:hideMark/>
          </w:tcPr>
          <w:p w14:paraId="4C2D50BE" w14:textId="77777777" w:rsidR="00E20EDD" w:rsidRPr="000071E2" w:rsidRDefault="00E20EDD" w:rsidP="00E20EDD">
            <w:pPr>
              <w:jc w:val="center"/>
              <w:rPr>
                <w:color w:val="000000"/>
                <w:sz w:val="20"/>
                <w:szCs w:val="20"/>
              </w:rPr>
            </w:pPr>
            <w:r w:rsidRPr="000071E2">
              <w:rPr>
                <w:color w:val="000000"/>
                <w:sz w:val="20"/>
                <w:szCs w:val="20"/>
              </w:rPr>
              <w:t>Neutral</w:t>
            </w:r>
          </w:p>
        </w:tc>
        <w:tc>
          <w:tcPr>
            <w:tcW w:w="4956" w:type="dxa"/>
            <w:tcBorders>
              <w:top w:val="nil"/>
              <w:left w:val="nil"/>
              <w:bottom w:val="nil"/>
              <w:right w:val="nil"/>
            </w:tcBorders>
            <w:noWrap/>
            <w:vAlign w:val="center"/>
            <w:hideMark/>
          </w:tcPr>
          <w:p w14:paraId="017F6916" w14:textId="77777777" w:rsidR="00E20EDD" w:rsidRPr="000071E2" w:rsidRDefault="00E20EDD" w:rsidP="00E20EDD">
            <w:pPr>
              <w:rPr>
                <w:color w:val="000000"/>
                <w:sz w:val="20"/>
                <w:szCs w:val="20"/>
              </w:rPr>
            </w:pPr>
            <w:r w:rsidRPr="000071E2">
              <w:rPr>
                <w:color w:val="000000"/>
                <w:sz w:val="20"/>
                <w:szCs w:val="20"/>
              </w:rPr>
              <w:t xml:space="preserve">Ai </w:t>
            </w:r>
            <w:proofErr w:type="spellStart"/>
            <w:r w:rsidRPr="000071E2">
              <w:rPr>
                <w:color w:val="000000"/>
                <w:sz w:val="20"/>
                <w:szCs w:val="20"/>
              </w:rPr>
              <w:t>đã</w:t>
            </w:r>
            <w:proofErr w:type="spellEnd"/>
            <w:r w:rsidRPr="000071E2">
              <w:rPr>
                <w:color w:val="000000"/>
                <w:sz w:val="20"/>
                <w:szCs w:val="20"/>
              </w:rPr>
              <w:t xml:space="preserve"> </w:t>
            </w:r>
            <w:proofErr w:type="spellStart"/>
            <w:r w:rsidRPr="000071E2">
              <w:rPr>
                <w:color w:val="000000"/>
                <w:sz w:val="20"/>
                <w:szCs w:val="20"/>
              </w:rPr>
              <w:t>bán</w:t>
            </w:r>
            <w:proofErr w:type="spellEnd"/>
            <w:r w:rsidRPr="000071E2">
              <w:rPr>
                <w:color w:val="000000"/>
                <w:sz w:val="20"/>
                <w:szCs w:val="20"/>
              </w:rPr>
              <w:t xml:space="preserve"> </w:t>
            </w:r>
            <w:proofErr w:type="spellStart"/>
            <w:r w:rsidRPr="000071E2">
              <w:rPr>
                <w:color w:val="000000"/>
                <w:sz w:val="20"/>
                <w:szCs w:val="20"/>
              </w:rPr>
              <w:t>ra</w:t>
            </w:r>
            <w:proofErr w:type="spellEnd"/>
            <w:r w:rsidRPr="000071E2">
              <w:rPr>
                <w:color w:val="000000"/>
                <w:sz w:val="20"/>
                <w:szCs w:val="20"/>
              </w:rPr>
              <w:t xml:space="preserve"> 74 </w:t>
            </w:r>
            <w:proofErr w:type="spellStart"/>
            <w:r w:rsidRPr="000071E2">
              <w:rPr>
                <w:color w:val="000000"/>
                <w:sz w:val="20"/>
                <w:szCs w:val="20"/>
              </w:rPr>
              <w:t>triệu</w:t>
            </w:r>
            <w:proofErr w:type="spellEnd"/>
            <w:r w:rsidRPr="000071E2">
              <w:rPr>
                <w:color w:val="000000"/>
                <w:sz w:val="20"/>
                <w:szCs w:val="20"/>
              </w:rPr>
              <w:t xml:space="preserve"> </w:t>
            </w:r>
            <w:proofErr w:type="spellStart"/>
            <w:r w:rsidRPr="000071E2">
              <w:rPr>
                <w:color w:val="000000"/>
                <w:sz w:val="20"/>
                <w:szCs w:val="20"/>
              </w:rPr>
              <w:t>cổ</w:t>
            </w:r>
            <w:proofErr w:type="spellEnd"/>
            <w:r w:rsidRPr="000071E2">
              <w:rPr>
                <w:color w:val="000000"/>
                <w:sz w:val="20"/>
                <w:szCs w:val="20"/>
              </w:rPr>
              <w:t xml:space="preserve"> </w:t>
            </w:r>
            <w:proofErr w:type="spellStart"/>
            <w:r w:rsidRPr="000071E2">
              <w:rPr>
                <w:color w:val="000000"/>
                <w:sz w:val="20"/>
                <w:szCs w:val="20"/>
              </w:rPr>
              <w:t>phiếu</w:t>
            </w:r>
            <w:proofErr w:type="spellEnd"/>
            <w:r w:rsidRPr="000071E2">
              <w:rPr>
                <w:color w:val="000000"/>
                <w:sz w:val="20"/>
                <w:szCs w:val="20"/>
              </w:rPr>
              <w:t xml:space="preserve"> ACB </w:t>
            </w:r>
            <w:proofErr w:type="spellStart"/>
            <w:r w:rsidRPr="000071E2">
              <w:rPr>
                <w:color w:val="000000"/>
                <w:sz w:val="20"/>
                <w:szCs w:val="20"/>
              </w:rPr>
              <w:t>trong</w:t>
            </w:r>
            <w:proofErr w:type="spellEnd"/>
            <w:r w:rsidRPr="000071E2">
              <w:rPr>
                <w:color w:val="000000"/>
                <w:sz w:val="20"/>
                <w:szCs w:val="20"/>
              </w:rPr>
              <w:t xml:space="preserve"> </w:t>
            </w:r>
            <w:proofErr w:type="spellStart"/>
            <w:r w:rsidRPr="000071E2">
              <w:rPr>
                <w:color w:val="000000"/>
                <w:sz w:val="20"/>
                <w:szCs w:val="20"/>
              </w:rPr>
              <w:t>cú</w:t>
            </w:r>
            <w:proofErr w:type="spellEnd"/>
            <w:r w:rsidRPr="000071E2">
              <w:rPr>
                <w:color w:val="000000"/>
                <w:sz w:val="20"/>
                <w:szCs w:val="20"/>
              </w:rPr>
              <w:t xml:space="preserve"> tr...</w:t>
            </w:r>
          </w:p>
        </w:tc>
      </w:tr>
      <w:tr w:rsidR="00E20EDD" w:rsidRPr="000071E2" w14:paraId="2D91D865" w14:textId="77777777" w:rsidTr="00036EEF">
        <w:trPr>
          <w:trHeight w:val="312"/>
          <w:jc w:val="center"/>
        </w:trPr>
        <w:tc>
          <w:tcPr>
            <w:tcW w:w="680" w:type="dxa"/>
            <w:tcBorders>
              <w:top w:val="nil"/>
              <w:left w:val="nil"/>
              <w:bottom w:val="nil"/>
              <w:right w:val="nil"/>
            </w:tcBorders>
            <w:noWrap/>
            <w:vAlign w:val="center"/>
            <w:hideMark/>
          </w:tcPr>
          <w:p w14:paraId="638DAA51" w14:textId="77777777" w:rsidR="00E20EDD" w:rsidRPr="000071E2" w:rsidRDefault="00E20EDD" w:rsidP="00E20EDD">
            <w:pPr>
              <w:jc w:val="center"/>
              <w:rPr>
                <w:color w:val="000000"/>
                <w:sz w:val="20"/>
                <w:szCs w:val="20"/>
              </w:rPr>
            </w:pPr>
            <w:r w:rsidRPr="000071E2">
              <w:rPr>
                <w:color w:val="000000"/>
                <w:sz w:val="20"/>
                <w:szCs w:val="20"/>
              </w:rPr>
              <w:t>2</w:t>
            </w:r>
          </w:p>
        </w:tc>
        <w:tc>
          <w:tcPr>
            <w:tcW w:w="1060" w:type="dxa"/>
            <w:tcBorders>
              <w:top w:val="nil"/>
              <w:left w:val="nil"/>
              <w:bottom w:val="nil"/>
              <w:right w:val="nil"/>
            </w:tcBorders>
            <w:noWrap/>
            <w:vAlign w:val="center"/>
            <w:hideMark/>
          </w:tcPr>
          <w:p w14:paraId="4CCBDE3F" w14:textId="77777777" w:rsidR="00E20EDD" w:rsidRPr="000071E2" w:rsidRDefault="00E20EDD" w:rsidP="00E20EDD">
            <w:pPr>
              <w:jc w:val="center"/>
              <w:rPr>
                <w:color w:val="000000"/>
                <w:sz w:val="20"/>
                <w:szCs w:val="20"/>
              </w:rPr>
            </w:pPr>
            <w:r w:rsidRPr="000071E2">
              <w:rPr>
                <w:color w:val="000000"/>
                <w:sz w:val="20"/>
                <w:szCs w:val="20"/>
              </w:rPr>
              <w:t>BID</w:t>
            </w:r>
          </w:p>
        </w:tc>
        <w:tc>
          <w:tcPr>
            <w:tcW w:w="1060" w:type="dxa"/>
            <w:tcBorders>
              <w:top w:val="nil"/>
              <w:left w:val="nil"/>
              <w:bottom w:val="nil"/>
              <w:right w:val="nil"/>
            </w:tcBorders>
            <w:noWrap/>
            <w:vAlign w:val="center"/>
            <w:hideMark/>
          </w:tcPr>
          <w:p w14:paraId="4419FFF0" w14:textId="77777777" w:rsidR="00E20EDD" w:rsidRPr="000071E2" w:rsidRDefault="00E20EDD" w:rsidP="00E20EDD">
            <w:pPr>
              <w:jc w:val="center"/>
              <w:rPr>
                <w:color w:val="000000"/>
                <w:sz w:val="20"/>
                <w:szCs w:val="20"/>
              </w:rPr>
            </w:pPr>
            <w:r w:rsidRPr="000071E2">
              <w:rPr>
                <w:color w:val="000000"/>
                <w:sz w:val="20"/>
                <w:szCs w:val="20"/>
              </w:rPr>
              <w:t>2017</w:t>
            </w:r>
          </w:p>
        </w:tc>
        <w:tc>
          <w:tcPr>
            <w:tcW w:w="1600" w:type="dxa"/>
            <w:tcBorders>
              <w:top w:val="nil"/>
              <w:left w:val="nil"/>
              <w:bottom w:val="nil"/>
              <w:right w:val="nil"/>
            </w:tcBorders>
            <w:noWrap/>
            <w:vAlign w:val="center"/>
            <w:hideMark/>
          </w:tcPr>
          <w:p w14:paraId="347C66FD" w14:textId="77777777" w:rsidR="00E20EDD" w:rsidRPr="000071E2" w:rsidRDefault="00E20EDD" w:rsidP="00E20EDD">
            <w:pPr>
              <w:jc w:val="center"/>
              <w:rPr>
                <w:color w:val="000000"/>
                <w:sz w:val="20"/>
                <w:szCs w:val="20"/>
              </w:rPr>
            </w:pPr>
            <w:r w:rsidRPr="000071E2">
              <w:rPr>
                <w:color w:val="000000"/>
                <w:sz w:val="20"/>
                <w:szCs w:val="20"/>
              </w:rPr>
              <w:t>Negative</w:t>
            </w:r>
          </w:p>
        </w:tc>
        <w:tc>
          <w:tcPr>
            <w:tcW w:w="4956" w:type="dxa"/>
            <w:tcBorders>
              <w:top w:val="nil"/>
              <w:left w:val="nil"/>
              <w:bottom w:val="nil"/>
              <w:right w:val="nil"/>
            </w:tcBorders>
            <w:noWrap/>
            <w:vAlign w:val="center"/>
            <w:hideMark/>
          </w:tcPr>
          <w:p w14:paraId="2387D8B8" w14:textId="77777777" w:rsidR="00E20EDD" w:rsidRPr="000071E2" w:rsidRDefault="00E20EDD" w:rsidP="00E20EDD">
            <w:pPr>
              <w:rPr>
                <w:color w:val="000000"/>
                <w:sz w:val="20"/>
                <w:szCs w:val="20"/>
              </w:rPr>
            </w:pPr>
            <w:proofErr w:type="spellStart"/>
            <w:r w:rsidRPr="000071E2">
              <w:rPr>
                <w:color w:val="000000"/>
                <w:sz w:val="20"/>
                <w:szCs w:val="20"/>
              </w:rPr>
              <w:t>Những</w:t>
            </w:r>
            <w:proofErr w:type="spellEnd"/>
            <w:r w:rsidRPr="000071E2">
              <w:rPr>
                <w:color w:val="000000"/>
                <w:sz w:val="20"/>
                <w:szCs w:val="20"/>
              </w:rPr>
              <w:t xml:space="preserve"> “</w:t>
            </w:r>
            <w:proofErr w:type="spellStart"/>
            <w:r w:rsidRPr="000071E2">
              <w:rPr>
                <w:color w:val="000000"/>
                <w:sz w:val="20"/>
                <w:szCs w:val="20"/>
              </w:rPr>
              <w:t>tội</w:t>
            </w:r>
            <w:proofErr w:type="spellEnd"/>
            <w:r w:rsidRPr="000071E2">
              <w:rPr>
                <w:color w:val="000000"/>
                <w:sz w:val="20"/>
                <w:szCs w:val="20"/>
              </w:rPr>
              <w:t xml:space="preserve"> </w:t>
            </w:r>
            <w:proofErr w:type="spellStart"/>
            <w:r w:rsidRPr="000071E2">
              <w:rPr>
                <w:color w:val="000000"/>
                <w:sz w:val="20"/>
                <w:szCs w:val="20"/>
              </w:rPr>
              <w:t>đồ</w:t>
            </w:r>
            <w:proofErr w:type="spellEnd"/>
            <w:r w:rsidRPr="000071E2">
              <w:rPr>
                <w:color w:val="000000"/>
                <w:sz w:val="20"/>
                <w:szCs w:val="20"/>
              </w:rPr>
              <w:t xml:space="preserve">” </w:t>
            </w:r>
            <w:proofErr w:type="spellStart"/>
            <w:r w:rsidRPr="000071E2">
              <w:rPr>
                <w:color w:val="000000"/>
                <w:sz w:val="20"/>
                <w:szCs w:val="20"/>
              </w:rPr>
              <w:t>nào</w:t>
            </w:r>
            <w:proofErr w:type="spellEnd"/>
            <w:r w:rsidRPr="000071E2">
              <w:rPr>
                <w:color w:val="000000"/>
                <w:sz w:val="20"/>
                <w:szCs w:val="20"/>
              </w:rPr>
              <w:t xml:space="preserve"> </w:t>
            </w:r>
            <w:proofErr w:type="spellStart"/>
            <w:r w:rsidRPr="000071E2">
              <w:rPr>
                <w:color w:val="000000"/>
                <w:sz w:val="20"/>
                <w:szCs w:val="20"/>
              </w:rPr>
              <w:t>đã</w:t>
            </w:r>
            <w:proofErr w:type="spellEnd"/>
            <w:r w:rsidRPr="000071E2">
              <w:rPr>
                <w:color w:val="000000"/>
                <w:sz w:val="20"/>
                <w:szCs w:val="20"/>
              </w:rPr>
              <w:t xml:space="preserve"> </w:t>
            </w:r>
            <w:proofErr w:type="spellStart"/>
            <w:r w:rsidRPr="000071E2">
              <w:rPr>
                <w:color w:val="000000"/>
                <w:sz w:val="20"/>
                <w:szCs w:val="20"/>
              </w:rPr>
              <w:t>khiến</w:t>
            </w:r>
            <w:proofErr w:type="spellEnd"/>
            <w:r w:rsidRPr="000071E2">
              <w:rPr>
                <w:color w:val="000000"/>
                <w:sz w:val="20"/>
                <w:szCs w:val="20"/>
              </w:rPr>
              <w:t xml:space="preserve"> </w:t>
            </w:r>
            <w:proofErr w:type="spellStart"/>
            <w:r w:rsidRPr="000071E2">
              <w:rPr>
                <w:color w:val="000000"/>
                <w:sz w:val="20"/>
                <w:szCs w:val="20"/>
              </w:rPr>
              <w:t>VnIndex</w:t>
            </w:r>
            <w:proofErr w:type="spellEnd"/>
            <w:r w:rsidRPr="000071E2">
              <w:rPr>
                <w:color w:val="000000"/>
                <w:sz w:val="20"/>
                <w:szCs w:val="20"/>
              </w:rPr>
              <w:t xml:space="preserve"> </w:t>
            </w:r>
            <w:proofErr w:type="spellStart"/>
            <w:r w:rsidRPr="000071E2">
              <w:rPr>
                <w:color w:val="000000"/>
                <w:sz w:val="20"/>
                <w:szCs w:val="20"/>
              </w:rPr>
              <w:t>có</w:t>
            </w:r>
            <w:proofErr w:type="spellEnd"/>
            <w:r w:rsidRPr="000071E2">
              <w:rPr>
                <w:color w:val="000000"/>
                <w:sz w:val="20"/>
                <w:szCs w:val="20"/>
              </w:rPr>
              <w:t xml:space="preserve"> </w:t>
            </w:r>
            <w:proofErr w:type="spellStart"/>
            <w:r w:rsidRPr="000071E2">
              <w:rPr>
                <w:color w:val="000000"/>
                <w:sz w:val="20"/>
                <w:szCs w:val="20"/>
              </w:rPr>
              <w:t>phiên</w:t>
            </w:r>
            <w:proofErr w:type="spellEnd"/>
            <w:r w:rsidRPr="000071E2">
              <w:rPr>
                <w:color w:val="000000"/>
                <w:sz w:val="20"/>
                <w:szCs w:val="20"/>
              </w:rPr>
              <w:t xml:space="preserve"> g...</w:t>
            </w:r>
          </w:p>
        </w:tc>
      </w:tr>
      <w:tr w:rsidR="00E20EDD" w:rsidRPr="000071E2" w14:paraId="12807402" w14:textId="77777777" w:rsidTr="00036EEF">
        <w:trPr>
          <w:trHeight w:val="312"/>
          <w:jc w:val="center"/>
        </w:trPr>
        <w:tc>
          <w:tcPr>
            <w:tcW w:w="680" w:type="dxa"/>
            <w:tcBorders>
              <w:top w:val="nil"/>
              <w:left w:val="nil"/>
              <w:bottom w:val="nil"/>
              <w:right w:val="nil"/>
            </w:tcBorders>
            <w:noWrap/>
            <w:vAlign w:val="center"/>
            <w:hideMark/>
          </w:tcPr>
          <w:p w14:paraId="4F277474" w14:textId="77777777" w:rsidR="00E20EDD" w:rsidRPr="000071E2" w:rsidRDefault="00E20EDD" w:rsidP="00E20EDD">
            <w:pPr>
              <w:jc w:val="center"/>
              <w:rPr>
                <w:color w:val="000000"/>
                <w:sz w:val="20"/>
                <w:szCs w:val="20"/>
              </w:rPr>
            </w:pPr>
            <w:r w:rsidRPr="000071E2">
              <w:rPr>
                <w:color w:val="000000"/>
                <w:sz w:val="20"/>
                <w:szCs w:val="20"/>
              </w:rPr>
              <w:t>3</w:t>
            </w:r>
          </w:p>
        </w:tc>
        <w:tc>
          <w:tcPr>
            <w:tcW w:w="1060" w:type="dxa"/>
            <w:tcBorders>
              <w:top w:val="nil"/>
              <w:left w:val="nil"/>
              <w:bottom w:val="nil"/>
              <w:right w:val="nil"/>
            </w:tcBorders>
            <w:noWrap/>
            <w:vAlign w:val="center"/>
            <w:hideMark/>
          </w:tcPr>
          <w:p w14:paraId="37AB7735" w14:textId="77777777" w:rsidR="00E20EDD" w:rsidRPr="000071E2" w:rsidRDefault="00E20EDD" w:rsidP="00E20EDD">
            <w:pPr>
              <w:jc w:val="center"/>
              <w:rPr>
                <w:color w:val="000000"/>
                <w:sz w:val="20"/>
                <w:szCs w:val="20"/>
              </w:rPr>
            </w:pPr>
            <w:r w:rsidRPr="000071E2">
              <w:rPr>
                <w:color w:val="000000"/>
                <w:sz w:val="20"/>
                <w:szCs w:val="20"/>
              </w:rPr>
              <w:t>MBB</w:t>
            </w:r>
          </w:p>
        </w:tc>
        <w:tc>
          <w:tcPr>
            <w:tcW w:w="1060" w:type="dxa"/>
            <w:tcBorders>
              <w:top w:val="nil"/>
              <w:left w:val="nil"/>
              <w:bottom w:val="nil"/>
              <w:right w:val="nil"/>
            </w:tcBorders>
            <w:noWrap/>
            <w:vAlign w:val="center"/>
            <w:hideMark/>
          </w:tcPr>
          <w:p w14:paraId="480909C4" w14:textId="77777777" w:rsidR="00E20EDD" w:rsidRPr="000071E2" w:rsidRDefault="00E20EDD" w:rsidP="00E20EDD">
            <w:pPr>
              <w:jc w:val="center"/>
              <w:rPr>
                <w:color w:val="000000"/>
                <w:sz w:val="20"/>
                <w:szCs w:val="20"/>
              </w:rPr>
            </w:pPr>
            <w:r w:rsidRPr="000071E2">
              <w:rPr>
                <w:color w:val="000000"/>
                <w:sz w:val="20"/>
                <w:szCs w:val="20"/>
              </w:rPr>
              <w:t>2017</w:t>
            </w:r>
          </w:p>
        </w:tc>
        <w:tc>
          <w:tcPr>
            <w:tcW w:w="1600" w:type="dxa"/>
            <w:tcBorders>
              <w:top w:val="nil"/>
              <w:left w:val="nil"/>
              <w:bottom w:val="nil"/>
              <w:right w:val="nil"/>
            </w:tcBorders>
            <w:noWrap/>
            <w:vAlign w:val="center"/>
            <w:hideMark/>
          </w:tcPr>
          <w:p w14:paraId="1DC8720E" w14:textId="77777777" w:rsidR="00E20EDD" w:rsidRPr="000071E2" w:rsidRDefault="00E20EDD" w:rsidP="00E20EDD">
            <w:pPr>
              <w:jc w:val="center"/>
              <w:rPr>
                <w:color w:val="000000"/>
                <w:sz w:val="20"/>
                <w:szCs w:val="20"/>
              </w:rPr>
            </w:pPr>
            <w:r w:rsidRPr="000071E2">
              <w:rPr>
                <w:color w:val="000000"/>
                <w:sz w:val="20"/>
                <w:szCs w:val="20"/>
              </w:rPr>
              <w:t>Positive</w:t>
            </w:r>
          </w:p>
        </w:tc>
        <w:tc>
          <w:tcPr>
            <w:tcW w:w="4956" w:type="dxa"/>
            <w:tcBorders>
              <w:top w:val="nil"/>
              <w:left w:val="nil"/>
              <w:bottom w:val="nil"/>
              <w:right w:val="nil"/>
            </w:tcBorders>
            <w:noWrap/>
            <w:vAlign w:val="center"/>
            <w:hideMark/>
          </w:tcPr>
          <w:p w14:paraId="2DCC525D" w14:textId="77777777" w:rsidR="00E20EDD" w:rsidRPr="000071E2" w:rsidRDefault="00E20EDD" w:rsidP="00E20EDD">
            <w:pPr>
              <w:rPr>
                <w:color w:val="000000"/>
                <w:sz w:val="20"/>
                <w:szCs w:val="20"/>
              </w:rPr>
            </w:pPr>
            <w:proofErr w:type="spellStart"/>
            <w:r w:rsidRPr="000071E2">
              <w:rPr>
                <w:color w:val="000000"/>
                <w:sz w:val="20"/>
                <w:szCs w:val="20"/>
              </w:rPr>
              <w:t>Cổ</w:t>
            </w:r>
            <w:proofErr w:type="spellEnd"/>
            <w:r w:rsidRPr="000071E2">
              <w:rPr>
                <w:color w:val="000000"/>
                <w:sz w:val="20"/>
                <w:szCs w:val="20"/>
              </w:rPr>
              <w:t xml:space="preserve"> </w:t>
            </w:r>
            <w:proofErr w:type="spellStart"/>
            <w:r w:rsidRPr="000071E2">
              <w:rPr>
                <w:color w:val="000000"/>
                <w:sz w:val="20"/>
                <w:szCs w:val="20"/>
              </w:rPr>
              <w:t>phiếu</w:t>
            </w:r>
            <w:proofErr w:type="spellEnd"/>
            <w:r w:rsidRPr="000071E2">
              <w:rPr>
                <w:color w:val="000000"/>
                <w:sz w:val="20"/>
                <w:szCs w:val="20"/>
              </w:rPr>
              <w:t xml:space="preserve"> "</w:t>
            </w:r>
            <w:proofErr w:type="spellStart"/>
            <w:r w:rsidRPr="000071E2">
              <w:rPr>
                <w:color w:val="000000"/>
                <w:sz w:val="20"/>
                <w:szCs w:val="20"/>
              </w:rPr>
              <w:t>họ</w:t>
            </w:r>
            <w:proofErr w:type="spellEnd"/>
            <w:r w:rsidRPr="000071E2">
              <w:rPr>
                <w:color w:val="000000"/>
                <w:sz w:val="20"/>
                <w:szCs w:val="20"/>
              </w:rPr>
              <w:t xml:space="preserve"> MB" </w:t>
            </w:r>
            <w:proofErr w:type="spellStart"/>
            <w:r w:rsidRPr="000071E2">
              <w:rPr>
                <w:color w:val="000000"/>
                <w:sz w:val="20"/>
                <w:szCs w:val="20"/>
              </w:rPr>
              <w:t>nổi</w:t>
            </w:r>
            <w:proofErr w:type="spellEnd"/>
            <w:r w:rsidRPr="000071E2">
              <w:rPr>
                <w:color w:val="000000"/>
                <w:sz w:val="20"/>
                <w:szCs w:val="20"/>
              </w:rPr>
              <w:t xml:space="preserve"> </w:t>
            </w:r>
            <w:proofErr w:type="spellStart"/>
            <w:r w:rsidRPr="000071E2">
              <w:rPr>
                <w:color w:val="000000"/>
                <w:sz w:val="20"/>
                <w:szCs w:val="20"/>
              </w:rPr>
              <w:t>sóng</w:t>
            </w:r>
            <w:proofErr w:type="spellEnd"/>
          </w:p>
        </w:tc>
      </w:tr>
      <w:tr w:rsidR="00E20EDD" w:rsidRPr="000071E2" w14:paraId="403EB1B1" w14:textId="77777777" w:rsidTr="00036EEF">
        <w:trPr>
          <w:trHeight w:val="312"/>
          <w:jc w:val="center"/>
        </w:trPr>
        <w:tc>
          <w:tcPr>
            <w:tcW w:w="680" w:type="dxa"/>
            <w:tcBorders>
              <w:top w:val="nil"/>
              <w:left w:val="nil"/>
              <w:bottom w:val="nil"/>
              <w:right w:val="nil"/>
            </w:tcBorders>
            <w:noWrap/>
            <w:vAlign w:val="center"/>
            <w:hideMark/>
          </w:tcPr>
          <w:p w14:paraId="64EF295F" w14:textId="77777777" w:rsidR="00E20EDD" w:rsidRPr="000071E2" w:rsidRDefault="00E20EDD" w:rsidP="00E20EDD">
            <w:pPr>
              <w:jc w:val="center"/>
              <w:rPr>
                <w:color w:val="000000"/>
                <w:sz w:val="20"/>
                <w:szCs w:val="20"/>
              </w:rPr>
            </w:pPr>
            <w:r w:rsidRPr="000071E2">
              <w:rPr>
                <w:color w:val="000000"/>
                <w:sz w:val="20"/>
                <w:szCs w:val="20"/>
              </w:rPr>
              <w:t>4</w:t>
            </w:r>
          </w:p>
        </w:tc>
        <w:tc>
          <w:tcPr>
            <w:tcW w:w="1060" w:type="dxa"/>
            <w:tcBorders>
              <w:top w:val="nil"/>
              <w:left w:val="nil"/>
              <w:bottom w:val="nil"/>
              <w:right w:val="nil"/>
            </w:tcBorders>
            <w:noWrap/>
            <w:vAlign w:val="center"/>
            <w:hideMark/>
          </w:tcPr>
          <w:p w14:paraId="461307A4" w14:textId="77777777" w:rsidR="00E20EDD" w:rsidRPr="000071E2" w:rsidRDefault="00E20EDD" w:rsidP="00E20EDD">
            <w:pPr>
              <w:jc w:val="center"/>
              <w:rPr>
                <w:color w:val="000000"/>
                <w:sz w:val="20"/>
                <w:szCs w:val="20"/>
              </w:rPr>
            </w:pPr>
            <w:r w:rsidRPr="000071E2">
              <w:rPr>
                <w:color w:val="000000"/>
                <w:sz w:val="20"/>
                <w:szCs w:val="20"/>
              </w:rPr>
              <w:t>SHB</w:t>
            </w:r>
          </w:p>
        </w:tc>
        <w:tc>
          <w:tcPr>
            <w:tcW w:w="1060" w:type="dxa"/>
            <w:tcBorders>
              <w:top w:val="nil"/>
              <w:left w:val="nil"/>
              <w:bottom w:val="nil"/>
              <w:right w:val="nil"/>
            </w:tcBorders>
            <w:noWrap/>
            <w:vAlign w:val="center"/>
            <w:hideMark/>
          </w:tcPr>
          <w:p w14:paraId="6318E828" w14:textId="77777777" w:rsidR="00E20EDD" w:rsidRPr="000071E2" w:rsidRDefault="00E20EDD" w:rsidP="00E20EDD">
            <w:pPr>
              <w:jc w:val="center"/>
              <w:rPr>
                <w:color w:val="000000"/>
                <w:sz w:val="20"/>
                <w:szCs w:val="20"/>
              </w:rPr>
            </w:pPr>
            <w:r w:rsidRPr="000071E2">
              <w:rPr>
                <w:color w:val="000000"/>
                <w:sz w:val="20"/>
                <w:szCs w:val="20"/>
              </w:rPr>
              <w:t>2017</w:t>
            </w:r>
          </w:p>
        </w:tc>
        <w:tc>
          <w:tcPr>
            <w:tcW w:w="1600" w:type="dxa"/>
            <w:tcBorders>
              <w:top w:val="nil"/>
              <w:left w:val="nil"/>
              <w:bottom w:val="nil"/>
              <w:right w:val="nil"/>
            </w:tcBorders>
            <w:noWrap/>
            <w:vAlign w:val="center"/>
            <w:hideMark/>
          </w:tcPr>
          <w:p w14:paraId="4D8F2E9B" w14:textId="77777777" w:rsidR="00E20EDD" w:rsidRPr="000071E2" w:rsidRDefault="00E20EDD" w:rsidP="00E20EDD">
            <w:pPr>
              <w:jc w:val="center"/>
              <w:rPr>
                <w:color w:val="000000"/>
                <w:sz w:val="20"/>
                <w:szCs w:val="20"/>
              </w:rPr>
            </w:pPr>
            <w:r w:rsidRPr="000071E2">
              <w:rPr>
                <w:color w:val="000000"/>
                <w:sz w:val="20"/>
                <w:szCs w:val="20"/>
              </w:rPr>
              <w:t>Positive</w:t>
            </w:r>
          </w:p>
        </w:tc>
        <w:tc>
          <w:tcPr>
            <w:tcW w:w="4956" w:type="dxa"/>
            <w:tcBorders>
              <w:top w:val="nil"/>
              <w:left w:val="nil"/>
              <w:bottom w:val="nil"/>
              <w:right w:val="nil"/>
            </w:tcBorders>
            <w:noWrap/>
            <w:vAlign w:val="center"/>
            <w:hideMark/>
          </w:tcPr>
          <w:p w14:paraId="08FBD59E" w14:textId="77777777" w:rsidR="00E20EDD" w:rsidRPr="000071E2" w:rsidRDefault="00E20EDD" w:rsidP="00E20EDD">
            <w:pPr>
              <w:rPr>
                <w:color w:val="000000"/>
                <w:sz w:val="20"/>
                <w:szCs w:val="20"/>
              </w:rPr>
            </w:pPr>
            <w:proofErr w:type="spellStart"/>
            <w:r w:rsidRPr="000071E2">
              <w:rPr>
                <w:color w:val="000000"/>
                <w:sz w:val="20"/>
                <w:szCs w:val="20"/>
              </w:rPr>
              <w:t>Điều</w:t>
            </w:r>
            <w:proofErr w:type="spellEnd"/>
            <w:r w:rsidRPr="000071E2">
              <w:rPr>
                <w:color w:val="000000"/>
                <w:sz w:val="20"/>
                <w:szCs w:val="20"/>
              </w:rPr>
              <w:t xml:space="preserve"> </w:t>
            </w:r>
            <w:proofErr w:type="spellStart"/>
            <w:r w:rsidRPr="000071E2">
              <w:rPr>
                <w:color w:val="000000"/>
                <w:sz w:val="20"/>
                <w:szCs w:val="20"/>
              </w:rPr>
              <w:t>gì</w:t>
            </w:r>
            <w:proofErr w:type="spellEnd"/>
            <w:r w:rsidRPr="000071E2">
              <w:rPr>
                <w:color w:val="000000"/>
                <w:sz w:val="20"/>
                <w:szCs w:val="20"/>
              </w:rPr>
              <w:t xml:space="preserve"> </w:t>
            </w:r>
            <w:proofErr w:type="spellStart"/>
            <w:r w:rsidRPr="000071E2">
              <w:rPr>
                <w:color w:val="000000"/>
                <w:sz w:val="20"/>
                <w:szCs w:val="20"/>
              </w:rPr>
              <w:t>đang</w:t>
            </w:r>
            <w:proofErr w:type="spellEnd"/>
            <w:r w:rsidRPr="000071E2">
              <w:rPr>
                <w:color w:val="000000"/>
                <w:sz w:val="20"/>
                <w:szCs w:val="20"/>
              </w:rPr>
              <w:t xml:space="preserve"> </w:t>
            </w:r>
            <w:proofErr w:type="spellStart"/>
            <w:r w:rsidRPr="000071E2">
              <w:rPr>
                <w:color w:val="000000"/>
                <w:sz w:val="20"/>
                <w:szCs w:val="20"/>
              </w:rPr>
              <w:t>xảy</w:t>
            </w:r>
            <w:proofErr w:type="spellEnd"/>
            <w:r w:rsidRPr="000071E2">
              <w:rPr>
                <w:color w:val="000000"/>
                <w:sz w:val="20"/>
                <w:szCs w:val="20"/>
              </w:rPr>
              <w:t xml:space="preserve"> </w:t>
            </w:r>
            <w:proofErr w:type="spellStart"/>
            <w:r w:rsidRPr="000071E2">
              <w:rPr>
                <w:color w:val="000000"/>
                <w:sz w:val="20"/>
                <w:szCs w:val="20"/>
              </w:rPr>
              <w:t>ra</w:t>
            </w:r>
            <w:proofErr w:type="spellEnd"/>
            <w:r w:rsidRPr="000071E2">
              <w:rPr>
                <w:color w:val="000000"/>
                <w:sz w:val="20"/>
                <w:szCs w:val="20"/>
              </w:rPr>
              <w:t xml:space="preserve"> </w:t>
            </w:r>
            <w:proofErr w:type="spellStart"/>
            <w:r w:rsidRPr="000071E2">
              <w:rPr>
                <w:color w:val="000000"/>
                <w:sz w:val="20"/>
                <w:szCs w:val="20"/>
              </w:rPr>
              <w:t>với</w:t>
            </w:r>
            <w:proofErr w:type="spellEnd"/>
            <w:r w:rsidRPr="000071E2">
              <w:rPr>
                <w:color w:val="000000"/>
                <w:sz w:val="20"/>
                <w:szCs w:val="20"/>
              </w:rPr>
              <w:t xml:space="preserve"> </w:t>
            </w:r>
            <w:proofErr w:type="spellStart"/>
            <w:r w:rsidRPr="000071E2">
              <w:rPr>
                <w:color w:val="000000"/>
                <w:sz w:val="20"/>
                <w:szCs w:val="20"/>
              </w:rPr>
              <w:t>cổ</w:t>
            </w:r>
            <w:proofErr w:type="spellEnd"/>
            <w:r w:rsidRPr="000071E2">
              <w:rPr>
                <w:color w:val="000000"/>
                <w:sz w:val="20"/>
                <w:szCs w:val="20"/>
              </w:rPr>
              <w:t xml:space="preserve"> </w:t>
            </w:r>
            <w:proofErr w:type="spellStart"/>
            <w:r w:rsidRPr="000071E2">
              <w:rPr>
                <w:color w:val="000000"/>
                <w:sz w:val="20"/>
                <w:szCs w:val="20"/>
              </w:rPr>
              <w:t>phiếu</w:t>
            </w:r>
            <w:proofErr w:type="spellEnd"/>
            <w:r w:rsidRPr="000071E2">
              <w:rPr>
                <w:color w:val="000000"/>
                <w:sz w:val="20"/>
                <w:szCs w:val="20"/>
              </w:rPr>
              <w:t xml:space="preserve"> SHB?</w:t>
            </w:r>
          </w:p>
        </w:tc>
      </w:tr>
      <w:tr w:rsidR="00E20EDD" w:rsidRPr="000071E2" w14:paraId="4F57D5C2" w14:textId="77777777" w:rsidTr="00036EEF">
        <w:trPr>
          <w:trHeight w:val="312"/>
          <w:jc w:val="center"/>
        </w:trPr>
        <w:tc>
          <w:tcPr>
            <w:tcW w:w="680" w:type="dxa"/>
            <w:tcBorders>
              <w:top w:val="nil"/>
              <w:left w:val="nil"/>
              <w:bottom w:val="nil"/>
              <w:right w:val="nil"/>
            </w:tcBorders>
            <w:noWrap/>
            <w:vAlign w:val="center"/>
            <w:hideMark/>
          </w:tcPr>
          <w:p w14:paraId="40339BFB" w14:textId="77777777" w:rsidR="00E20EDD" w:rsidRPr="000071E2" w:rsidRDefault="00E20EDD" w:rsidP="00E20EDD">
            <w:pPr>
              <w:jc w:val="center"/>
              <w:rPr>
                <w:color w:val="000000"/>
                <w:sz w:val="20"/>
                <w:szCs w:val="20"/>
              </w:rPr>
            </w:pPr>
            <w:r w:rsidRPr="000071E2">
              <w:rPr>
                <w:color w:val="000000"/>
                <w:sz w:val="20"/>
                <w:szCs w:val="20"/>
              </w:rPr>
              <w:t>5</w:t>
            </w:r>
          </w:p>
        </w:tc>
        <w:tc>
          <w:tcPr>
            <w:tcW w:w="1060" w:type="dxa"/>
            <w:tcBorders>
              <w:top w:val="nil"/>
              <w:left w:val="nil"/>
              <w:bottom w:val="nil"/>
              <w:right w:val="nil"/>
            </w:tcBorders>
            <w:noWrap/>
            <w:vAlign w:val="center"/>
            <w:hideMark/>
          </w:tcPr>
          <w:p w14:paraId="16F3CD5E" w14:textId="77777777" w:rsidR="00E20EDD" w:rsidRPr="000071E2" w:rsidRDefault="00E20EDD" w:rsidP="00E20EDD">
            <w:pPr>
              <w:jc w:val="center"/>
              <w:rPr>
                <w:color w:val="000000"/>
                <w:sz w:val="20"/>
                <w:szCs w:val="20"/>
              </w:rPr>
            </w:pPr>
            <w:r w:rsidRPr="000071E2">
              <w:rPr>
                <w:color w:val="000000"/>
                <w:sz w:val="20"/>
                <w:szCs w:val="20"/>
              </w:rPr>
              <w:t>STB</w:t>
            </w:r>
          </w:p>
        </w:tc>
        <w:tc>
          <w:tcPr>
            <w:tcW w:w="1060" w:type="dxa"/>
            <w:tcBorders>
              <w:top w:val="nil"/>
              <w:left w:val="nil"/>
              <w:bottom w:val="nil"/>
              <w:right w:val="nil"/>
            </w:tcBorders>
            <w:noWrap/>
            <w:vAlign w:val="center"/>
            <w:hideMark/>
          </w:tcPr>
          <w:p w14:paraId="221A592E" w14:textId="77777777" w:rsidR="00E20EDD" w:rsidRPr="000071E2" w:rsidRDefault="00E20EDD" w:rsidP="00E20EDD">
            <w:pPr>
              <w:jc w:val="center"/>
              <w:rPr>
                <w:color w:val="000000"/>
                <w:sz w:val="20"/>
                <w:szCs w:val="20"/>
              </w:rPr>
            </w:pPr>
            <w:r w:rsidRPr="000071E2">
              <w:rPr>
                <w:color w:val="000000"/>
                <w:sz w:val="20"/>
                <w:szCs w:val="20"/>
              </w:rPr>
              <w:t>2017</w:t>
            </w:r>
          </w:p>
        </w:tc>
        <w:tc>
          <w:tcPr>
            <w:tcW w:w="1600" w:type="dxa"/>
            <w:tcBorders>
              <w:top w:val="nil"/>
              <w:left w:val="nil"/>
              <w:bottom w:val="nil"/>
              <w:right w:val="nil"/>
            </w:tcBorders>
            <w:noWrap/>
            <w:vAlign w:val="center"/>
            <w:hideMark/>
          </w:tcPr>
          <w:p w14:paraId="67DBFEDE" w14:textId="77777777" w:rsidR="00E20EDD" w:rsidRPr="000071E2" w:rsidRDefault="00E20EDD" w:rsidP="00E20EDD">
            <w:pPr>
              <w:jc w:val="center"/>
              <w:rPr>
                <w:color w:val="000000"/>
                <w:sz w:val="20"/>
                <w:szCs w:val="20"/>
              </w:rPr>
            </w:pPr>
            <w:r w:rsidRPr="000071E2">
              <w:rPr>
                <w:color w:val="000000"/>
                <w:sz w:val="20"/>
                <w:szCs w:val="20"/>
              </w:rPr>
              <w:t>Neutral</w:t>
            </w:r>
          </w:p>
        </w:tc>
        <w:tc>
          <w:tcPr>
            <w:tcW w:w="4956" w:type="dxa"/>
            <w:tcBorders>
              <w:top w:val="nil"/>
              <w:left w:val="nil"/>
              <w:bottom w:val="nil"/>
              <w:right w:val="nil"/>
            </w:tcBorders>
            <w:noWrap/>
            <w:vAlign w:val="center"/>
            <w:hideMark/>
          </w:tcPr>
          <w:p w14:paraId="7DCD7D96" w14:textId="77777777" w:rsidR="00E20EDD" w:rsidRPr="000071E2" w:rsidRDefault="00E20EDD" w:rsidP="00E20EDD">
            <w:pPr>
              <w:rPr>
                <w:color w:val="000000"/>
                <w:sz w:val="20"/>
                <w:szCs w:val="20"/>
              </w:rPr>
            </w:pPr>
            <w:proofErr w:type="spellStart"/>
            <w:r w:rsidRPr="000071E2">
              <w:rPr>
                <w:color w:val="000000"/>
                <w:sz w:val="20"/>
                <w:szCs w:val="20"/>
              </w:rPr>
              <w:t>Đại</w:t>
            </w:r>
            <w:proofErr w:type="spellEnd"/>
            <w:r w:rsidRPr="000071E2">
              <w:rPr>
                <w:color w:val="000000"/>
                <w:sz w:val="20"/>
                <w:szCs w:val="20"/>
              </w:rPr>
              <w:t xml:space="preserve"> </w:t>
            </w:r>
            <w:proofErr w:type="spellStart"/>
            <w:r w:rsidRPr="000071E2">
              <w:rPr>
                <w:color w:val="000000"/>
                <w:sz w:val="20"/>
                <w:szCs w:val="20"/>
              </w:rPr>
              <w:t>gia</w:t>
            </w:r>
            <w:proofErr w:type="spellEnd"/>
            <w:r w:rsidRPr="000071E2">
              <w:rPr>
                <w:color w:val="000000"/>
                <w:sz w:val="20"/>
                <w:szCs w:val="20"/>
              </w:rPr>
              <w:t xml:space="preserve"> </w:t>
            </w:r>
            <w:proofErr w:type="spellStart"/>
            <w:r w:rsidRPr="000071E2">
              <w:rPr>
                <w:color w:val="000000"/>
                <w:sz w:val="20"/>
                <w:szCs w:val="20"/>
              </w:rPr>
              <w:t>Trầm</w:t>
            </w:r>
            <w:proofErr w:type="spellEnd"/>
            <w:r w:rsidRPr="000071E2">
              <w:rPr>
                <w:color w:val="000000"/>
                <w:sz w:val="20"/>
                <w:szCs w:val="20"/>
              </w:rPr>
              <w:t xml:space="preserve"> </w:t>
            </w:r>
            <w:proofErr w:type="spellStart"/>
            <w:r w:rsidRPr="000071E2">
              <w:rPr>
                <w:color w:val="000000"/>
                <w:sz w:val="20"/>
                <w:szCs w:val="20"/>
              </w:rPr>
              <w:t>Bê</w:t>
            </w:r>
            <w:proofErr w:type="spellEnd"/>
            <w:r w:rsidRPr="000071E2">
              <w:rPr>
                <w:color w:val="000000"/>
                <w:sz w:val="20"/>
                <w:szCs w:val="20"/>
              </w:rPr>
              <w:t xml:space="preserve"> </w:t>
            </w:r>
            <w:proofErr w:type="spellStart"/>
            <w:r w:rsidRPr="000071E2">
              <w:rPr>
                <w:color w:val="000000"/>
                <w:sz w:val="20"/>
                <w:szCs w:val="20"/>
              </w:rPr>
              <w:t>và</w:t>
            </w:r>
            <w:proofErr w:type="spellEnd"/>
            <w:r w:rsidRPr="000071E2">
              <w:rPr>
                <w:color w:val="000000"/>
                <w:sz w:val="20"/>
                <w:szCs w:val="20"/>
              </w:rPr>
              <w:t xml:space="preserve"> </w:t>
            </w:r>
            <w:proofErr w:type="spellStart"/>
            <w:r w:rsidRPr="000071E2">
              <w:rPr>
                <w:color w:val="000000"/>
                <w:sz w:val="20"/>
                <w:szCs w:val="20"/>
              </w:rPr>
              <w:t>bức</w:t>
            </w:r>
            <w:proofErr w:type="spellEnd"/>
            <w:r w:rsidRPr="000071E2">
              <w:rPr>
                <w:color w:val="000000"/>
                <w:sz w:val="20"/>
                <w:szCs w:val="20"/>
              </w:rPr>
              <w:t xml:space="preserve"> </w:t>
            </w:r>
            <w:proofErr w:type="spellStart"/>
            <w:r w:rsidRPr="000071E2">
              <w:rPr>
                <w:color w:val="000000"/>
                <w:sz w:val="20"/>
                <w:szCs w:val="20"/>
              </w:rPr>
              <w:t>boong-ke</w:t>
            </w:r>
            <w:proofErr w:type="spellEnd"/>
            <w:r w:rsidRPr="000071E2">
              <w:rPr>
                <w:color w:val="000000"/>
                <w:sz w:val="20"/>
                <w:szCs w:val="20"/>
              </w:rPr>
              <w:t xml:space="preserve"> </w:t>
            </w:r>
            <w:proofErr w:type="spellStart"/>
            <w:r w:rsidRPr="000071E2">
              <w:rPr>
                <w:color w:val="000000"/>
                <w:sz w:val="20"/>
                <w:szCs w:val="20"/>
              </w:rPr>
              <w:t>bị</w:t>
            </w:r>
            <w:proofErr w:type="spellEnd"/>
            <w:r w:rsidRPr="000071E2">
              <w:rPr>
                <w:color w:val="000000"/>
                <w:sz w:val="20"/>
                <w:szCs w:val="20"/>
              </w:rPr>
              <w:t xml:space="preserve"> </w:t>
            </w:r>
            <w:proofErr w:type="spellStart"/>
            <w:r w:rsidRPr="000071E2">
              <w:rPr>
                <w:color w:val="000000"/>
                <w:sz w:val="20"/>
                <w:szCs w:val="20"/>
              </w:rPr>
              <w:t>vỡ</w:t>
            </w:r>
            <w:proofErr w:type="spellEnd"/>
          </w:p>
        </w:tc>
      </w:tr>
      <w:tr w:rsidR="00E20EDD" w:rsidRPr="000071E2" w14:paraId="53358AE1" w14:textId="77777777" w:rsidTr="00036EEF">
        <w:trPr>
          <w:trHeight w:val="312"/>
          <w:jc w:val="center"/>
        </w:trPr>
        <w:tc>
          <w:tcPr>
            <w:tcW w:w="680" w:type="dxa"/>
            <w:tcBorders>
              <w:top w:val="nil"/>
              <w:left w:val="nil"/>
              <w:bottom w:val="nil"/>
              <w:right w:val="nil"/>
            </w:tcBorders>
            <w:noWrap/>
            <w:vAlign w:val="center"/>
            <w:hideMark/>
          </w:tcPr>
          <w:p w14:paraId="77B04D76" w14:textId="77777777" w:rsidR="00E20EDD" w:rsidRPr="000071E2" w:rsidRDefault="00E20EDD" w:rsidP="00E20EDD">
            <w:pPr>
              <w:jc w:val="center"/>
              <w:rPr>
                <w:color w:val="000000"/>
                <w:sz w:val="20"/>
                <w:szCs w:val="20"/>
              </w:rPr>
            </w:pPr>
            <w:r w:rsidRPr="000071E2">
              <w:rPr>
                <w:color w:val="000000"/>
                <w:sz w:val="20"/>
                <w:szCs w:val="20"/>
              </w:rPr>
              <w:t>6</w:t>
            </w:r>
          </w:p>
        </w:tc>
        <w:tc>
          <w:tcPr>
            <w:tcW w:w="1060" w:type="dxa"/>
            <w:tcBorders>
              <w:top w:val="nil"/>
              <w:left w:val="nil"/>
              <w:bottom w:val="nil"/>
              <w:right w:val="nil"/>
            </w:tcBorders>
            <w:noWrap/>
            <w:vAlign w:val="center"/>
            <w:hideMark/>
          </w:tcPr>
          <w:p w14:paraId="4198ADD7" w14:textId="77777777" w:rsidR="00E20EDD" w:rsidRPr="000071E2" w:rsidRDefault="00E20EDD" w:rsidP="00E20EDD">
            <w:pPr>
              <w:jc w:val="center"/>
              <w:rPr>
                <w:color w:val="000000"/>
                <w:sz w:val="20"/>
                <w:szCs w:val="20"/>
              </w:rPr>
            </w:pPr>
            <w:r w:rsidRPr="000071E2">
              <w:rPr>
                <w:color w:val="000000"/>
                <w:sz w:val="20"/>
                <w:szCs w:val="20"/>
              </w:rPr>
              <w:t>ACB</w:t>
            </w:r>
          </w:p>
        </w:tc>
        <w:tc>
          <w:tcPr>
            <w:tcW w:w="1060" w:type="dxa"/>
            <w:tcBorders>
              <w:top w:val="nil"/>
              <w:left w:val="nil"/>
              <w:bottom w:val="nil"/>
              <w:right w:val="nil"/>
            </w:tcBorders>
            <w:noWrap/>
            <w:vAlign w:val="center"/>
            <w:hideMark/>
          </w:tcPr>
          <w:p w14:paraId="1951E241" w14:textId="77777777" w:rsidR="00E20EDD" w:rsidRPr="000071E2" w:rsidRDefault="00E20EDD" w:rsidP="00E20EDD">
            <w:pPr>
              <w:jc w:val="center"/>
              <w:rPr>
                <w:color w:val="000000"/>
                <w:sz w:val="20"/>
                <w:szCs w:val="20"/>
              </w:rPr>
            </w:pPr>
            <w:r w:rsidRPr="000071E2">
              <w:rPr>
                <w:color w:val="000000"/>
                <w:sz w:val="20"/>
                <w:szCs w:val="20"/>
              </w:rPr>
              <w:t>2018</w:t>
            </w:r>
          </w:p>
        </w:tc>
        <w:tc>
          <w:tcPr>
            <w:tcW w:w="1600" w:type="dxa"/>
            <w:tcBorders>
              <w:top w:val="nil"/>
              <w:left w:val="nil"/>
              <w:bottom w:val="nil"/>
              <w:right w:val="nil"/>
            </w:tcBorders>
            <w:noWrap/>
            <w:vAlign w:val="center"/>
            <w:hideMark/>
          </w:tcPr>
          <w:p w14:paraId="7561A696" w14:textId="77777777" w:rsidR="00E20EDD" w:rsidRPr="000071E2" w:rsidRDefault="00E20EDD" w:rsidP="00E20EDD">
            <w:pPr>
              <w:jc w:val="center"/>
              <w:rPr>
                <w:color w:val="000000"/>
                <w:sz w:val="20"/>
                <w:szCs w:val="20"/>
              </w:rPr>
            </w:pPr>
            <w:r w:rsidRPr="000071E2">
              <w:rPr>
                <w:color w:val="000000"/>
                <w:sz w:val="20"/>
                <w:szCs w:val="20"/>
              </w:rPr>
              <w:t>Positive</w:t>
            </w:r>
          </w:p>
        </w:tc>
        <w:tc>
          <w:tcPr>
            <w:tcW w:w="4956" w:type="dxa"/>
            <w:tcBorders>
              <w:top w:val="nil"/>
              <w:left w:val="nil"/>
              <w:bottom w:val="nil"/>
              <w:right w:val="nil"/>
            </w:tcBorders>
            <w:noWrap/>
            <w:vAlign w:val="center"/>
            <w:hideMark/>
          </w:tcPr>
          <w:p w14:paraId="3E40B391" w14:textId="77777777" w:rsidR="00E20EDD" w:rsidRPr="000071E2" w:rsidRDefault="00E20EDD" w:rsidP="00E20EDD">
            <w:pPr>
              <w:rPr>
                <w:color w:val="000000"/>
                <w:sz w:val="20"/>
                <w:szCs w:val="20"/>
              </w:rPr>
            </w:pPr>
            <w:proofErr w:type="spellStart"/>
            <w:r w:rsidRPr="000071E2">
              <w:rPr>
                <w:color w:val="000000"/>
                <w:sz w:val="20"/>
                <w:szCs w:val="20"/>
              </w:rPr>
              <w:t>Những</w:t>
            </w:r>
            <w:proofErr w:type="spellEnd"/>
            <w:r w:rsidRPr="000071E2">
              <w:rPr>
                <w:color w:val="000000"/>
                <w:sz w:val="20"/>
                <w:szCs w:val="20"/>
              </w:rPr>
              <w:t xml:space="preserve"> “</w:t>
            </w:r>
            <w:proofErr w:type="spellStart"/>
            <w:r w:rsidRPr="000071E2">
              <w:rPr>
                <w:color w:val="000000"/>
                <w:sz w:val="20"/>
                <w:szCs w:val="20"/>
              </w:rPr>
              <w:t>điểm</w:t>
            </w:r>
            <w:proofErr w:type="spellEnd"/>
            <w:r w:rsidRPr="000071E2">
              <w:rPr>
                <w:color w:val="000000"/>
                <w:sz w:val="20"/>
                <w:szCs w:val="20"/>
              </w:rPr>
              <w:t xml:space="preserve"> </w:t>
            </w:r>
            <w:proofErr w:type="spellStart"/>
            <w:r w:rsidRPr="000071E2">
              <w:rPr>
                <w:color w:val="000000"/>
                <w:sz w:val="20"/>
                <w:szCs w:val="20"/>
              </w:rPr>
              <w:t>nóng</w:t>
            </w:r>
            <w:proofErr w:type="spellEnd"/>
            <w:r w:rsidRPr="000071E2">
              <w:rPr>
                <w:color w:val="000000"/>
                <w:sz w:val="20"/>
                <w:szCs w:val="20"/>
              </w:rPr>
              <w:t xml:space="preserve">” </w:t>
            </w:r>
            <w:proofErr w:type="spellStart"/>
            <w:r w:rsidRPr="000071E2">
              <w:rPr>
                <w:color w:val="000000"/>
                <w:sz w:val="20"/>
                <w:szCs w:val="20"/>
              </w:rPr>
              <w:t>của</w:t>
            </w:r>
            <w:proofErr w:type="spellEnd"/>
            <w:r w:rsidRPr="000071E2">
              <w:rPr>
                <w:color w:val="000000"/>
                <w:sz w:val="20"/>
                <w:szCs w:val="20"/>
              </w:rPr>
              <w:t xml:space="preserve"> </w:t>
            </w:r>
            <w:proofErr w:type="spellStart"/>
            <w:r w:rsidRPr="000071E2">
              <w:rPr>
                <w:color w:val="000000"/>
                <w:sz w:val="20"/>
                <w:szCs w:val="20"/>
              </w:rPr>
              <w:t>mùa</w:t>
            </w:r>
            <w:proofErr w:type="spellEnd"/>
            <w:r w:rsidRPr="000071E2">
              <w:rPr>
                <w:color w:val="000000"/>
                <w:sz w:val="20"/>
                <w:szCs w:val="20"/>
              </w:rPr>
              <w:t xml:space="preserve"> </w:t>
            </w:r>
            <w:proofErr w:type="spellStart"/>
            <w:r w:rsidRPr="000071E2">
              <w:rPr>
                <w:color w:val="000000"/>
                <w:sz w:val="20"/>
                <w:szCs w:val="20"/>
              </w:rPr>
              <w:t>đại</w:t>
            </w:r>
            <w:proofErr w:type="spellEnd"/>
            <w:r w:rsidRPr="000071E2">
              <w:rPr>
                <w:color w:val="000000"/>
                <w:sz w:val="20"/>
                <w:szCs w:val="20"/>
              </w:rPr>
              <w:t xml:space="preserve"> </w:t>
            </w:r>
            <w:proofErr w:type="spellStart"/>
            <w:r w:rsidRPr="000071E2">
              <w:rPr>
                <w:color w:val="000000"/>
                <w:sz w:val="20"/>
                <w:szCs w:val="20"/>
              </w:rPr>
              <w:t>hội</w:t>
            </w:r>
            <w:proofErr w:type="spellEnd"/>
            <w:r w:rsidRPr="000071E2">
              <w:rPr>
                <w:color w:val="000000"/>
                <w:sz w:val="20"/>
                <w:szCs w:val="20"/>
              </w:rPr>
              <w:t xml:space="preserve"> </w:t>
            </w:r>
            <w:proofErr w:type="spellStart"/>
            <w:r w:rsidRPr="000071E2">
              <w:rPr>
                <w:color w:val="000000"/>
                <w:sz w:val="20"/>
                <w:szCs w:val="20"/>
              </w:rPr>
              <w:t>ngân</w:t>
            </w:r>
            <w:proofErr w:type="spellEnd"/>
            <w:r w:rsidRPr="000071E2">
              <w:rPr>
                <w:color w:val="000000"/>
                <w:sz w:val="20"/>
                <w:szCs w:val="20"/>
              </w:rPr>
              <w:t xml:space="preserve"> </w:t>
            </w:r>
            <w:proofErr w:type="spellStart"/>
            <w:r w:rsidRPr="000071E2">
              <w:rPr>
                <w:color w:val="000000"/>
                <w:sz w:val="20"/>
                <w:szCs w:val="20"/>
              </w:rPr>
              <w:t>hàng</w:t>
            </w:r>
            <w:proofErr w:type="spellEnd"/>
            <w:r w:rsidRPr="000071E2">
              <w:rPr>
                <w:color w:val="000000"/>
                <w:sz w:val="20"/>
                <w:szCs w:val="20"/>
              </w:rPr>
              <w:t xml:space="preserve"> 2018</w:t>
            </w:r>
          </w:p>
        </w:tc>
      </w:tr>
      <w:tr w:rsidR="00E20EDD" w:rsidRPr="000071E2" w14:paraId="19FFD5D9" w14:textId="77777777" w:rsidTr="00036EEF">
        <w:trPr>
          <w:trHeight w:val="312"/>
          <w:jc w:val="center"/>
        </w:trPr>
        <w:tc>
          <w:tcPr>
            <w:tcW w:w="680" w:type="dxa"/>
            <w:tcBorders>
              <w:top w:val="nil"/>
              <w:left w:val="nil"/>
              <w:bottom w:val="nil"/>
              <w:right w:val="nil"/>
            </w:tcBorders>
            <w:noWrap/>
            <w:vAlign w:val="center"/>
            <w:hideMark/>
          </w:tcPr>
          <w:p w14:paraId="481DC556" w14:textId="77777777" w:rsidR="00E20EDD" w:rsidRPr="000071E2" w:rsidRDefault="00E20EDD" w:rsidP="00E20EDD">
            <w:pPr>
              <w:jc w:val="center"/>
              <w:rPr>
                <w:color w:val="000000"/>
                <w:sz w:val="20"/>
                <w:szCs w:val="20"/>
              </w:rPr>
            </w:pPr>
            <w:r w:rsidRPr="000071E2">
              <w:rPr>
                <w:color w:val="000000"/>
                <w:sz w:val="20"/>
                <w:szCs w:val="20"/>
              </w:rPr>
              <w:t>7</w:t>
            </w:r>
          </w:p>
        </w:tc>
        <w:tc>
          <w:tcPr>
            <w:tcW w:w="1060" w:type="dxa"/>
            <w:tcBorders>
              <w:top w:val="nil"/>
              <w:left w:val="nil"/>
              <w:bottom w:val="nil"/>
              <w:right w:val="nil"/>
            </w:tcBorders>
            <w:noWrap/>
            <w:vAlign w:val="center"/>
            <w:hideMark/>
          </w:tcPr>
          <w:p w14:paraId="392847CA" w14:textId="77777777" w:rsidR="00E20EDD" w:rsidRPr="000071E2" w:rsidRDefault="00E20EDD" w:rsidP="00E20EDD">
            <w:pPr>
              <w:jc w:val="center"/>
              <w:rPr>
                <w:color w:val="000000"/>
                <w:sz w:val="20"/>
                <w:szCs w:val="20"/>
              </w:rPr>
            </w:pPr>
            <w:r w:rsidRPr="000071E2">
              <w:rPr>
                <w:color w:val="000000"/>
                <w:sz w:val="20"/>
                <w:szCs w:val="20"/>
              </w:rPr>
              <w:t>BID</w:t>
            </w:r>
          </w:p>
        </w:tc>
        <w:tc>
          <w:tcPr>
            <w:tcW w:w="1060" w:type="dxa"/>
            <w:tcBorders>
              <w:top w:val="nil"/>
              <w:left w:val="nil"/>
              <w:bottom w:val="nil"/>
              <w:right w:val="nil"/>
            </w:tcBorders>
            <w:noWrap/>
            <w:vAlign w:val="center"/>
            <w:hideMark/>
          </w:tcPr>
          <w:p w14:paraId="5956D82A" w14:textId="77777777" w:rsidR="00E20EDD" w:rsidRPr="000071E2" w:rsidRDefault="00E20EDD" w:rsidP="00E20EDD">
            <w:pPr>
              <w:jc w:val="center"/>
              <w:rPr>
                <w:color w:val="000000"/>
                <w:sz w:val="20"/>
                <w:szCs w:val="20"/>
              </w:rPr>
            </w:pPr>
            <w:r w:rsidRPr="000071E2">
              <w:rPr>
                <w:color w:val="000000"/>
                <w:sz w:val="20"/>
                <w:szCs w:val="20"/>
              </w:rPr>
              <w:t>2018</w:t>
            </w:r>
          </w:p>
        </w:tc>
        <w:tc>
          <w:tcPr>
            <w:tcW w:w="1600" w:type="dxa"/>
            <w:tcBorders>
              <w:top w:val="nil"/>
              <w:left w:val="nil"/>
              <w:bottom w:val="nil"/>
              <w:right w:val="nil"/>
            </w:tcBorders>
            <w:noWrap/>
            <w:vAlign w:val="center"/>
            <w:hideMark/>
          </w:tcPr>
          <w:p w14:paraId="73AF9D8B" w14:textId="77777777" w:rsidR="00E20EDD" w:rsidRPr="000071E2" w:rsidRDefault="00E20EDD" w:rsidP="00E20EDD">
            <w:pPr>
              <w:jc w:val="center"/>
              <w:rPr>
                <w:color w:val="000000"/>
                <w:sz w:val="20"/>
                <w:szCs w:val="20"/>
              </w:rPr>
            </w:pPr>
            <w:r w:rsidRPr="000071E2">
              <w:rPr>
                <w:color w:val="000000"/>
                <w:sz w:val="20"/>
                <w:szCs w:val="20"/>
              </w:rPr>
              <w:t>Negative</w:t>
            </w:r>
          </w:p>
        </w:tc>
        <w:tc>
          <w:tcPr>
            <w:tcW w:w="4956" w:type="dxa"/>
            <w:tcBorders>
              <w:top w:val="nil"/>
              <w:left w:val="nil"/>
              <w:bottom w:val="nil"/>
              <w:right w:val="nil"/>
            </w:tcBorders>
            <w:noWrap/>
            <w:vAlign w:val="center"/>
            <w:hideMark/>
          </w:tcPr>
          <w:p w14:paraId="333BD8FB" w14:textId="77777777" w:rsidR="00E20EDD" w:rsidRPr="000071E2" w:rsidRDefault="00E20EDD" w:rsidP="00E20EDD">
            <w:pPr>
              <w:rPr>
                <w:color w:val="000000"/>
                <w:sz w:val="20"/>
                <w:szCs w:val="20"/>
              </w:rPr>
            </w:pPr>
            <w:proofErr w:type="spellStart"/>
            <w:r w:rsidRPr="000071E2">
              <w:rPr>
                <w:color w:val="000000"/>
                <w:sz w:val="20"/>
                <w:szCs w:val="20"/>
              </w:rPr>
              <w:t>Cổ</w:t>
            </w:r>
            <w:proofErr w:type="spellEnd"/>
            <w:r w:rsidRPr="000071E2">
              <w:rPr>
                <w:color w:val="000000"/>
                <w:sz w:val="20"/>
                <w:szCs w:val="20"/>
              </w:rPr>
              <w:t xml:space="preserve"> </w:t>
            </w:r>
            <w:proofErr w:type="spellStart"/>
            <w:r w:rsidRPr="000071E2">
              <w:rPr>
                <w:color w:val="000000"/>
                <w:sz w:val="20"/>
                <w:szCs w:val="20"/>
              </w:rPr>
              <w:t>phiếu</w:t>
            </w:r>
            <w:proofErr w:type="spellEnd"/>
            <w:r w:rsidRPr="000071E2">
              <w:rPr>
                <w:color w:val="000000"/>
                <w:sz w:val="20"/>
                <w:szCs w:val="20"/>
              </w:rPr>
              <w:t xml:space="preserve"> BIDV </w:t>
            </w:r>
            <w:proofErr w:type="spellStart"/>
            <w:r w:rsidRPr="000071E2">
              <w:rPr>
                <w:color w:val="000000"/>
                <w:sz w:val="20"/>
                <w:szCs w:val="20"/>
              </w:rPr>
              <w:t>tăng</w:t>
            </w:r>
            <w:proofErr w:type="spellEnd"/>
            <w:r w:rsidRPr="000071E2">
              <w:rPr>
                <w:color w:val="000000"/>
                <w:sz w:val="20"/>
                <w:szCs w:val="20"/>
              </w:rPr>
              <w:t xml:space="preserve"> </w:t>
            </w:r>
            <w:proofErr w:type="spellStart"/>
            <w:r w:rsidRPr="000071E2">
              <w:rPr>
                <w:color w:val="000000"/>
                <w:sz w:val="20"/>
                <w:szCs w:val="20"/>
              </w:rPr>
              <w:t>điểm</w:t>
            </w:r>
            <w:proofErr w:type="spellEnd"/>
            <w:r w:rsidRPr="000071E2">
              <w:rPr>
                <w:color w:val="000000"/>
                <w:sz w:val="20"/>
                <w:szCs w:val="20"/>
              </w:rPr>
              <w:t xml:space="preserve"> </w:t>
            </w:r>
            <w:proofErr w:type="spellStart"/>
            <w:r w:rsidRPr="000071E2">
              <w:rPr>
                <w:color w:val="000000"/>
                <w:sz w:val="20"/>
                <w:szCs w:val="20"/>
              </w:rPr>
              <w:t>sau</w:t>
            </w:r>
            <w:proofErr w:type="spellEnd"/>
            <w:r w:rsidRPr="000071E2">
              <w:rPr>
                <w:color w:val="000000"/>
                <w:sz w:val="20"/>
                <w:szCs w:val="20"/>
              </w:rPr>
              <w:t xml:space="preserve"> </w:t>
            </w:r>
            <w:proofErr w:type="spellStart"/>
            <w:r w:rsidRPr="000071E2">
              <w:rPr>
                <w:color w:val="000000"/>
                <w:sz w:val="20"/>
                <w:szCs w:val="20"/>
              </w:rPr>
              <w:t>khi</w:t>
            </w:r>
            <w:proofErr w:type="spellEnd"/>
            <w:r w:rsidRPr="000071E2">
              <w:rPr>
                <w:color w:val="000000"/>
                <w:sz w:val="20"/>
                <w:szCs w:val="20"/>
              </w:rPr>
              <w:t xml:space="preserve"> </w:t>
            </w:r>
            <w:proofErr w:type="spellStart"/>
            <w:r w:rsidRPr="000071E2">
              <w:rPr>
                <w:color w:val="000000"/>
                <w:sz w:val="20"/>
                <w:szCs w:val="20"/>
              </w:rPr>
              <w:t>cựu</w:t>
            </w:r>
            <w:proofErr w:type="spellEnd"/>
            <w:r w:rsidRPr="000071E2">
              <w:rPr>
                <w:color w:val="000000"/>
                <w:sz w:val="20"/>
                <w:szCs w:val="20"/>
              </w:rPr>
              <w:t xml:space="preserve"> </w:t>
            </w:r>
            <w:proofErr w:type="spellStart"/>
            <w:r w:rsidRPr="000071E2">
              <w:rPr>
                <w:color w:val="000000"/>
                <w:sz w:val="20"/>
                <w:szCs w:val="20"/>
              </w:rPr>
              <w:t>Chủ</w:t>
            </w:r>
            <w:proofErr w:type="spellEnd"/>
            <w:r w:rsidRPr="000071E2">
              <w:rPr>
                <w:color w:val="000000"/>
                <w:sz w:val="20"/>
                <w:szCs w:val="20"/>
              </w:rPr>
              <w:t xml:space="preserve"> </w:t>
            </w:r>
            <w:proofErr w:type="spellStart"/>
            <w:r w:rsidRPr="000071E2">
              <w:rPr>
                <w:color w:val="000000"/>
                <w:sz w:val="20"/>
                <w:szCs w:val="20"/>
              </w:rPr>
              <w:t>tịch</w:t>
            </w:r>
            <w:proofErr w:type="spellEnd"/>
            <w:r w:rsidRPr="000071E2">
              <w:rPr>
                <w:color w:val="000000"/>
                <w:sz w:val="20"/>
                <w:szCs w:val="20"/>
              </w:rPr>
              <w:t xml:space="preserve"> T...</w:t>
            </w:r>
          </w:p>
        </w:tc>
      </w:tr>
      <w:tr w:rsidR="00E20EDD" w:rsidRPr="000071E2" w14:paraId="12E80BF0" w14:textId="77777777" w:rsidTr="00036EEF">
        <w:trPr>
          <w:trHeight w:val="312"/>
          <w:jc w:val="center"/>
        </w:trPr>
        <w:tc>
          <w:tcPr>
            <w:tcW w:w="680" w:type="dxa"/>
            <w:tcBorders>
              <w:top w:val="nil"/>
              <w:left w:val="nil"/>
              <w:bottom w:val="nil"/>
              <w:right w:val="nil"/>
            </w:tcBorders>
            <w:noWrap/>
            <w:vAlign w:val="center"/>
            <w:hideMark/>
          </w:tcPr>
          <w:p w14:paraId="06BBB64F" w14:textId="77777777" w:rsidR="00E20EDD" w:rsidRPr="000071E2" w:rsidRDefault="00E20EDD" w:rsidP="00E20EDD">
            <w:pPr>
              <w:jc w:val="center"/>
              <w:rPr>
                <w:color w:val="000000"/>
                <w:sz w:val="20"/>
                <w:szCs w:val="20"/>
              </w:rPr>
            </w:pPr>
            <w:r w:rsidRPr="000071E2">
              <w:rPr>
                <w:color w:val="000000"/>
                <w:sz w:val="20"/>
                <w:szCs w:val="20"/>
              </w:rPr>
              <w:t>8</w:t>
            </w:r>
          </w:p>
        </w:tc>
        <w:tc>
          <w:tcPr>
            <w:tcW w:w="1060" w:type="dxa"/>
            <w:tcBorders>
              <w:top w:val="nil"/>
              <w:left w:val="nil"/>
              <w:bottom w:val="nil"/>
              <w:right w:val="nil"/>
            </w:tcBorders>
            <w:noWrap/>
            <w:vAlign w:val="center"/>
            <w:hideMark/>
          </w:tcPr>
          <w:p w14:paraId="6A4DAB52" w14:textId="77777777" w:rsidR="00E20EDD" w:rsidRPr="000071E2" w:rsidRDefault="00E20EDD" w:rsidP="00E20EDD">
            <w:pPr>
              <w:jc w:val="center"/>
              <w:rPr>
                <w:color w:val="000000"/>
                <w:sz w:val="20"/>
                <w:szCs w:val="20"/>
              </w:rPr>
            </w:pPr>
            <w:r w:rsidRPr="000071E2">
              <w:rPr>
                <w:color w:val="000000"/>
                <w:sz w:val="20"/>
                <w:szCs w:val="20"/>
              </w:rPr>
              <w:t>VIB</w:t>
            </w:r>
          </w:p>
        </w:tc>
        <w:tc>
          <w:tcPr>
            <w:tcW w:w="1060" w:type="dxa"/>
            <w:tcBorders>
              <w:top w:val="nil"/>
              <w:left w:val="nil"/>
              <w:bottom w:val="nil"/>
              <w:right w:val="nil"/>
            </w:tcBorders>
            <w:noWrap/>
            <w:vAlign w:val="center"/>
            <w:hideMark/>
          </w:tcPr>
          <w:p w14:paraId="40B25297" w14:textId="77777777" w:rsidR="00E20EDD" w:rsidRPr="000071E2" w:rsidRDefault="00E20EDD" w:rsidP="00E20EDD">
            <w:pPr>
              <w:jc w:val="center"/>
              <w:rPr>
                <w:color w:val="000000"/>
                <w:sz w:val="20"/>
                <w:szCs w:val="20"/>
              </w:rPr>
            </w:pPr>
            <w:r w:rsidRPr="000071E2">
              <w:rPr>
                <w:color w:val="000000"/>
                <w:sz w:val="20"/>
                <w:szCs w:val="20"/>
              </w:rPr>
              <w:t>2018</w:t>
            </w:r>
          </w:p>
        </w:tc>
        <w:tc>
          <w:tcPr>
            <w:tcW w:w="1600" w:type="dxa"/>
            <w:tcBorders>
              <w:top w:val="nil"/>
              <w:left w:val="nil"/>
              <w:bottom w:val="nil"/>
              <w:right w:val="nil"/>
            </w:tcBorders>
            <w:noWrap/>
            <w:vAlign w:val="center"/>
            <w:hideMark/>
          </w:tcPr>
          <w:p w14:paraId="1417309E" w14:textId="77777777" w:rsidR="00E20EDD" w:rsidRPr="000071E2" w:rsidRDefault="00E20EDD" w:rsidP="00E20EDD">
            <w:pPr>
              <w:jc w:val="center"/>
              <w:rPr>
                <w:color w:val="000000"/>
                <w:sz w:val="20"/>
                <w:szCs w:val="20"/>
              </w:rPr>
            </w:pPr>
            <w:r w:rsidRPr="000071E2">
              <w:rPr>
                <w:color w:val="000000"/>
                <w:sz w:val="20"/>
                <w:szCs w:val="20"/>
              </w:rPr>
              <w:t>Positive</w:t>
            </w:r>
          </w:p>
        </w:tc>
        <w:tc>
          <w:tcPr>
            <w:tcW w:w="4956" w:type="dxa"/>
            <w:tcBorders>
              <w:top w:val="nil"/>
              <w:left w:val="nil"/>
              <w:bottom w:val="nil"/>
              <w:right w:val="nil"/>
            </w:tcBorders>
            <w:noWrap/>
            <w:vAlign w:val="center"/>
            <w:hideMark/>
          </w:tcPr>
          <w:p w14:paraId="58B0D4FE" w14:textId="77777777" w:rsidR="00E20EDD" w:rsidRPr="000071E2" w:rsidRDefault="00E20EDD" w:rsidP="00E20EDD">
            <w:pPr>
              <w:rPr>
                <w:color w:val="000000"/>
                <w:sz w:val="20"/>
                <w:szCs w:val="20"/>
              </w:rPr>
            </w:pPr>
            <w:proofErr w:type="spellStart"/>
            <w:r w:rsidRPr="000071E2">
              <w:rPr>
                <w:color w:val="000000"/>
                <w:sz w:val="20"/>
                <w:szCs w:val="20"/>
              </w:rPr>
              <w:t>Những</w:t>
            </w:r>
            <w:proofErr w:type="spellEnd"/>
            <w:r w:rsidRPr="000071E2">
              <w:rPr>
                <w:color w:val="000000"/>
                <w:sz w:val="20"/>
                <w:szCs w:val="20"/>
              </w:rPr>
              <w:t xml:space="preserve"> “</w:t>
            </w:r>
            <w:proofErr w:type="spellStart"/>
            <w:r w:rsidRPr="000071E2">
              <w:rPr>
                <w:color w:val="000000"/>
                <w:sz w:val="20"/>
                <w:szCs w:val="20"/>
              </w:rPr>
              <w:t>điểm</w:t>
            </w:r>
            <w:proofErr w:type="spellEnd"/>
            <w:r w:rsidRPr="000071E2">
              <w:rPr>
                <w:color w:val="000000"/>
                <w:sz w:val="20"/>
                <w:szCs w:val="20"/>
              </w:rPr>
              <w:t xml:space="preserve"> </w:t>
            </w:r>
            <w:proofErr w:type="spellStart"/>
            <w:r w:rsidRPr="000071E2">
              <w:rPr>
                <w:color w:val="000000"/>
                <w:sz w:val="20"/>
                <w:szCs w:val="20"/>
              </w:rPr>
              <w:t>nóng</w:t>
            </w:r>
            <w:proofErr w:type="spellEnd"/>
            <w:r w:rsidRPr="000071E2">
              <w:rPr>
                <w:color w:val="000000"/>
                <w:sz w:val="20"/>
                <w:szCs w:val="20"/>
              </w:rPr>
              <w:t xml:space="preserve">” </w:t>
            </w:r>
            <w:proofErr w:type="spellStart"/>
            <w:r w:rsidRPr="000071E2">
              <w:rPr>
                <w:color w:val="000000"/>
                <w:sz w:val="20"/>
                <w:szCs w:val="20"/>
              </w:rPr>
              <w:t>của</w:t>
            </w:r>
            <w:proofErr w:type="spellEnd"/>
            <w:r w:rsidRPr="000071E2">
              <w:rPr>
                <w:color w:val="000000"/>
                <w:sz w:val="20"/>
                <w:szCs w:val="20"/>
              </w:rPr>
              <w:t xml:space="preserve"> </w:t>
            </w:r>
            <w:proofErr w:type="spellStart"/>
            <w:r w:rsidRPr="000071E2">
              <w:rPr>
                <w:color w:val="000000"/>
                <w:sz w:val="20"/>
                <w:szCs w:val="20"/>
              </w:rPr>
              <w:t>mùa</w:t>
            </w:r>
            <w:proofErr w:type="spellEnd"/>
            <w:r w:rsidRPr="000071E2">
              <w:rPr>
                <w:color w:val="000000"/>
                <w:sz w:val="20"/>
                <w:szCs w:val="20"/>
              </w:rPr>
              <w:t xml:space="preserve"> </w:t>
            </w:r>
            <w:proofErr w:type="spellStart"/>
            <w:r w:rsidRPr="000071E2">
              <w:rPr>
                <w:color w:val="000000"/>
                <w:sz w:val="20"/>
                <w:szCs w:val="20"/>
              </w:rPr>
              <w:t>đại</w:t>
            </w:r>
            <w:proofErr w:type="spellEnd"/>
            <w:r w:rsidRPr="000071E2">
              <w:rPr>
                <w:color w:val="000000"/>
                <w:sz w:val="20"/>
                <w:szCs w:val="20"/>
              </w:rPr>
              <w:t xml:space="preserve"> </w:t>
            </w:r>
            <w:proofErr w:type="spellStart"/>
            <w:r w:rsidRPr="000071E2">
              <w:rPr>
                <w:color w:val="000000"/>
                <w:sz w:val="20"/>
                <w:szCs w:val="20"/>
              </w:rPr>
              <w:t>hội</w:t>
            </w:r>
            <w:proofErr w:type="spellEnd"/>
            <w:r w:rsidRPr="000071E2">
              <w:rPr>
                <w:color w:val="000000"/>
                <w:sz w:val="20"/>
                <w:szCs w:val="20"/>
              </w:rPr>
              <w:t xml:space="preserve"> </w:t>
            </w:r>
            <w:proofErr w:type="spellStart"/>
            <w:r w:rsidRPr="000071E2">
              <w:rPr>
                <w:color w:val="000000"/>
                <w:sz w:val="20"/>
                <w:szCs w:val="20"/>
              </w:rPr>
              <w:t>ngân</w:t>
            </w:r>
            <w:proofErr w:type="spellEnd"/>
            <w:r w:rsidRPr="000071E2">
              <w:rPr>
                <w:color w:val="000000"/>
                <w:sz w:val="20"/>
                <w:szCs w:val="20"/>
              </w:rPr>
              <w:t xml:space="preserve"> </w:t>
            </w:r>
            <w:proofErr w:type="spellStart"/>
            <w:r w:rsidRPr="000071E2">
              <w:rPr>
                <w:color w:val="000000"/>
                <w:sz w:val="20"/>
                <w:szCs w:val="20"/>
              </w:rPr>
              <w:t>hàng</w:t>
            </w:r>
            <w:proofErr w:type="spellEnd"/>
            <w:r w:rsidRPr="000071E2">
              <w:rPr>
                <w:color w:val="000000"/>
                <w:sz w:val="20"/>
                <w:szCs w:val="20"/>
              </w:rPr>
              <w:t xml:space="preserve"> 2018</w:t>
            </w:r>
          </w:p>
        </w:tc>
      </w:tr>
      <w:tr w:rsidR="00E20EDD" w:rsidRPr="000071E2" w14:paraId="2490E6C2" w14:textId="77777777" w:rsidTr="00036EEF">
        <w:trPr>
          <w:trHeight w:val="312"/>
          <w:jc w:val="center"/>
        </w:trPr>
        <w:tc>
          <w:tcPr>
            <w:tcW w:w="680" w:type="dxa"/>
            <w:tcBorders>
              <w:top w:val="nil"/>
              <w:left w:val="nil"/>
              <w:bottom w:val="nil"/>
              <w:right w:val="nil"/>
            </w:tcBorders>
            <w:noWrap/>
            <w:vAlign w:val="center"/>
            <w:hideMark/>
          </w:tcPr>
          <w:p w14:paraId="6B1EACBC" w14:textId="77777777" w:rsidR="00E20EDD" w:rsidRPr="000071E2" w:rsidRDefault="00E20EDD" w:rsidP="00E20EDD">
            <w:pPr>
              <w:jc w:val="center"/>
              <w:rPr>
                <w:color w:val="000000"/>
                <w:sz w:val="20"/>
                <w:szCs w:val="20"/>
              </w:rPr>
            </w:pPr>
            <w:r w:rsidRPr="000071E2">
              <w:rPr>
                <w:color w:val="000000"/>
                <w:sz w:val="20"/>
                <w:szCs w:val="20"/>
              </w:rPr>
              <w:t>9</w:t>
            </w:r>
          </w:p>
        </w:tc>
        <w:tc>
          <w:tcPr>
            <w:tcW w:w="1060" w:type="dxa"/>
            <w:tcBorders>
              <w:top w:val="nil"/>
              <w:left w:val="nil"/>
              <w:bottom w:val="nil"/>
              <w:right w:val="nil"/>
            </w:tcBorders>
            <w:noWrap/>
            <w:vAlign w:val="center"/>
            <w:hideMark/>
          </w:tcPr>
          <w:p w14:paraId="12D58B21" w14:textId="77777777" w:rsidR="00E20EDD" w:rsidRPr="000071E2" w:rsidRDefault="00E20EDD" w:rsidP="00E20EDD">
            <w:pPr>
              <w:jc w:val="center"/>
              <w:rPr>
                <w:color w:val="000000"/>
                <w:sz w:val="20"/>
                <w:szCs w:val="20"/>
              </w:rPr>
            </w:pPr>
            <w:r w:rsidRPr="000071E2">
              <w:rPr>
                <w:color w:val="000000"/>
                <w:sz w:val="20"/>
                <w:szCs w:val="20"/>
              </w:rPr>
              <w:t>STB</w:t>
            </w:r>
          </w:p>
        </w:tc>
        <w:tc>
          <w:tcPr>
            <w:tcW w:w="1060" w:type="dxa"/>
            <w:tcBorders>
              <w:top w:val="nil"/>
              <w:left w:val="nil"/>
              <w:bottom w:val="nil"/>
              <w:right w:val="nil"/>
            </w:tcBorders>
            <w:noWrap/>
            <w:vAlign w:val="center"/>
            <w:hideMark/>
          </w:tcPr>
          <w:p w14:paraId="25473AF2" w14:textId="77777777" w:rsidR="00E20EDD" w:rsidRPr="000071E2" w:rsidRDefault="00E20EDD" w:rsidP="00E20EDD">
            <w:pPr>
              <w:jc w:val="center"/>
              <w:rPr>
                <w:color w:val="000000"/>
                <w:sz w:val="20"/>
                <w:szCs w:val="20"/>
              </w:rPr>
            </w:pPr>
            <w:r w:rsidRPr="000071E2">
              <w:rPr>
                <w:color w:val="000000"/>
                <w:sz w:val="20"/>
                <w:szCs w:val="20"/>
              </w:rPr>
              <w:t>2020</w:t>
            </w:r>
          </w:p>
        </w:tc>
        <w:tc>
          <w:tcPr>
            <w:tcW w:w="1600" w:type="dxa"/>
            <w:tcBorders>
              <w:top w:val="nil"/>
              <w:left w:val="nil"/>
              <w:bottom w:val="nil"/>
              <w:right w:val="nil"/>
            </w:tcBorders>
            <w:noWrap/>
            <w:vAlign w:val="center"/>
            <w:hideMark/>
          </w:tcPr>
          <w:p w14:paraId="38AD141B" w14:textId="77777777" w:rsidR="00E20EDD" w:rsidRPr="000071E2" w:rsidRDefault="00E20EDD" w:rsidP="00E20EDD">
            <w:pPr>
              <w:jc w:val="center"/>
              <w:rPr>
                <w:color w:val="000000"/>
                <w:sz w:val="20"/>
                <w:szCs w:val="20"/>
              </w:rPr>
            </w:pPr>
            <w:r w:rsidRPr="000071E2">
              <w:rPr>
                <w:color w:val="000000"/>
                <w:sz w:val="20"/>
                <w:szCs w:val="20"/>
              </w:rPr>
              <w:t>Positive</w:t>
            </w:r>
          </w:p>
        </w:tc>
        <w:tc>
          <w:tcPr>
            <w:tcW w:w="4956" w:type="dxa"/>
            <w:tcBorders>
              <w:top w:val="nil"/>
              <w:left w:val="nil"/>
              <w:bottom w:val="nil"/>
              <w:right w:val="nil"/>
            </w:tcBorders>
            <w:noWrap/>
            <w:vAlign w:val="center"/>
            <w:hideMark/>
          </w:tcPr>
          <w:p w14:paraId="62E92081" w14:textId="77777777" w:rsidR="00E20EDD" w:rsidRPr="000071E2" w:rsidRDefault="00E20EDD" w:rsidP="00E20EDD">
            <w:pPr>
              <w:rPr>
                <w:color w:val="000000"/>
                <w:sz w:val="20"/>
                <w:szCs w:val="20"/>
              </w:rPr>
            </w:pPr>
            <w:r w:rsidRPr="000071E2">
              <w:rPr>
                <w:color w:val="000000"/>
                <w:sz w:val="20"/>
                <w:szCs w:val="20"/>
              </w:rPr>
              <w:t xml:space="preserve">10 </w:t>
            </w:r>
            <w:proofErr w:type="spellStart"/>
            <w:r w:rsidRPr="000071E2">
              <w:rPr>
                <w:color w:val="000000"/>
                <w:sz w:val="20"/>
                <w:szCs w:val="20"/>
              </w:rPr>
              <w:t>cổ</w:t>
            </w:r>
            <w:proofErr w:type="spellEnd"/>
            <w:r w:rsidRPr="000071E2">
              <w:rPr>
                <w:color w:val="000000"/>
                <w:sz w:val="20"/>
                <w:szCs w:val="20"/>
              </w:rPr>
              <w:t xml:space="preserve"> </w:t>
            </w:r>
            <w:proofErr w:type="spellStart"/>
            <w:r w:rsidRPr="000071E2">
              <w:rPr>
                <w:color w:val="000000"/>
                <w:sz w:val="20"/>
                <w:szCs w:val="20"/>
              </w:rPr>
              <w:t>phiếu</w:t>
            </w:r>
            <w:proofErr w:type="spellEnd"/>
            <w:r w:rsidRPr="000071E2">
              <w:rPr>
                <w:color w:val="000000"/>
                <w:sz w:val="20"/>
                <w:szCs w:val="20"/>
              </w:rPr>
              <w:t xml:space="preserve"> </w:t>
            </w:r>
            <w:proofErr w:type="spellStart"/>
            <w:r w:rsidRPr="000071E2">
              <w:rPr>
                <w:color w:val="000000"/>
                <w:sz w:val="20"/>
                <w:szCs w:val="20"/>
              </w:rPr>
              <w:t>tăng</w:t>
            </w:r>
            <w:proofErr w:type="spellEnd"/>
            <w:r w:rsidRPr="000071E2">
              <w:rPr>
                <w:color w:val="000000"/>
                <w:sz w:val="20"/>
                <w:szCs w:val="20"/>
              </w:rPr>
              <w:t>/</w:t>
            </w:r>
            <w:proofErr w:type="spellStart"/>
            <w:r w:rsidRPr="000071E2">
              <w:rPr>
                <w:color w:val="000000"/>
                <w:sz w:val="20"/>
                <w:szCs w:val="20"/>
              </w:rPr>
              <w:t>giảm</w:t>
            </w:r>
            <w:proofErr w:type="spellEnd"/>
            <w:r w:rsidRPr="000071E2">
              <w:rPr>
                <w:color w:val="000000"/>
                <w:sz w:val="20"/>
                <w:szCs w:val="20"/>
              </w:rPr>
              <w:t xml:space="preserve"> </w:t>
            </w:r>
            <w:proofErr w:type="spellStart"/>
            <w:r w:rsidRPr="000071E2">
              <w:rPr>
                <w:color w:val="000000"/>
                <w:sz w:val="20"/>
                <w:szCs w:val="20"/>
              </w:rPr>
              <w:t>mạnh</w:t>
            </w:r>
            <w:proofErr w:type="spellEnd"/>
            <w:r w:rsidRPr="000071E2">
              <w:rPr>
                <w:color w:val="000000"/>
                <w:sz w:val="20"/>
                <w:szCs w:val="20"/>
              </w:rPr>
              <w:t xml:space="preserve"> </w:t>
            </w:r>
            <w:proofErr w:type="spellStart"/>
            <w:r w:rsidRPr="000071E2">
              <w:rPr>
                <w:color w:val="000000"/>
                <w:sz w:val="20"/>
                <w:szCs w:val="20"/>
              </w:rPr>
              <w:t>nhất</w:t>
            </w:r>
            <w:proofErr w:type="spellEnd"/>
            <w:r w:rsidRPr="000071E2">
              <w:rPr>
                <w:color w:val="000000"/>
                <w:sz w:val="20"/>
                <w:szCs w:val="20"/>
              </w:rPr>
              <w:t xml:space="preserve"> </w:t>
            </w:r>
            <w:proofErr w:type="spellStart"/>
            <w:r w:rsidRPr="000071E2">
              <w:rPr>
                <w:color w:val="000000"/>
                <w:sz w:val="20"/>
                <w:szCs w:val="20"/>
              </w:rPr>
              <w:t>tuần</w:t>
            </w:r>
            <w:proofErr w:type="spellEnd"/>
            <w:r w:rsidRPr="000071E2">
              <w:rPr>
                <w:color w:val="000000"/>
                <w:sz w:val="20"/>
                <w:szCs w:val="20"/>
              </w:rPr>
              <w:t xml:space="preserve">: STB </w:t>
            </w:r>
            <w:proofErr w:type="spellStart"/>
            <w:r w:rsidRPr="000071E2">
              <w:rPr>
                <w:color w:val="000000"/>
                <w:sz w:val="20"/>
                <w:szCs w:val="20"/>
              </w:rPr>
              <w:t>và</w:t>
            </w:r>
            <w:proofErr w:type="spellEnd"/>
            <w:r w:rsidRPr="000071E2">
              <w:rPr>
                <w:color w:val="000000"/>
                <w:sz w:val="20"/>
                <w:szCs w:val="20"/>
              </w:rPr>
              <w:t xml:space="preserve"> O...</w:t>
            </w:r>
          </w:p>
        </w:tc>
      </w:tr>
      <w:tr w:rsidR="00E20EDD" w:rsidRPr="000071E2" w14:paraId="7CB8D34B" w14:textId="77777777" w:rsidTr="00036EEF">
        <w:trPr>
          <w:trHeight w:val="312"/>
          <w:jc w:val="center"/>
        </w:trPr>
        <w:tc>
          <w:tcPr>
            <w:tcW w:w="680" w:type="dxa"/>
            <w:tcBorders>
              <w:top w:val="nil"/>
              <w:left w:val="nil"/>
              <w:bottom w:val="nil"/>
              <w:right w:val="nil"/>
            </w:tcBorders>
            <w:noWrap/>
            <w:vAlign w:val="center"/>
            <w:hideMark/>
          </w:tcPr>
          <w:p w14:paraId="65F1578C" w14:textId="77777777" w:rsidR="00E20EDD" w:rsidRPr="000071E2" w:rsidRDefault="00E20EDD" w:rsidP="00E20EDD">
            <w:pPr>
              <w:jc w:val="center"/>
              <w:rPr>
                <w:color w:val="000000"/>
                <w:sz w:val="20"/>
                <w:szCs w:val="20"/>
              </w:rPr>
            </w:pPr>
            <w:r w:rsidRPr="000071E2">
              <w:rPr>
                <w:color w:val="000000"/>
                <w:sz w:val="20"/>
                <w:szCs w:val="20"/>
              </w:rPr>
              <w:t>10</w:t>
            </w:r>
          </w:p>
        </w:tc>
        <w:tc>
          <w:tcPr>
            <w:tcW w:w="1060" w:type="dxa"/>
            <w:tcBorders>
              <w:top w:val="nil"/>
              <w:left w:val="nil"/>
              <w:bottom w:val="nil"/>
              <w:right w:val="nil"/>
            </w:tcBorders>
            <w:noWrap/>
            <w:vAlign w:val="center"/>
            <w:hideMark/>
          </w:tcPr>
          <w:p w14:paraId="76B8831A" w14:textId="77777777" w:rsidR="00E20EDD" w:rsidRPr="000071E2" w:rsidRDefault="00E20EDD" w:rsidP="00E20EDD">
            <w:pPr>
              <w:jc w:val="center"/>
              <w:rPr>
                <w:color w:val="000000"/>
                <w:sz w:val="20"/>
                <w:szCs w:val="20"/>
              </w:rPr>
            </w:pPr>
            <w:r w:rsidRPr="000071E2">
              <w:rPr>
                <w:color w:val="000000"/>
                <w:sz w:val="20"/>
                <w:szCs w:val="20"/>
              </w:rPr>
              <w:t>STB</w:t>
            </w:r>
          </w:p>
        </w:tc>
        <w:tc>
          <w:tcPr>
            <w:tcW w:w="1060" w:type="dxa"/>
            <w:tcBorders>
              <w:top w:val="nil"/>
              <w:left w:val="nil"/>
              <w:bottom w:val="nil"/>
              <w:right w:val="nil"/>
            </w:tcBorders>
            <w:noWrap/>
            <w:vAlign w:val="center"/>
            <w:hideMark/>
          </w:tcPr>
          <w:p w14:paraId="1F8A7635" w14:textId="77777777" w:rsidR="00E20EDD" w:rsidRPr="000071E2" w:rsidRDefault="00E20EDD" w:rsidP="00E20EDD">
            <w:pPr>
              <w:jc w:val="center"/>
              <w:rPr>
                <w:color w:val="000000"/>
                <w:sz w:val="20"/>
                <w:szCs w:val="20"/>
              </w:rPr>
            </w:pPr>
            <w:r w:rsidRPr="000071E2">
              <w:rPr>
                <w:color w:val="000000"/>
                <w:sz w:val="20"/>
                <w:szCs w:val="20"/>
              </w:rPr>
              <w:t>2020</w:t>
            </w:r>
          </w:p>
        </w:tc>
        <w:tc>
          <w:tcPr>
            <w:tcW w:w="1600" w:type="dxa"/>
            <w:tcBorders>
              <w:top w:val="nil"/>
              <w:left w:val="nil"/>
              <w:bottom w:val="nil"/>
              <w:right w:val="nil"/>
            </w:tcBorders>
            <w:noWrap/>
            <w:vAlign w:val="center"/>
            <w:hideMark/>
          </w:tcPr>
          <w:p w14:paraId="1DE5892D" w14:textId="77777777" w:rsidR="00E20EDD" w:rsidRPr="000071E2" w:rsidRDefault="00E20EDD" w:rsidP="00E20EDD">
            <w:pPr>
              <w:jc w:val="center"/>
              <w:rPr>
                <w:color w:val="000000"/>
                <w:sz w:val="20"/>
                <w:szCs w:val="20"/>
              </w:rPr>
            </w:pPr>
            <w:r w:rsidRPr="000071E2">
              <w:rPr>
                <w:color w:val="000000"/>
                <w:sz w:val="20"/>
                <w:szCs w:val="20"/>
              </w:rPr>
              <w:t>Neutral</w:t>
            </w:r>
          </w:p>
        </w:tc>
        <w:tc>
          <w:tcPr>
            <w:tcW w:w="4956" w:type="dxa"/>
            <w:tcBorders>
              <w:top w:val="nil"/>
              <w:left w:val="nil"/>
              <w:bottom w:val="nil"/>
              <w:right w:val="nil"/>
            </w:tcBorders>
            <w:noWrap/>
            <w:vAlign w:val="center"/>
            <w:hideMark/>
          </w:tcPr>
          <w:p w14:paraId="09CC467D" w14:textId="77777777" w:rsidR="00E20EDD" w:rsidRPr="000071E2" w:rsidRDefault="00E20EDD" w:rsidP="00E20EDD">
            <w:pPr>
              <w:rPr>
                <w:color w:val="000000"/>
                <w:sz w:val="20"/>
                <w:szCs w:val="20"/>
              </w:rPr>
            </w:pPr>
            <w:proofErr w:type="spellStart"/>
            <w:r w:rsidRPr="000071E2">
              <w:rPr>
                <w:color w:val="000000"/>
                <w:sz w:val="20"/>
                <w:szCs w:val="20"/>
              </w:rPr>
              <w:t>Thaco</w:t>
            </w:r>
            <w:proofErr w:type="spellEnd"/>
            <w:r w:rsidRPr="000071E2">
              <w:rPr>
                <w:color w:val="000000"/>
                <w:sz w:val="20"/>
                <w:szCs w:val="20"/>
              </w:rPr>
              <w:t xml:space="preserve"> </w:t>
            </w:r>
            <w:proofErr w:type="spellStart"/>
            <w:r w:rsidRPr="000071E2">
              <w:rPr>
                <w:color w:val="000000"/>
                <w:sz w:val="20"/>
                <w:szCs w:val="20"/>
              </w:rPr>
              <w:t>phủ</w:t>
            </w:r>
            <w:proofErr w:type="spellEnd"/>
            <w:r w:rsidRPr="000071E2">
              <w:rPr>
                <w:color w:val="000000"/>
                <w:sz w:val="20"/>
                <w:szCs w:val="20"/>
              </w:rPr>
              <w:t xml:space="preserve"> </w:t>
            </w:r>
            <w:proofErr w:type="spellStart"/>
            <w:r w:rsidRPr="000071E2">
              <w:rPr>
                <w:color w:val="000000"/>
                <w:sz w:val="20"/>
                <w:szCs w:val="20"/>
              </w:rPr>
              <w:t>nhận</w:t>
            </w:r>
            <w:proofErr w:type="spellEnd"/>
            <w:r w:rsidRPr="000071E2">
              <w:rPr>
                <w:color w:val="000000"/>
                <w:sz w:val="20"/>
                <w:szCs w:val="20"/>
              </w:rPr>
              <w:t xml:space="preserve"> tin </w:t>
            </w:r>
            <w:proofErr w:type="spellStart"/>
            <w:r w:rsidRPr="000071E2">
              <w:rPr>
                <w:color w:val="000000"/>
                <w:sz w:val="20"/>
                <w:szCs w:val="20"/>
              </w:rPr>
              <w:t>đồn</w:t>
            </w:r>
            <w:proofErr w:type="spellEnd"/>
            <w:r w:rsidRPr="000071E2">
              <w:rPr>
                <w:color w:val="000000"/>
                <w:sz w:val="20"/>
                <w:szCs w:val="20"/>
              </w:rPr>
              <w:t xml:space="preserve"> </w:t>
            </w:r>
            <w:proofErr w:type="spellStart"/>
            <w:r w:rsidRPr="000071E2">
              <w:rPr>
                <w:color w:val="000000"/>
                <w:sz w:val="20"/>
                <w:szCs w:val="20"/>
              </w:rPr>
              <w:t>mua</w:t>
            </w:r>
            <w:proofErr w:type="spellEnd"/>
            <w:r w:rsidRPr="000071E2">
              <w:rPr>
                <w:color w:val="000000"/>
                <w:sz w:val="20"/>
                <w:szCs w:val="20"/>
              </w:rPr>
              <w:t xml:space="preserve"> </w:t>
            </w:r>
            <w:proofErr w:type="spellStart"/>
            <w:r w:rsidRPr="000071E2">
              <w:rPr>
                <w:color w:val="000000"/>
                <w:sz w:val="20"/>
                <w:szCs w:val="20"/>
              </w:rPr>
              <w:t>cổ</w:t>
            </w:r>
            <w:proofErr w:type="spellEnd"/>
            <w:r w:rsidRPr="000071E2">
              <w:rPr>
                <w:color w:val="000000"/>
                <w:sz w:val="20"/>
                <w:szCs w:val="20"/>
              </w:rPr>
              <w:t xml:space="preserve"> </w:t>
            </w:r>
            <w:proofErr w:type="spellStart"/>
            <w:r w:rsidRPr="000071E2">
              <w:rPr>
                <w:color w:val="000000"/>
                <w:sz w:val="20"/>
                <w:szCs w:val="20"/>
              </w:rPr>
              <w:t>phần</w:t>
            </w:r>
            <w:proofErr w:type="spellEnd"/>
            <w:r w:rsidRPr="000071E2">
              <w:rPr>
                <w:color w:val="000000"/>
                <w:sz w:val="20"/>
                <w:szCs w:val="20"/>
              </w:rPr>
              <w:t xml:space="preserve"> </w:t>
            </w:r>
            <w:proofErr w:type="spellStart"/>
            <w:r w:rsidRPr="000071E2">
              <w:rPr>
                <w:color w:val="000000"/>
                <w:sz w:val="20"/>
                <w:szCs w:val="20"/>
              </w:rPr>
              <w:t>Sacombank</w:t>
            </w:r>
            <w:proofErr w:type="spellEnd"/>
          </w:p>
        </w:tc>
      </w:tr>
    </w:tbl>
    <w:p w14:paraId="78BC8CC3" w14:textId="11BD090B" w:rsidR="4E067FC6" w:rsidRPr="004B50EE" w:rsidRDefault="00CD5761" w:rsidP="4E067FC6">
      <w:pPr>
        <w:spacing w:before="120"/>
        <w:rPr>
          <w:sz w:val="20"/>
          <w:szCs w:val="20"/>
        </w:rPr>
      </w:pPr>
      <w:r>
        <w:rPr>
          <w:b/>
          <w:bCs/>
          <w:sz w:val="20"/>
          <w:szCs w:val="20"/>
        </w:rPr>
        <w:t xml:space="preserve">Appendix 2. </w:t>
      </w:r>
      <w:r w:rsidR="004B50EE">
        <w:rPr>
          <w:sz w:val="20"/>
          <w:szCs w:val="20"/>
        </w:rPr>
        <w:t>Variable Definition</w:t>
      </w:r>
    </w:p>
    <w:tbl>
      <w:tblPr>
        <w:tblW w:w="9743" w:type="dxa"/>
        <w:tblLayout w:type="fixed"/>
        <w:tblLook w:val="04A0" w:firstRow="1" w:lastRow="0" w:firstColumn="1" w:lastColumn="0" w:noHBand="0" w:noVBand="1"/>
      </w:tblPr>
      <w:tblGrid>
        <w:gridCol w:w="1339"/>
        <w:gridCol w:w="861"/>
        <w:gridCol w:w="1205"/>
        <w:gridCol w:w="1840"/>
        <w:gridCol w:w="1276"/>
        <w:gridCol w:w="1417"/>
        <w:gridCol w:w="1805"/>
      </w:tblGrid>
      <w:tr w:rsidR="00F7602A" w:rsidRPr="008B2AFA" w14:paraId="2F0E87CB" w14:textId="77777777" w:rsidTr="0018468F">
        <w:trPr>
          <w:trHeight w:val="20"/>
        </w:trPr>
        <w:tc>
          <w:tcPr>
            <w:tcW w:w="1339" w:type="dxa"/>
            <w:tcBorders>
              <w:top w:val="single" w:sz="4" w:space="0" w:color="auto"/>
              <w:left w:val="nil"/>
              <w:right w:val="nil"/>
            </w:tcBorders>
            <w:vAlign w:val="center"/>
            <w:hideMark/>
          </w:tcPr>
          <w:p w14:paraId="73E43E22" w14:textId="77777777" w:rsidR="00F7602A" w:rsidRPr="008B2AFA" w:rsidRDefault="00F7602A" w:rsidP="0018468F">
            <w:pPr>
              <w:spacing w:after="240"/>
              <w:jc w:val="center"/>
              <w:rPr>
                <w:i/>
                <w:iCs/>
                <w:color w:val="000000"/>
                <w:sz w:val="20"/>
                <w:szCs w:val="20"/>
              </w:rPr>
            </w:pPr>
            <w:r w:rsidRPr="008B2AFA">
              <w:rPr>
                <w:i/>
                <w:iCs/>
                <w:color w:val="000000"/>
                <w:sz w:val="20"/>
                <w:szCs w:val="20"/>
              </w:rPr>
              <w:t>Variable</w:t>
            </w:r>
          </w:p>
        </w:tc>
        <w:tc>
          <w:tcPr>
            <w:tcW w:w="861" w:type="dxa"/>
            <w:tcBorders>
              <w:top w:val="single" w:sz="4" w:space="0" w:color="auto"/>
              <w:left w:val="nil"/>
              <w:right w:val="nil"/>
            </w:tcBorders>
            <w:vAlign w:val="center"/>
            <w:hideMark/>
          </w:tcPr>
          <w:p w14:paraId="16308DFF" w14:textId="77777777" w:rsidR="00F7602A" w:rsidRPr="008B2AFA" w:rsidRDefault="00F7602A" w:rsidP="0018468F">
            <w:pPr>
              <w:spacing w:after="240"/>
              <w:jc w:val="center"/>
              <w:rPr>
                <w:i/>
                <w:iCs/>
                <w:color w:val="000000"/>
                <w:sz w:val="20"/>
                <w:szCs w:val="20"/>
              </w:rPr>
            </w:pPr>
            <w:r w:rsidRPr="008B2AFA">
              <w:rPr>
                <w:i/>
                <w:iCs/>
                <w:color w:val="000000"/>
                <w:sz w:val="20"/>
                <w:szCs w:val="20"/>
              </w:rPr>
              <w:t>Symbol</w:t>
            </w:r>
          </w:p>
        </w:tc>
        <w:tc>
          <w:tcPr>
            <w:tcW w:w="1205" w:type="dxa"/>
            <w:tcBorders>
              <w:top w:val="single" w:sz="4" w:space="0" w:color="auto"/>
              <w:left w:val="nil"/>
              <w:right w:val="nil"/>
            </w:tcBorders>
            <w:vAlign w:val="center"/>
            <w:hideMark/>
          </w:tcPr>
          <w:p w14:paraId="5FC43BFD" w14:textId="77777777" w:rsidR="00F7602A" w:rsidRPr="008B2AFA" w:rsidRDefault="00F7602A" w:rsidP="0018468F">
            <w:pPr>
              <w:spacing w:after="240"/>
              <w:jc w:val="center"/>
              <w:rPr>
                <w:i/>
                <w:iCs/>
                <w:color w:val="000000"/>
                <w:sz w:val="20"/>
                <w:szCs w:val="20"/>
              </w:rPr>
            </w:pPr>
            <w:r w:rsidRPr="008B2AFA">
              <w:rPr>
                <w:i/>
                <w:iCs/>
                <w:color w:val="000000"/>
                <w:sz w:val="20"/>
                <w:szCs w:val="20"/>
              </w:rPr>
              <w:t>Type</w:t>
            </w:r>
          </w:p>
        </w:tc>
        <w:tc>
          <w:tcPr>
            <w:tcW w:w="1840" w:type="dxa"/>
            <w:tcBorders>
              <w:top w:val="single" w:sz="4" w:space="0" w:color="auto"/>
              <w:left w:val="nil"/>
              <w:right w:val="nil"/>
            </w:tcBorders>
            <w:vAlign w:val="center"/>
            <w:hideMark/>
          </w:tcPr>
          <w:p w14:paraId="063E3646" w14:textId="77777777" w:rsidR="00F7602A" w:rsidRPr="008B2AFA" w:rsidRDefault="00F7602A" w:rsidP="0018468F">
            <w:pPr>
              <w:spacing w:after="240"/>
              <w:jc w:val="center"/>
              <w:rPr>
                <w:i/>
                <w:iCs/>
                <w:color w:val="000000"/>
                <w:sz w:val="20"/>
                <w:szCs w:val="20"/>
              </w:rPr>
            </w:pPr>
            <w:r w:rsidRPr="008B2AFA">
              <w:rPr>
                <w:i/>
                <w:iCs/>
                <w:color w:val="000000"/>
                <w:sz w:val="20"/>
                <w:szCs w:val="20"/>
              </w:rPr>
              <w:t>Measurement / Indicator</w:t>
            </w:r>
          </w:p>
        </w:tc>
        <w:tc>
          <w:tcPr>
            <w:tcW w:w="1276" w:type="dxa"/>
            <w:tcBorders>
              <w:top w:val="single" w:sz="4" w:space="0" w:color="auto"/>
              <w:left w:val="nil"/>
              <w:right w:val="nil"/>
            </w:tcBorders>
            <w:vAlign w:val="center"/>
            <w:hideMark/>
          </w:tcPr>
          <w:p w14:paraId="1BB4DB59" w14:textId="77777777" w:rsidR="00F7602A" w:rsidRPr="008B2AFA" w:rsidRDefault="00F7602A" w:rsidP="0018468F">
            <w:pPr>
              <w:spacing w:after="240"/>
              <w:jc w:val="center"/>
              <w:rPr>
                <w:i/>
                <w:iCs/>
                <w:color w:val="000000"/>
                <w:sz w:val="20"/>
                <w:szCs w:val="20"/>
              </w:rPr>
            </w:pPr>
            <w:r w:rsidRPr="008B2AFA">
              <w:rPr>
                <w:i/>
                <w:iCs/>
                <w:color w:val="000000"/>
                <w:sz w:val="20"/>
                <w:szCs w:val="20"/>
              </w:rPr>
              <w:t>Scale</w:t>
            </w:r>
          </w:p>
        </w:tc>
        <w:tc>
          <w:tcPr>
            <w:tcW w:w="1417" w:type="dxa"/>
            <w:tcBorders>
              <w:top w:val="single" w:sz="4" w:space="0" w:color="auto"/>
              <w:left w:val="nil"/>
              <w:right w:val="nil"/>
            </w:tcBorders>
            <w:vAlign w:val="center"/>
            <w:hideMark/>
          </w:tcPr>
          <w:p w14:paraId="044F967D" w14:textId="77777777" w:rsidR="00F7602A" w:rsidRPr="008B2AFA" w:rsidRDefault="00F7602A" w:rsidP="0018468F">
            <w:pPr>
              <w:spacing w:after="240"/>
              <w:jc w:val="center"/>
              <w:rPr>
                <w:i/>
                <w:iCs/>
                <w:color w:val="000000"/>
                <w:sz w:val="20"/>
                <w:szCs w:val="20"/>
              </w:rPr>
            </w:pPr>
            <w:r w:rsidRPr="008B2AFA">
              <w:rPr>
                <w:i/>
                <w:iCs/>
                <w:color w:val="000000"/>
                <w:sz w:val="20"/>
                <w:szCs w:val="20"/>
              </w:rPr>
              <w:t>Data Source</w:t>
            </w:r>
          </w:p>
        </w:tc>
        <w:tc>
          <w:tcPr>
            <w:tcW w:w="1805" w:type="dxa"/>
            <w:tcBorders>
              <w:top w:val="single" w:sz="4" w:space="0" w:color="auto"/>
              <w:left w:val="nil"/>
              <w:right w:val="nil"/>
            </w:tcBorders>
            <w:vAlign w:val="center"/>
            <w:hideMark/>
          </w:tcPr>
          <w:p w14:paraId="7C4CF2E0" w14:textId="77777777" w:rsidR="00F7602A" w:rsidRPr="008B2AFA" w:rsidRDefault="00F7602A" w:rsidP="0018468F">
            <w:pPr>
              <w:spacing w:after="240"/>
              <w:jc w:val="center"/>
              <w:rPr>
                <w:i/>
                <w:iCs/>
                <w:color w:val="000000"/>
                <w:sz w:val="20"/>
                <w:szCs w:val="20"/>
              </w:rPr>
            </w:pPr>
            <w:r w:rsidRPr="008B2AFA">
              <w:rPr>
                <w:i/>
                <w:iCs/>
                <w:color w:val="000000"/>
                <w:sz w:val="20"/>
                <w:szCs w:val="20"/>
              </w:rPr>
              <w:t>Notes</w:t>
            </w:r>
          </w:p>
        </w:tc>
      </w:tr>
      <w:tr w:rsidR="00F7602A" w:rsidRPr="000071E2" w14:paraId="3A250765" w14:textId="77777777" w:rsidTr="0018468F">
        <w:trPr>
          <w:trHeight w:val="20"/>
        </w:trPr>
        <w:tc>
          <w:tcPr>
            <w:tcW w:w="1339" w:type="dxa"/>
            <w:vAlign w:val="center"/>
            <w:hideMark/>
          </w:tcPr>
          <w:p w14:paraId="7CD19039" w14:textId="77777777" w:rsidR="00F7602A" w:rsidRPr="000071E2" w:rsidRDefault="00F7602A" w:rsidP="001F1C83">
            <w:pPr>
              <w:spacing w:after="240"/>
              <w:jc w:val="center"/>
              <w:rPr>
                <w:color w:val="000000"/>
                <w:sz w:val="20"/>
                <w:szCs w:val="20"/>
              </w:rPr>
            </w:pPr>
            <w:r w:rsidRPr="000071E2">
              <w:rPr>
                <w:color w:val="000000"/>
                <w:sz w:val="20"/>
                <w:szCs w:val="20"/>
              </w:rPr>
              <w:t>Stock Price Synchronicity</w:t>
            </w:r>
          </w:p>
          <w:p w14:paraId="5B7C3981" w14:textId="77777777" w:rsidR="005A2D42" w:rsidRPr="000071E2" w:rsidRDefault="005A2D42" w:rsidP="001F1C83">
            <w:pPr>
              <w:spacing w:after="240"/>
              <w:jc w:val="center"/>
              <w:rPr>
                <w:color w:val="000000"/>
                <w:sz w:val="20"/>
                <w:szCs w:val="20"/>
              </w:rPr>
            </w:pPr>
          </w:p>
        </w:tc>
        <w:tc>
          <w:tcPr>
            <w:tcW w:w="861" w:type="dxa"/>
            <w:vAlign w:val="center"/>
            <w:hideMark/>
          </w:tcPr>
          <w:p w14:paraId="47B703FF" w14:textId="77777777" w:rsidR="00F7602A" w:rsidRPr="000071E2" w:rsidRDefault="00F7602A" w:rsidP="001F1C83">
            <w:pPr>
              <w:spacing w:after="240"/>
              <w:jc w:val="center"/>
              <w:rPr>
                <w:color w:val="000000"/>
                <w:sz w:val="20"/>
                <w:szCs w:val="20"/>
              </w:rPr>
            </w:pPr>
            <w:r w:rsidRPr="000071E2">
              <w:rPr>
                <w:color w:val="000000"/>
                <w:sz w:val="20"/>
                <w:szCs w:val="20"/>
              </w:rPr>
              <w:t>SYN</w:t>
            </w:r>
          </w:p>
        </w:tc>
        <w:tc>
          <w:tcPr>
            <w:tcW w:w="1205" w:type="dxa"/>
            <w:vAlign w:val="center"/>
            <w:hideMark/>
          </w:tcPr>
          <w:p w14:paraId="53212A52" w14:textId="77777777" w:rsidR="00F7602A" w:rsidRPr="000071E2" w:rsidRDefault="00F7602A" w:rsidP="001F1C83">
            <w:pPr>
              <w:spacing w:after="240"/>
              <w:jc w:val="center"/>
              <w:rPr>
                <w:color w:val="000000"/>
                <w:sz w:val="20"/>
                <w:szCs w:val="20"/>
              </w:rPr>
            </w:pPr>
            <w:r w:rsidRPr="000071E2">
              <w:rPr>
                <w:color w:val="000000"/>
                <w:sz w:val="20"/>
                <w:szCs w:val="20"/>
              </w:rPr>
              <w:t>Dependent</w:t>
            </w:r>
          </w:p>
        </w:tc>
        <w:tc>
          <w:tcPr>
            <w:tcW w:w="1840" w:type="dxa"/>
            <w:vAlign w:val="center"/>
            <w:hideMark/>
          </w:tcPr>
          <w:p w14:paraId="749389C9" w14:textId="09454BBD" w:rsidR="00213C2A" w:rsidRPr="001F1C83" w:rsidRDefault="00F7602A" w:rsidP="001F1C83">
            <w:pPr>
              <w:spacing w:after="240"/>
              <w:jc w:val="center"/>
              <w:rPr>
                <w:color w:val="000000"/>
                <w:sz w:val="20"/>
                <w:szCs w:val="20"/>
                <w:lang w:val="vi-VN"/>
              </w:rPr>
            </w:pPr>
            <w:r w:rsidRPr="000071E2">
              <w:rPr>
                <w:color w:val="000000"/>
                <w:sz w:val="20"/>
                <w:szCs w:val="20"/>
              </w:rPr>
              <w:t>Calculated as R² from the regression of the stock’s log return on the market log return</w:t>
            </w:r>
          </w:p>
          <w:p w14:paraId="3A618014" w14:textId="77777777" w:rsidR="005A2D42" w:rsidRPr="000071E2" w:rsidRDefault="005A2D42" w:rsidP="001F1C83">
            <w:pPr>
              <w:spacing w:after="240"/>
              <w:jc w:val="center"/>
              <w:rPr>
                <w:color w:val="000000"/>
                <w:sz w:val="20"/>
                <w:szCs w:val="20"/>
              </w:rPr>
            </w:pPr>
          </w:p>
        </w:tc>
        <w:tc>
          <w:tcPr>
            <w:tcW w:w="1276" w:type="dxa"/>
            <w:vAlign w:val="center"/>
            <w:hideMark/>
          </w:tcPr>
          <w:p w14:paraId="497B5582" w14:textId="77777777" w:rsidR="00F7602A" w:rsidRPr="000071E2" w:rsidRDefault="00F7602A" w:rsidP="001F1C83">
            <w:pPr>
              <w:spacing w:after="240"/>
              <w:jc w:val="center"/>
              <w:rPr>
                <w:color w:val="000000"/>
                <w:sz w:val="20"/>
                <w:szCs w:val="20"/>
              </w:rPr>
            </w:pPr>
            <w:r w:rsidRPr="000071E2">
              <w:rPr>
                <w:color w:val="000000"/>
                <w:sz w:val="20"/>
                <w:szCs w:val="20"/>
              </w:rPr>
              <w:t>Ratio</w:t>
            </w:r>
          </w:p>
        </w:tc>
        <w:tc>
          <w:tcPr>
            <w:tcW w:w="1417" w:type="dxa"/>
            <w:vAlign w:val="center"/>
            <w:hideMark/>
          </w:tcPr>
          <w:p w14:paraId="1B8C38B1" w14:textId="77777777" w:rsidR="00F7602A" w:rsidRPr="000071E2" w:rsidRDefault="00F7602A" w:rsidP="001F1C83">
            <w:pPr>
              <w:spacing w:after="240"/>
              <w:jc w:val="center"/>
              <w:rPr>
                <w:color w:val="000000"/>
                <w:sz w:val="20"/>
                <w:szCs w:val="20"/>
              </w:rPr>
            </w:pPr>
            <w:r w:rsidRPr="000071E2">
              <w:rPr>
                <w:color w:val="000000"/>
                <w:sz w:val="20"/>
                <w:szCs w:val="20"/>
              </w:rPr>
              <w:t>HOSE</w:t>
            </w:r>
          </w:p>
        </w:tc>
        <w:tc>
          <w:tcPr>
            <w:tcW w:w="1805" w:type="dxa"/>
            <w:vAlign w:val="center"/>
            <w:hideMark/>
          </w:tcPr>
          <w:p w14:paraId="1D27597E" w14:textId="77777777" w:rsidR="00F7602A" w:rsidRPr="000071E2" w:rsidRDefault="00F7602A" w:rsidP="001F1C83">
            <w:pPr>
              <w:spacing w:after="240"/>
              <w:jc w:val="center"/>
              <w:rPr>
                <w:color w:val="000000"/>
                <w:sz w:val="20"/>
                <w:szCs w:val="20"/>
              </w:rPr>
            </w:pPr>
            <w:r w:rsidRPr="000071E2">
              <w:rPr>
                <w:color w:val="000000"/>
                <w:sz w:val="20"/>
                <w:szCs w:val="20"/>
              </w:rPr>
              <w:t>Log transformation applied; measures the degree of stock price co-movement</w:t>
            </w:r>
          </w:p>
          <w:p w14:paraId="6D679752" w14:textId="77777777" w:rsidR="005A2D42" w:rsidRPr="000071E2" w:rsidRDefault="005A2D42" w:rsidP="001F1C83">
            <w:pPr>
              <w:spacing w:after="240"/>
              <w:jc w:val="center"/>
              <w:rPr>
                <w:color w:val="000000"/>
                <w:sz w:val="20"/>
                <w:szCs w:val="20"/>
              </w:rPr>
            </w:pPr>
          </w:p>
        </w:tc>
      </w:tr>
      <w:tr w:rsidR="00165B09" w:rsidRPr="000071E2" w14:paraId="33FDDABF" w14:textId="77777777" w:rsidTr="0018468F">
        <w:trPr>
          <w:trHeight w:val="81"/>
        </w:trPr>
        <w:tc>
          <w:tcPr>
            <w:tcW w:w="1339" w:type="dxa"/>
            <w:vAlign w:val="center"/>
          </w:tcPr>
          <w:p w14:paraId="57D20AA0" w14:textId="54922684" w:rsidR="00165B09" w:rsidRPr="001F1C83" w:rsidRDefault="00165B09" w:rsidP="001F1C83">
            <w:pPr>
              <w:spacing w:after="240"/>
              <w:jc w:val="center"/>
              <w:rPr>
                <w:color w:val="000000"/>
                <w:sz w:val="20"/>
                <w:szCs w:val="20"/>
                <w:lang w:val="vi-VN"/>
              </w:rPr>
            </w:pPr>
            <w:r>
              <w:rPr>
                <w:color w:val="000000"/>
                <w:sz w:val="20"/>
                <w:szCs w:val="20"/>
              </w:rPr>
              <w:lastRenderedPageBreak/>
              <w:t>Mispricing</w:t>
            </w:r>
            <w:r w:rsidR="001F1C83">
              <w:rPr>
                <w:color w:val="000000"/>
                <w:sz w:val="20"/>
                <w:szCs w:val="20"/>
                <w:lang w:val="vi-VN"/>
              </w:rPr>
              <w:t xml:space="preserve"> 1</w:t>
            </w:r>
          </w:p>
        </w:tc>
        <w:tc>
          <w:tcPr>
            <w:tcW w:w="861" w:type="dxa"/>
            <w:vAlign w:val="center"/>
          </w:tcPr>
          <w:p w14:paraId="2FEE6FE5" w14:textId="63B4917E" w:rsidR="00165B09" w:rsidRPr="001F1C83" w:rsidRDefault="001F1C83" w:rsidP="001F1C83">
            <w:pPr>
              <w:spacing w:after="240"/>
              <w:jc w:val="center"/>
              <w:rPr>
                <w:color w:val="000000"/>
                <w:sz w:val="20"/>
                <w:szCs w:val="20"/>
                <w:lang w:val="vi-VN"/>
              </w:rPr>
            </w:pPr>
            <w:r>
              <w:rPr>
                <w:color w:val="000000"/>
                <w:sz w:val="20"/>
                <w:szCs w:val="20"/>
                <w:lang w:val="vi-VN"/>
              </w:rPr>
              <w:t>Misp1</w:t>
            </w:r>
          </w:p>
        </w:tc>
        <w:tc>
          <w:tcPr>
            <w:tcW w:w="1205" w:type="dxa"/>
            <w:vAlign w:val="center"/>
          </w:tcPr>
          <w:p w14:paraId="694780E0" w14:textId="46935752" w:rsidR="00165B09" w:rsidRPr="000071E2" w:rsidRDefault="00165B09" w:rsidP="001F1C83">
            <w:pPr>
              <w:spacing w:after="240"/>
              <w:jc w:val="center"/>
              <w:rPr>
                <w:color w:val="000000"/>
                <w:sz w:val="20"/>
                <w:szCs w:val="20"/>
              </w:rPr>
            </w:pPr>
            <w:r>
              <w:rPr>
                <w:color w:val="000000"/>
                <w:sz w:val="20"/>
                <w:szCs w:val="20"/>
              </w:rPr>
              <w:t>Dependent</w:t>
            </w:r>
          </w:p>
        </w:tc>
        <w:tc>
          <w:tcPr>
            <w:tcW w:w="1840" w:type="dxa"/>
            <w:vAlign w:val="center"/>
          </w:tcPr>
          <w:p w14:paraId="772805A9" w14:textId="2A78F5B1" w:rsidR="00165B09" w:rsidRPr="000071E2" w:rsidRDefault="0018468F" w:rsidP="001F1C83">
            <w:pPr>
              <w:spacing w:after="240"/>
              <w:jc w:val="center"/>
              <w:rPr>
                <w:color w:val="000000"/>
                <w:sz w:val="20"/>
                <w:szCs w:val="20"/>
              </w:rPr>
            </w:pPr>
            <w:r w:rsidRPr="0018468F">
              <w:rPr>
                <w:color w:val="000000"/>
                <w:sz w:val="20"/>
                <w:szCs w:val="20"/>
              </w:rPr>
              <w:t>Log ratio of market cap to estimated fundamental value (Ln(M/V))</w:t>
            </w:r>
          </w:p>
        </w:tc>
        <w:tc>
          <w:tcPr>
            <w:tcW w:w="1276" w:type="dxa"/>
            <w:vAlign w:val="center"/>
          </w:tcPr>
          <w:p w14:paraId="556E2100" w14:textId="3CBFD362" w:rsidR="00165B09" w:rsidRPr="001F1C83" w:rsidRDefault="001F1C83" w:rsidP="001F1C83">
            <w:pPr>
              <w:spacing w:after="240"/>
              <w:jc w:val="center"/>
              <w:rPr>
                <w:color w:val="000000"/>
                <w:sz w:val="20"/>
                <w:szCs w:val="20"/>
                <w:lang w:val="vi-VN"/>
              </w:rPr>
            </w:pPr>
            <w:r>
              <w:rPr>
                <w:color w:val="000000"/>
                <w:sz w:val="20"/>
                <w:szCs w:val="20"/>
                <w:lang w:val="vi-VN"/>
              </w:rPr>
              <w:t>Ratio</w:t>
            </w:r>
          </w:p>
        </w:tc>
        <w:tc>
          <w:tcPr>
            <w:tcW w:w="1417" w:type="dxa"/>
            <w:vAlign w:val="center"/>
          </w:tcPr>
          <w:p w14:paraId="7CF4D988" w14:textId="4C91E634" w:rsidR="00165B09" w:rsidRPr="001F1C83" w:rsidRDefault="001F1C83" w:rsidP="001F1C83">
            <w:pPr>
              <w:spacing w:after="240"/>
              <w:jc w:val="center"/>
              <w:rPr>
                <w:color w:val="000000"/>
                <w:sz w:val="20"/>
                <w:szCs w:val="20"/>
                <w:lang w:val="vi-VN"/>
              </w:rPr>
            </w:pPr>
            <w:r>
              <w:rPr>
                <w:color w:val="000000"/>
                <w:sz w:val="20"/>
                <w:szCs w:val="20"/>
                <w:lang w:val="vi-VN"/>
              </w:rPr>
              <w:t>Bank financial statements</w:t>
            </w:r>
          </w:p>
        </w:tc>
        <w:tc>
          <w:tcPr>
            <w:tcW w:w="1805" w:type="dxa"/>
            <w:vAlign w:val="center"/>
          </w:tcPr>
          <w:p w14:paraId="584A431F" w14:textId="63857CBC" w:rsidR="00165B09" w:rsidRPr="000071E2" w:rsidRDefault="001F1C83" w:rsidP="001F1C83">
            <w:pPr>
              <w:spacing w:after="240"/>
              <w:jc w:val="center"/>
              <w:rPr>
                <w:color w:val="000000"/>
                <w:sz w:val="20"/>
                <w:szCs w:val="20"/>
              </w:rPr>
            </w:pPr>
            <w:r w:rsidRPr="001F1C83">
              <w:rPr>
                <w:color w:val="000000"/>
                <w:sz w:val="20"/>
                <w:szCs w:val="20"/>
              </w:rPr>
              <w:t>A value greater than zero indicates overvaluation; a value less than zero indicates undervaluation</w:t>
            </w:r>
          </w:p>
        </w:tc>
      </w:tr>
      <w:tr w:rsidR="0018468F" w:rsidRPr="000071E2" w14:paraId="29F0CD7E" w14:textId="77777777" w:rsidTr="0018468F">
        <w:trPr>
          <w:trHeight w:val="20"/>
        </w:trPr>
        <w:tc>
          <w:tcPr>
            <w:tcW w:w="1339" w:type="dxa"/>
            <w:vAlign w:val="center"/>
          </w:tcPr>
          <w:p w14:paraId="3C6FBFDE" w14:textId="2DDFAEE8" w:rsidR="0018468F" w:rsidRPr="001F1C83" w:rsidRDefault="0018468F" w:rsidP="0018468F">
            <w:pPr>
              <w:spacing w:after="240"/>
              <w:jc w:val="center"/>
              <w:rPr>
                <w:color w:val="000000"/>
                <w:sz w:val="20"/>
                <w:szCs w:val="20"/>
                <w:lang w:val="vi-VN"/>
              </w:rPr>
            </w:pPr>
            <w:r>
              <w:rPr>
                <w:color w:val="000000"/>
                <w:sz w:val="20"/>
                <w:szCs w:val="20"/>
                <w:lang w:val="vi-VN"/>
              </w:rPr>
              <w:t>Mispricing 2</w:t>
            </w:r>
          </w:p>
        </w:tc>
        <w:tc>
          <w:tcPr>
            <w:tcW w:w="861" w:type="dxa"/>
            <w:vAlign w:val="center"/>
          </w:tcPr>
          <w:p w14:paraId="26206A30" w14:textId="5EDBD416" w:rsidR="0018468F" w:rsidRPr="001F1C83" w:rsidRDefault="0018468F" w:rsidP="0018468F">
            <w:pPr>
              <w:spacing w:after="240"/>
              <w:jc w:val="center"/>
              <w:rPr>
                <w:color w:val="000000"/>
                <w:sz w:val="20"/>
                <w:szCs w:val="20"/>
                <w:lang w:val="vi-VN"/>
              </w:rPr>
            </w:pPr>
            <w:r>
              <w:rPr>
                <w:color w:val="000000"/>
                <w:sz w:val="20"/>
                <w:szCs w:val="20"/>
                <w:lang w:val="vi-VN"/>
              </w:rPr>
              <w:t>Misp2</w:t>
            </w:r>
          </w:p>
        </w:tc>
        <w:tc>
          <w:tcPr>
            <w:tcW w:w="1205" w:type="dxa"/>
            <w:vAlign w:val="center"/>
          </w:tcPr>
          <w:p w14:paraId="4496724D" w14:textId="1535F4C9" w:rsidR="0018468F" w:rsidRPr="001F1C83" w:rsidRDefault="0018468F" w:rsidP="0018468F">
            <w:pPr>
              <w:spacing w:after="240"/>
              <w:jc w:val="center"/>
              <w:rPr>
                <w:color w:val="000000"/>
                <w:sz w:val="20"/>
                <w:szCs w:val="20"/>
                <w:lang w:val="vi-VN"/>
              </w:rPr>
            </w:pPr>
            <w:r>
              <w:rPr>
                <w:color w:val="000000"/>
                <w:sz w:val="20"/>
                <w:szCs w:val="20"/>
                <w:lang w:val="vi-VN"/>
              </w:rPr>
              <w:t>Dependent</w:t>
            </w:r>
          </w:p>
        </w:tc>
        <w:tc>
          <w:tcPr>
            <w:tcW w:w="1840" w:type="dxa"/>
            <w:vAlign w:val="center"/>
          </w:tcPr>
          <w:p w14:paraId="5AABDD05" w14:textId="61E2033E" w:rsidR="0018468F" w:rsidRPr="000071E2" w:rsidRDefault="0018468F" w:rsidP="0018468F">
            <w:pPr>
              <w:spacing w:after="240"/>
              <w:jc w:val="center"/>
              <w:rPr>
                <w:color w:val="000000"/>
                <w:sz w:val="20"/>
                <w:szCs w:val="20"/>
              </w:rPr>
            </w:pPr>
            <w:r w:rsidRPr="0018468F">
              <w:rPr>
                <w:color w:val="000000"/>
                <w:sz w:val="20"/>
                <w:szCs w:val="20"/>
              </w:rPr>
              <w:t>Standardized residual from Tobin's Q regression model</w:t>
            </w:r>
          </w:p>
        </w:tc>
        <w:tc>
          <w:tcPr>
            <w:tcW w:w="1276" w:type="dxa"/>
            <w:vAlign w:val="center"/>
          </w:tcPr>
          <w:p w14:paraId="0E4AFBFC" w14:textId="41D5EDB5" w:rsidR="0018468F" w:rsidRPr="000071E2" w:rsidRDefault="0018468F" w:rsidP="0018468F">
            <w:pPr>
              <w:spacing w:after="240"/>
              <w:jc w:val="center"/>
              <w:rPr>
                <w:color w:val="000000"/>
                <w:sz w:val="20"/>
                <w:szCs w:val="20"/>
              </w:rPr>
            </w:pPr>
            <w:r>
              <w:rPr>
                <w:color w:val="000000"/>
                <w:sz w:val="20"/>
                <w:szCs w:val="20"/>
                <w:lang w:val="vi-VN"/>
              </w:rPr>
              <w:t>Ratio</w:t>
            </w:r>
          </w:p>
        </w:tc>
        <w:tc>
          <w:tcPr>
            <w:tcW w:w="1417" w:type="dxa"/>
            <w:vAlign w:val="center"/>
          </w:tcPr>
          <w:p w14:paraId="6DB1ACFD" w14:textId="470D0D7F" w:rsidR="0018468F" w:rsidRPr="000071E2" w:rsidRDefault="0018468F" w:rsidP="0018468F">
            <w:pPr>
              <w:spacing w:after="240"/>
              <w:jc w:val="center"/>
              <w:rPr>
                <w:color w:val="000000"/>
                <w:sz w:val="20"/>
                <w:szCs w:val="20"/>
              </w:rPr>
            </w:pPr>
            <w:r>
              <w:rPr>
                <w:color w:val="000000"/>
                <w:sz w:val="20"/>
                <w:szCs w:val="20"/>
                <w:lang w:val="vi-VN"/>
              </w:rPr>
              <w:t>Bank financial statements</w:t>
            </w:r>
          </w:p>
        </w:tc>
        <w:tc>
          <w:tcPr>
            <w:tcW w:w="1805" w:type="dxa"/>
            <w:vAlign w:val="center"/>
          </w:tcPr>
          <w:p w14:paraId="544659D3" w14:textId="0AF375A0" w:rsidR="0018468F" w:rsidRPr="000071E2" w:rsidRDefault="0018468F" w:rsidP="0018468F">
            <w:pPr>
              <w:spacing w:after="240"/>
              <w:jc w:val="center"/>
              <w:rPr>
                <w:color w:val="000000"/>
                <w:sz w:val="20"/>
                <w:szCs w:val="20"/>
              </w:rPr>
            </w:pPr>
            <w:r w:rsidRPr="001F1C83">
              <w:rPr>
                <w:color w:val="000000"/>
                <w:sz w:val="20"/>
                <w:szCs w:val="20"/>
              </w:rPr>
              <w:t>A value greater than zero indicates overvaluation; a value less than zero indicates undervaluation</w:t>
            </w:r>
          </w:p>
        </w:tc>
      </w:tr>
      <w:tr w:rsidR="0018468F" w:rsidRPr="000071E2" w14:paraId="5D94C606" w14:textId="77777777" w:rsidTr="0018468F">
        <w:trPr>
          <w:trHeight w:val="20"/>
        </w:trPr>
        <w:tc>
          <w:tcPr>
            <w:tcW w:w="1339" w:type="dxa"/>
            <w:tcBorders>
              <w:left w:val="nil"/>
              <w:bottom w:val="nil"/>
              <w:right w:val="nil"/>
            </w:tcBorders>
            <w:vAlign w:val="center"/>
            <w:hideMark/>
          </w:tcPr>
          <w:p w14:paraId="3A0A70DC" w14:textId="77777777" w:rsidR="0018468F" w:rsidRPr="000071E2" w:rsidRDefault="0018468F" w:rsidP="0018468F">
            <w:pPr>
              <w:jc w:val="center"/>
              <w:rPr>
                <w:color w:val="000000"/>
                <w:sz w:val="20"/>
                <w:szCs w:val="20"/>
              </w:rPr>
            </w:pPr>
            <w:r w:rsidRPr="000071E2">
              <w:rPr>
                <w:color w:val="000000"/>
                <w:sz w:val="20"/>
                <w:szCs w:val="20"/>
              </w:rPr>
              <w:t>Number of Rumors</w:t>
            </w:r>
          </w:p>
          <w:p w14:paraId="39998908" w14:textId="77777777" w:rsidR="0018468F" w:rsidRPr="000071E2" w:rsidRDefault="0018468F" w:rsidP="0018468F">
            <w:pPr>
              <w:jc w:val="center"/>
              <w:rPr>
                <w:color w:val="000000"/>
                <w:sz w:val="20"/>
                <w:szCs w:val="20"/>
              </w:rPr>
            </w:pPr>
          </w:p>
        </w:tc>
        <w:tc>
          <w:tcPr>
            <w:tcW w:w="861" w:type="dxa"/>
            <w:tcBorders>
              <w:left w:val="nil"/>
              <w:bottom w:val="nil"/>
              <w:right w:val="nil"/>
            </w:tcBorders>
            <w:vAlign w:val="center"/>
            <w:hideMark/>
          </w:tcPr>
          <w:p w14:paraId="522ABB7E" w14:textId="77777777" w:rsidR="0018468F" w:rsidRPr="000071E2" w:rsidRDefault="0018468F" w:rsidP="0018468F">
            <w:pPr>
              <w:jc w:val="center"/>
              <w:rPr>
                <w:color w:val="000000"/>
                <w:sz w:val="20"/>
                <w:szCs w:val="20"/>
              </w:rPr>
            </w:pPr>
            <w:r w:rsidRPr="000071E2">
              <w:rPr>
                <w:color w:val="000000"/>
                <w:sz w:val="20"/>
                <w:szCs w:val="20"/>
              </w:rPr>
              <w:t>Rumor</w:t>
            </w:r>
          </w:p>
        </w:tc>
        <w:tc>
          <w:tcPr>
            <w:tcW w:w="1205" w:type="dxa"/>
            <w:tcBorders>
              <w:left w:val="nil"/>
              <w:bottom w:val="nil"/>
              <w:right w:val="nil"/>
            </w:tcBorders>
            <w:vAlign w:val="center"/>
            <w:hideMark/>
          </w:tcPr>
          <w:p w14:paraId="4C67A478" w14:textId="77777777" w:rsidR="0018468F" w:rsidRPr="000071E2" w:rsidRDefault="0018468F" w:rsidP="0018468F">
            <w:pPr>
              <w:jc w:val="center"/>
              <w:rPr>
                <w:color w:val="000000"/>
                <w:sz w:val="20"/>
                <w:szCs w:val="20"/>
              </w:rPr>
            </w:pPr>
            <w:r w:rsidRPr="000071E2">
              <w:rPr>
                <w:color w:val="000000"/>
                <w:sz w:val="20"/>
                <w:szCs w:val="20"/>
              </w:rPr>
              <w:t>Independent</w:t>
            </w:r>
          </w:p>
        </w:tc>
        <w:tc>
          <w:tcPr>
            <w:tcW w:w="1840" w:type="dxa"/>
            <w:tcBorders>
              <w:left w:val="nil"/>
              <w:bottom w:val="nil"/>
              <w:right w:val="nil"/>
            </w:tcBorders>
            <w:vAlign w:val="center"/>
            <w:hideMark/>
          </w:tcPr>
          <w:p w14:paraId="7A4BF890" w14:textId="77777777" w:rsidR="0018468F" w:rsidRPr="000071E2" w:rsidRDefault="0018468F" w:rsidP="0018468F">
            <w:pPr>
              <w:jc w:val="center"/>
              <w:rPr>
                <w:color w:val="000000"/>
                <w:sz w:val="20"/>
                <w:szCs w:val="20"/>
              </w:rPr>
            </w:pPr>
            <w:r w:rsidRPr="000071E2">
              <w:rPr>
                <w:color w:val="000000"/>
                <w:sz w:val="20"/>
                <w:szCs w:val="20"/>
              </w:rPr>
              <w:t xml:space="preserve">Total number of rumors related to the bank </w:t>
            </w:r>
            <w:proofErr w:type="gramStart"/>
            <w:r w:rsidRPr="000071E2">
              <w:rPr>
                <w:color w:val="000000"/>
                <w:sz w:val="20"/>
                <w:szCs w:val="20"/>
              </w:rPr>
              <w:t>in a given year</w:t>
            </w:r>
            <w:proofErr w:type="gramEnd"/>
          </w:p>
          <w:p w14:paraId="3F1D6550" w14:textId="77777777" w:rsidR="0018468F" w:rsidRPr="000071E2" w:rsidRDefault="0018468F" w:rsidP="0018468F">
            <w:pPr>
              <w:jc w:val="center"/>
              <w:rPr>
                <w:color w:val="000000"/>
                <w:sz w:val="20"/>
                <w:szCs w:val="20"/>
              </w:rPr>
            </w:pPr>
          </w:p>
        </w:tc>
        <w:tc>
          <w:tcPr>
            <w:tcW w:w="1276" w:type="dxa"/>
            <w:tcBorders>
              <w:left w:val="nil"/>
              <w:bottom w:val="nil"/>
              <w:right w:val="nil"/>
            </w:tcBorders>
            <w:vAlign w:val="center"/>
            <w:hideMark/>
          </w:tcPr>
          <w:p w14:paraId="65C4801B" w14:textId="77777777" w:rsidR="0018468F" w:rsidRPr="000071E2" w:rsidRDefault="0018468F" w:rsidP="0018468F">
            <w:pPr>
              <w:jc w:val="center"/>
              <w:rPr>
                <w:color w:val="000000"/>
                <w:sz w:val="20"/>
                <w:szCs w:val="20"/>
              </w:rPr>
            </w:pPr>
            <w:r w:rsidRPr="000071E2">
              <w:rPr>
                <w:color w:val="000000"/>
                <w:sz w:val="20"/>
                <w:szCs w:val="20"/>
              </w:rPr>
              <w:t>Count</w:t>
            </w:r>
          </w:p>
        </w:tc>
        <w:tc>
          <w:tcPr>
            <w:tcW w:w="1417" w:type="dxa"/>
            <w:tcBorders>
              <w:left w:val="nil"/>
              <w:bottom w:val="nil"/>
              <w:right w:val="nil"/>
            </w:tcBorders>
            <w:vAlign w:val="center"/>
            <w:hideMark/>
          </w:tcPr>
          <w:p w14:paraId="58341807" w14:textId="77777777" w:rsidR="0018468F" w:rsidRPr="000071E2" w:rsidRDefault="0018468F" w:rsidP="0018468F">
            <w:pPr>
              <w:jc w:val="center"/>
              <w:rPr>
                <w:color w:val="000000"/>
                <w:sz w:val="20"/>
                <w:szCs w:val="20"/>
              </w:rPr>
            </w:pPr>
            <w:r w:rsidRPr="000071E2">
              <w:rPr>
                <w:color w:val="000000"/>
                <w:sz w:val="20"/>
                <w:szCs w:val="20"/>
              </w:rPr>
              <w:t>Crawled from social media and online news</w:t>
            </w:r>
          </w:p>
          <w:p w14:paraId="3E73880A" w14:textId="77777777" w:rsidR="0018468F" w:rsidRPr="000071E2" w:rsidRDefault="0018468F" w:rsidP="0018468F">
            <w:pPr>
              <w:jc w:val="center"/>
              <w:rPr>
                <w:color w:val="000000"/>
                <w:sz w:val="20"/>
                <w:szCs w:val="20"/>
              </w:rPr>
            </w:pPr>
          </w:p>
        </w:tc>
        <w:tc>
          <w:tcPr>
            <w:tcW w:w="1805" w:type="dxa"/>
            <w:tcBorders>
              <w:left w:val="nil"/>
              <w:bottom w:val="nil"/>
              <w:right w:val="nil"/>
            </w:tcBorders>
            <w:vAlign w:val="center"/>
            <w:hideMark/>
          </w:tcPr>
          <w:p w14:paraId="1D4FAE42" w14:textId="77777777" w:rsidR="0018468F" w:rsidRPr="000071E2" w:rsidRDefault="0018468F" w:rsidP="0018468F">
            <w:pPr>
              <w:jc w:val="center"/>
              <w:rPr>
                <w:color w:val="000000"/>
                <w:sz w:val="20"/>
                <w:szCs w:val="20"/>
              </w:rPr>
            </w:pPr>
            <w:r w:rsidRPr="000071E2">
              <w:rPr>
                <w:color w:val="000000"/>
                <w:sz w:val="20"/>
                <w:szCs w:val="20"/>
              </w:rPr>
              <w:t>Includes both positive and negative unverified rumors</w:t>
            </w:r>
          </w:p>
          <w:p w14:paraId="7136C79D" w14:textId="77777777" w:rsidR="0018468F" w:rsidRPr="000071E2" w:rsidRDefault="0018468F" w:rsidP="0018468F">
            <w:pPr>
              <w:jc w:val="center"/>
              <w:rPr>
                <w:color w:val="000000"/>
                <w:sz w:val="20"/>
                <w:szCs w:val="20"/>
              </w:rPr>
            </w:pPr>
          </w:p>
        </w:tc>
      </w:tr>
      <w:tr w:rsidR="0018468F" w:rsidRPr="000071E2" w14:paraId="511523BE" w14:textId="77777777" w:rsidTr="00F7602A">
        <w:trPr>
          <w:trHeight w:val="20"/>
        </w:trPr>
        <w:tc>
          <w:tcPr>
            <w:tcW w:w="1339" w:type="dxa"/>
            <w:tcBorders>
              <w:top w:val="nil"/>
              <w:left w:val="nil"/>
              <w:bottom w:val="nil"/>
              <w:right w:val="nil"/>
            </w:tcBorders>
            <w:vAlign w:val="center"/>
            <w:hideMark/>
          </w:tcPr>
          <w:p w14:paraId="752956E3" w14:textId="77777777" w:rsidR="0018468F" w:rsidRPr="000071E2" w:rsidRDefault="0018468F" w:rsidP="0018468F">
            <w:pPr>
              <w:jc w:val="center"/>
              <w:rPr>
                <w:color w:val="000000"/>
                <w:sz w:val="20"/>
                <w:szCs w:val="20"/>
              </w:rPr>
            </w:pPr>
            <w:r w:rsidRPr="000071E2">
              <w:rPr>
                <w:color w:val="000000"/>
                <w:sz w:val="20"/>
                <w:szCs w:val="20"/>
              </w:rPr>
              <w:t>Number of Positive Rumors</w:t>
            </w:r>
          </w:p>
          <w:p w14:paraId="2F7DB4EA" w14:textId="77777777" w:rsidR="0018468F" w:rsidRPr="000071E2" w:rsidRDefault="0018468F" w:rsidP="0018468F">
            <w:pPr>
              <w:jc w:val="center"/>
              <w:rPr>
                <w:color w:val="000000"/>
                <w:sz w:val="20"/>
                <w:szCs w:val="20"/>
              </w:rPr>
            </w:pPr>
          </w:p>
        </w:tc>
        <w:tc>
          <w:tcPr>
            <w:tcW w:w="861" w:type="dxa"/>
            <w:tcBorders>
              <w:top w:val="nil"/>
              <w:left w:val="nil"/>
              <w:bottom w:val="nil"/>
              <w:right w:val="nil"/>
            </w:tcBorders>
            <w:vAlign w:val="center"/>
            <w:hideMark/>
          </w:tcPr>
          <w:p w14:paraId="04923B98" w14:textId="77777777" w:rsidR="0018468F" w:rsidRPr="000071E2" w:rsidRDefault="0018468F" w:rsidP="0018468F">
            <w:pPr>
              <w:jc w:val="center"/>
              <w:rPr>
                <w:color w:val="000000"/>
                <w:sz w:val="20"/>
                <w:szCs w:val="20"/>
              </w:rPr>
            </w:pPr>
            <w:proofErr w:type="spellStart"/>
            <w:r w:rsidRPr="000071E2">
              <w:rPr>
                <w:color w:val="000000"/>
                <w:sz w:val="20"/>
                <w:szCs w:val="20"/>
              </w:rPr>
              <w:t>Rpos</w:t>
            </w:r>
            <w:proofErr w:type="spellEnd"/>
          </w:p>
        </w:tc>
        <w:tc>
          <w:tcPr>
            <w:tcW w:w="1205" w:type="dxa"/>
            <w:tcBorders>
              <w:top w:val="nil"/>
              <w:left w:val="nil"/>
              <w:bottom w:val="nil"/>
              <w:right w:val="nil"/>
            </w:tcBorders>
            <w:vAlign w:val="center"/>
            <w:hideMark/>
          </w:tcPr>
          <w:p w14:paraId="7904EDBD" w14:textId="77777777" w:rsidR="0018468F" w:rsidRPr="000071E2" w:rsidRDefault="0018468F" w:rsidP="0018468F">
            <w:pPr>
              <w:jc w:val="center"/>
              <w:rPr>
                <w:color w:val="000000"/>
                <w:sz w:val="20"/>
                <w:szCs w:val="20"/>
              </w:rPr>
            </w:pPr>
            <w:r w:rsidRPr="000071E2">
              <w:rPr>
                <w:color w:val="000000"/>
                <w:sz w:val="20"/>
                <w:szCs w:val="20"/>
              </w:rPr>
              <w:t>Independent</w:t>
            </w:r>
          </w:p>
        </w:tc>
        <w:tc>
          <w:tcPr>
            <w:tcW w:w="1840" w:type="dxa"/>
            <w:tcBorders>
              <w:top w:val="nil"/>
              <w:left w:val="nil"/>
              <w:bottom w:val="nil"/>
              <w:right w:val="nil"/>
            </w:tcBorders>
            <w:vAlign w:val="center"/>
            <w:hideMark/>
          </w:tcPr>
          <w:p w14:paraId="4D215C5A" w14:textId="77777777" w:rsidR="0018468F" w:rsidRPr="000071E2" w:rsidRDefault="0018468F" w:rsidP="0018468F">
            <w:pPr>
              <w:jc w:val="center"/>
              <w:rPr>
                <w:color w:val="000000"/>
                <w:sz w:val="20"/>
                <w:szCs w:val="20"/>
              </w:rPr>
            </w:pPr>
            <w:r w:rsidRPr="000071E2">
              <w:rPr>
                <w:color w:val="000000"/>
                <w:sz w:val="20"/>
                <w:szCs w:val="20"/>
              </w:rPr>
              <w:t>Count of rumors with positive sentiment</w:t>
            </w:r>
          </w:p>
        </w:tc>
        <w:tc>
          <w:tcPr>
            <w:tcW w:w="1276" w:type="dxa"/>
            <w:tcBorders>
              <w:top w:val="nil"/>
              <w:left w:val="nil"/>
              <w:bottom w:val="nil"/>
              <w:right w:val="nil"/>
            </w:tcBorders>
            <w:vAlign w:val="center"/>
            <w:hideMark/>
          </w:tcPr>
          <w:p w14:paraId="13E0C9BB" w14:textId="77777777" w:rsidR="0018468F" w:rsidRPr="000071E2" w:rsidRDefault="0018468F" w:rsidP="0018468F">
            <w:pPr>
              <w:jc w:val="center"/>
              <w:rPr>
                <w:color w:val="000000"/>
                <w:sz w:val="20"/>
                <w:szCs w:val="20"/>
              </w:rPr>
            </w:pPr>
            <w:r w:rsidRPr="000071E2">
              <w:rPr>
                <w:color w:val="000000"/>
                <w:sz w:val="20"/>
                <w:szCs w:val="20"/>
              </w:rPr>
              <w:t>Count</w:t>
            </w:r>
          </w:p>
        </w:tc>
        <w:tc>
          <w:tcPr>
            <w:tcW w:w="1417" w:type="dxa"/>
            <w:tcBorders>
              <w:top w:val="nil"/>
              <w:left w:val="nil"/>
              <w:bottom w:val="nil"/>
              <w:right w:val="nil"/>
            </w:tcBorders>
            <w:vAlign w:val="center"/>
            <w:hideMark/>
          </w:tcPr>
          <w:p w14:paraId="31A7C707" w14:textId="77777777" w:rsidR="0018468F" w:rsidRPr="000071E2" w:rsidRDefault="0018468F" w:rsidP="0018468F">
            <w:pPr>
              <w:jc w:val="center"/>
              <w:rPr>
                <w:color w:val="000000"/>
                <w:sz w:val="20"/>
                <w:szCs w:val="20"/>
              </w:rPr>
            </w:pPr>
            <w:r w:rsidRPr="000071E2">
              <w:rPr>
                <w:color w:val="000000"/>
                <w:sz w:val="20"/>
                <w:szCs w:val="20"/>
              </w:rPr>
              <w:t>Crawled from social media and online news</w:t>
            </w:r>
          </w:p>
        </w:tc>
        <w:tc>
          <w:tcPr>
            <w:tcW w:w="1805" w:type="dxa"/>
            <w:tcBorders>
              <w:top w:val="nil"/>
              <w:left w:val="nil"/>
              <w:bottom w:val="nil"/>
              <w:right w:val="nil"/>
            </w:tcBorders>
            <w:vAlign w:val="center"/>
            <w:hideMark/>
          </w:tcPr>
          <w:p w14:paraId="0C8B24F3" w14:textId="77777777" w:rsidR="0018468F" w:rsidRPr="000071E2" w:rsidRDefault="0018468F" w:rsidP="0018468F">
            <w:pPr>
              <w:jc w:val="center"/>
              <w:rPr>
                <w:color w:val="000000"/>
                <w:sz w:val="20"/>
                <w:szCs w:val="20"/>
              </w:rPr>
            </w:pPr>
            <w:r w:rsidRPr="000071E2">
              <w:rPr>
                <w:color w:val="000000"/>
                <w:sz w:val="20"/>
                <w:szCs w:val="20"/>
              </w:rPr>
              <w:t>Classified using AI-based sentiment analysis</w:t>
            </w:r>
          </w:p>
        </w:tc>
      </w:tr>
      <w:tr w:rsidR="0018468F" w:rsidRPr="000071E2" w14:paraId="343AC1ED" w14:textId="77777777" w:rsidTr="00F7602A">
        <w:trPr>
          <w:trHeight w:val="20"/>
        </w:trPr>
        <w:tc>
          <w:tcPr>
            <w:tcW w:w="1339" w:type="dxa"/>
            <w:tcBorders>
              <w:top w:val="nil"/>
              <w:left w:val="nil"/>
              <w:bottom w:val="nil"/>
              <w:right w:val="nil"/>
            </w:tcBorders>
            <w:vAlign w:val="center"/>
            <w:hideMark/>
          </w:tcPr>
          <w:p w14:paraId="2135B256" w14:textId="77777777" w:rsidR="0018468F" w:rsidRPr="000071E2" w:rsidRDefault="0018468F" w:rsidP="0018468F">
            <w:pPr>
              <w:jc w:val="center"/>
              <w:rPr>
                <w:color w:val="000000"/>
                <w:sz w:val="20"/>
                <w:szCs w:val="20"/>
              </w:rPr>
            </w:pPr>
            <w:r w:rsidRPr="000071E2">
              <w:rPr>
                <w:color w:val="000000"/>
                <w:sz w:val="20"/>
                <w:szCs w:val="20"/>
              </w:rPr>
              <w:t>Number of Negative Rumors</w:t>
            </w:r>
          </w:p>
          <w:p w14:paraId="330902F8" w14:textId="77777777" w:rsidR="0018468F" w:rsidRPr="000071E2" w:rsidRDefault="0018468F" w:rsidP="0018468F">
            <w:pPr>
              <w:jc w:val="center"/>
              <w:rPr>
                <w:color w:val="000000"/>
                <w:sz w:val="20"/>
                <w:szCs w:val="20"/>
              </w:rPr>
            </w:pPr>
          </w:p>
        </w:tc>
        <w:tc>
          <w:tcPr>
            <w:tcW w:w="861" w:type="dxa"/>
            <w:tcBorders>
              <w:top w:val="nil"/>
              <w:left w:val="nil"/>
              <w:bottom w:val="nil"/>
              <w:right w:val="nil"/>
            </w:tcBorders>
            <w:vAlign w:val="center"/>
            <w:hideMark/>
          </w:tcPr>
          <w:p w14:paraId="7BC3C0DA" w14:textId="77777777" w:rsidR="0018468F" w:rsidRPr="000071E2" w:rsidRDefault="0018468F" w:rsidP="0018468F">
            <w:pPr>
              <w:jc w:val="center"/>
              <w:rPr>
                <w:color w:val="000000"/>
                <w:sz w:val="20"/>
                <w:szCs w:val="20"/>
              </w:rPr>
            </w:pPr>
            <w:proofErr w:type="spellStart"/>
            <w:r w:rsidRPr="000071E2">
              <w:rPr>
                <w:color w:val="000000"/>
                <w:sz w:val="20"/>
                <w:szCs w:val="20"/>
              </w:rPr>
              <w:t>Rneg</w:t>
            </w:r>
            <w:proofErr w:type="spellEnd"/>
          </w:p>
        </w:tc>
        <w:tc>
          <w:tcPr>
            <w:tcW w:w="1205" w:type="dxa"/>
            <w:tcBorders>
              <w:top w:val="nil"/>
              <w:left w:val="nil"/>
              <w:bottom w:val="nil"/>
              <w:right w:val="nil"/>
            </w:tcBorders>
            <w:vAlign w:val="center"/>
            <w:hideMark/>
          </w:tcPr>
          <w:p w14:paraId="1FCA6674" w14:textId="77777777" w:rsidR="0018468F" w:rsidRPr="000071E2" w:rsidRDefault="0018468F" w:rsidP="0018468F">
            <w:pPr>
              <w:jc w:val="center"/>
              <w:rPr>
                <w:color w:val="000000"/>
                <w:sz w:val="20"/>
                <w:szCs w:val="20"/>
              </w:rPr>
            </w:pPr>
            <w:r w:rsidRPr="000071E2">
              <w:rPr>
                <w:color w:val="000000"/>
                <w:sz w:val="20"/>
                <w:szCs w:val="20"/>
              </w:rPr>
              <w:t>Independent</w:t>
            </w:r>
          </w:p>
        </w:tc>
        <w:tc>
          <w:tcPr>
            <w:tcW w:w="1840" w:type="dxa"/>
            <w:tcBorders>
              <w:top w:val="nil"/>
              <w:left w:val="nil"/>
              <w:bottom w:val="nil"/>
              <w:right w:val="nil"/>
            </w:tcBorders>
            <w:vAlign w:val="center"/>
            <w:hideMark/>
          </w:tcPr>
          <w:p w14:paraId="32C94257" w14:textId="77777777" w:rsidR="0018468F" w:rsidRPr="000071E2" w:rsidRDefault="0018468F" w:rsidP="0018468F">
            <w:pPr>
              <w:jc w:val="center"/>
              <w:rPr>
                <w:color w:val="000000"/>
                <w:sz w:val="20"/>
                <w:szCs w:val="20"/>
              </w:rPr>
            </w:pPr>
            <w:r w:rsidRPr="000071E2">
              <w:rPr>
                <w:color w:val="000000"/>
                <w:sz w:val="20"/>
                <w:szCs w:val="20"/>
              </w:rPr>
              <w:t>Count of rumors with negative sentiment</w:t>
            </w:r>
          </w:p>
        </w:tc>
        <w:tc>
          <w:tcPr>
            <w:tcW w:w="1276" w:type="dxa"/>
            <w:tcBorders>
              <w:top w:val="nil"/>
              <w:left w:val="nil"/>
              <w:bottom w:val="nil"/>
              <w:right w:val="nil"/>
            </w:tcBorders>
            <w:vAlign w:val="center"/>
            <w:hideMark/>
          </w:tcPr>
          <w:p w14:paraId="6E02C10B" w14:textId="77777777" w:rsidR="0018468F" w:rsidRPr="000071E2" w:rsidRDefault="0018468F" w:rsidP="0018468F">
            <w:pPr>
              <w:jc w:val="center"/>
              <w:rPr>
                <w:color w:val="000000"/>
                <w:sz w:val="20"/>
                <w:szCs w:val="20"/>
              </w:rPr>
            </w:pPr>
            <w:r w:rsidRPr="000071E2">
              <w:rPr>
                <w:color w:val="000000"/>
                <w:sz w:val="20"/>
                <w:szCs w:val="20"/>
              </w:rPr>
              <w:t>Count</w:t>
            </w:r>
          </w:p>
        </w:tc>
        <w:tc>
          <w:tcPr>
            <w:tcW w:w="1417" w:type="dxa"/>
            <w:tcBorders>
              <w:top w:val="nil"/>
              <w:left w:val="nil"/>
              <w:bottom w:val="nil"/>
              <w:right w:val="nil"/>
            </w:tcBorders>
            <w:vAlign w:val="center"/>
            <w:hideMark/>
          </w:tcPr>
          <w:p w14:paraId="7AB4C119" w14:textId="77777777" w:rsidR="0018468F" w:rsidRPr="000071E2" w:rsidRDefault="0018468F" w:rsidP="0018468F">
            <w:pPr>
              <w:jc w:val="center"/>
              <w:rPr>
                <w:color w:val="000000"/>
                <w:sz w:val="20"/>
                <w:szCs w:val="20"/>
              </w:rPr>
            </w:pPr>
            <w:r w:rsidRPr="000071E2">
              <w:rPr>
                <w:color w:val="000000"/>
                <w:sz w:val="20"/>
                <w:szCs w:val="20"/>
              </w:rPr>
              <w:t>Crawled from social media and online news</w:t>
            </w:r>
          </w:p>
        </w:tc>
        <w:tc>
          <w:tcPr>
            <w:tcW w:w="1805" w:type="dxa"/>
            <w:tcBorders>
              <w:top w:val="nil"/>
              <w:left w:val="nil"/>
              <w:bottom w:val="nil"/>
              <w:right w:val="nil"/>
            </w:tcBorders>
            <w:vAlign w:val="center"/>
            <w:hideMark/>
          </w:tcPr>
          <w:p w14:paraId="0360D0E6" w14:textId="77777777" w:rsidR="0018468F" w:rsidRPr="000071E2" w:rsidRDefault="0018468F" w:rsidP="0018468F">
            <w:pPr>
              <w:jc w:val="center"/>
              <w:rPr>
                <w:color w:val="000000"/>
                <w:sz w:val="20"/>
                <w:szCs w:val="20"/>
              </w:rPr>
            </w:pPr>
            <w:r w:rsidRPr="000071E2">
              <w:rPr>
                <w:color w:val="000000"/>
                <w:sz w:val="20"/>
                <w:szCs w:val="20"/>
              </w:rPr>
              <w:t>Classified using AI-based sentiment analysis</w:t>
            </w:r>
          </w:p>
        </w:tc>
      </w:tr>
      <w:tr w:rsidR="0018468F" w:rsidRPr="000071E2" w14:paraId="058673F4" w14:textId="77777777" w:rsidTr="00F7602A">
        <w:trPr>
          <w:trHeight w:val="20"/>
        </w:trPr>
        <w:tc>
          <w:tcPr>
            <w:tcW w:w="1339" w:type="dxa"/>
            <w:tcBorders>
              <w:top w:val="nil"/>
              <w:left w:val="nil"/>
              <w:bottom w:val="nil"/>
              <w:right w:val="nil"/>
            </w:tcBorders>
            <w:vAlign w:val="center"/>
            <w:hideMark/>
          </w:tcPr>
          <w:p w14:paraId="4D2E67AE" w14:textId="77777777" w:rsidR="0018468F" w:rsidRPr="000071E2" w:rsidRDefault="0018468F" w:rsidP="0018468F">
            <w:pPr>
              <w:jc w:val="center"/>
              <w:rPr>
                <w:color w:val="000000"/>
                <w:sz w:val="20"/>
                <w:szCs w:val="20"/>
              </w:rPr>
            </w:pPr>
            <w:r w:rsidRPr="000071E2">
              <w:rPr>
                <w:color w:val="000000"/>
                <w:sz w:val="20"/>
                <w:szCs w:val="20"/>
              </w:rPr>
              <w:t>Bank Size</w:t>
            </w:r>
          </w:p>
        </w:tc>
        <w:tc>
          <w:tcPr>
            <w:tcW w:w="861" w:type="dxa"/>
            <w:tcBorders>
              <w:top w:val="nil"/>
              <w:left w:val="nil"/>
              <w:bottom w:val="nil"/>
              <w:right w:val="nil"/>
            </w:tcBorders>
            <w:vAlign w:val="center"/>
            <w:hideMark/>
          </w:tcPr>
          <w:p w14:paraId="084C5C1A" w14:textId="77777777" w:rsidR="0018468F" w:rsidRPr="000071E2" w:rsidRDefault="0018468F" w:rsidP="0018468F">
            <w:pPr>
              <w:jc w:val="center"/>
              <w:rPr>
                <w:color w:val="000000"/>
                <w:sz w:val="20"/>
                <w:szCs w:val="20"/>
              </w:rPr>
            </w:pPr>
            <w:r w:rsidRPr="000071E2">
              <w:rPr>
                <w:color w:val="000000"/>
                <w:sz w:val="20"/>
                <w:szCs w:val="20"/>
              </w:rPr>
              <w:t>Size</w:t>
            </w:r>
          </w:p>
        </w:tc>
        <w:tc>
          <w:tcPr>
            <w:tcW w:w="1205" w:type="dxa"/>
            <w:tcBorders>
              <w:top w:val="nil"/>
              <w:left w:val="nil"/>
              <w:bottom w:val="nil"/>
              <w:right w:val="nil"/>
            </w:tcBorders>
            <w:vAlign w:val="center"/>
            <w:hideMark/>
          </w:tcPr>
          <w:p w14:paraId="7475F568" w14:textId="77777777" w:rsidR="0018468F" w:rsidRPr="000071E2" w:rsidRDefault="0018468F" w:rsidP="0018468F">
            <w:pPr>
              <w:jc w:val="center"/>
              <w:rPr>
                <w:color w:val="000000"/>
                <w:sz w:val="20"/>
                <w:szCs w:val="20"/>
              </w:rPr>
            </w:pPr>
            <w:r w:rsidRPr="000071E2">
              <w:rPr>
                <w:color w:val="000000"/>
                <w:sz w:val="20"/>
                <w:szCs w:val="20"/>
              </w:rPr>
              <w:t>Control</w:t>
            </w:r>
          </w:p>
        </w:tc>
        <w:tc>
          <w:tcPr>
            <w:tcW w:w="1840" w:type="dxa"/>
            <w:tcBorders>
              <w:top w:val="nil"/>
              <w:left w:val="nil"/>
              <w:bottom w:val="nil"/>
              <w:right w:val="nil"/>
            </w:tcBorders>
            <w:vAlign w:val="center"/>
            <w:hideMark/>
          </w:tcPr>
          <w:p w14:paraId="6C549E2D" w14:textId="77777777" w:rsidR="0018468F" w:rsidRPr="000071E2" w:rsidRDefault="0018468F" w:rsidP="0018468F">
            <w:pPr>
              <w:jc w:val="center"/>
              <w:rPr>
                <w:color w:val="000000"/>
                <w:sz w:val="20"/>
                <w:szCs w:val="20"/>
              </w:rPr>
            </w:pPr>
            <w:r w:rsidRPr="000071E2">
              <w:rPr>
                <w:color w:val="000000"/>
                <w:sz w:val="20"/>
                <w:szCs w:val="20"/>
              </w:rPr>
              <w:t>Log of total assets</w:t>
            </w:r>
          </w:p>
        </w:tc>
        <w:tc>
          <w:tcPr>
            <w:tcW w:w="1276" w:type="dxa"/>
            <w:tcBorders>
              <w:top w:val="nil"/>
              <w:left w:val="nil"/>
              <w:bottom w:val="nil"/>
              <w:right w:val="nil"/>
            </w:tcBorders>
            <w:vAlign w:val="center"/>
            <w:hideMark/>
          </w:tcPr>
          <w:p w14:paraId="054506E2" w14:textId="77777777" w:rsidR="0018468F" w:rsidRPr="000071E2" w:rsidRDefault="0018468F" w:rsidP="0018468F">
            <w:pPr>
              <w:jc w:val="center"/>
              <w:rPr>
                <w:color w:val="000000"/>
                <w:sz w:val="20"/>
                <w:szCs w:val="20"/>
              </w:rPr>
            </w:pPr>
            <w:r w:rsidRPr="000071E2">
              <w:rPr>
                <w:color w:val="000000"/>
                <w:sz w:val="20"/>
                <w:szCs w:val="20"/>
              </w:rPr>
              <w:t>Logarithmic scale</w:t>
            </w:r>
          </w:p>
        </w:tc>
        <w:tc>
          <w:tcPr>
            <w:tcW w:w="1417" w:type="dxa"/>
            <w:tcBorders>
              <w:top w:val="nil"/>
              <w:left w:val="nil"/>
              <w:bottom w:val="nil"/>
              <w:right w:val="nil"/>
            </w:tcBorders>
            <w:vAlign w:val="center"/>
            <w:hideMark/>
          </w:tcPr>
          <w:p w14:paraId="4425BA2F" w14:textId="77777777" w:rsidR="0018468F" w:rsidRPr="000071E2" w:rsidRDefault="0018468F" w:rsidP="0018468F">
            <w:pPr>
              <w:jc w:val="center"/>
              <w:rPr>
                <w:color w:val="000000"/>
                <w:sz w:val="20"/>
                <w:szCs w:val="20"/>
              </w:rPr>
            </w:pPr>
            <w:r w:rsidRPr="000071E2">
              <w:rPr>
                <w:color w:val="000000"/>
                <w:sz w:val="20"/>
                <w:szCs w:val="20"/>
              </w:rPr>
              <w:t>Bank financial statements</w:t>
            </w:r>
          </w:p>
        </w:tc>
        <w:tc>
          <w:tcPr>
            <w:tcW w:w="1805" w:type="dxa"/>
            <w:tcBorders>
              <w:top w:val="nil"/>
              <w:left w:val="nil"/>
              <w:bottom w:val="nil"/>
              <w:right w:val="nil"/>
            </w:tcBorders>
            <w:vAlign w:val="center"/>
            <w:hideMark/>
          </w:tcPr>
          <w:p w14:paraId="76646BBF" w14:textId="77777777" w:rsidR="0018468F" w:rsidRPr="000071E2" w:rsidRDefault="0018468F" w:rsidP="0018468F">
            <w:pPr>
              <w:jc w:val="center"/>
              <w:rPr>
                <w:color w:val="000000"/>
                <w:sz w:val="20"/>
                <w:szCs w:val="20"/>
              </w:rPr>
            </w:pPr>
            <w:r w:rsidRPr="000071E2">
              <w:rPr>
                <w:color w:val="000000"/>
                <w:sz w:val="20"/>
                <w:szCs w:val="20"/>
              </w:rPr>
              <w:t>Controls for differences in bank size</w:t>
            </w:r>
          </w:p>
        </w:tc>
      </w:tr>
      <w:tr w:rsidR="0018468F" w:rsidRPr="000071E2" w14:paraId="7576FF05" w14:textId="77777777" w:rsidTr="00F7602A">
        <w:trPr>
          <w:trHeight w:val="20"/>
        </w:trPr>
        <w:tc>
          <w:tcPr>
            <w:tcW w:w="1339" w:type="dxa"/>
            <w:tcBorders>
              <w:top w:val="nil"/>
              <w:left w:val="nil"/>
              <w:bottom w:val="nil"/>
              <w:right w:val="nil"/>
            </w:tcBorders>
            <w:vAlign w:val="center"/>
            <w:hideMark/>
          </w:tcPr>
          <w:p w14:paraId="121B0AF8" w14:textId="77777777" w:rsidR="0018468F" w:rsidRPr="000071E2" w:rsidRDefault="0018468F" w:rsidP="0018468F">
            <w:pPr>
              <w:jc w:val="center"/>
              <w:rPr>
                <w:color w:val="000000"/>
                <w:sz w:val="20"/>
                <w:szCs w:val="20"/>
              </w:rPr>
            </w:pPr>
            <w:r w:rsidRPr="000071E2">
              <w:rPr>
                <w:color w:val="000000"/>
                <w:sz w:val="20"/>
                <w:szCs w:val="20"/>
              </w:rPr>
              <w:t>Leverage</w:t>
            </w:r>
          </w:p>
        </w:tc>
        <w:tc>
          <w:tcPr>
            <w:tcW w:w="861" w:type="dxa"/>
            <w:tcBorders>
              <w:top w:val="nil"/>
              <w:left w:val="nil"/>
              <w:bottom w:val="nil"/>
              <w:right w:val="nil"/>
            </w:tcBorders>
            <w:vAlign w:val="center"/>
            <w:hideMark/>
          </w:tcPr>
          <w:p w14:paraId="32808FD4" w14:textId="77777777" w:rsidR="0018468F" w:rsidRPr="000071E2" w:rsidRDefault="0018468F" w:rsidP="0018468F">
            <w:pPr>
              <w:jc w:val="center"/>
              <w:rPr>
                <w:color w:val="000000"/>
                <w:sz w:val="20"/>
                <w:szCs w:val="20"/>
              </w:rPr>
            </w:pPr>
            <w:r w:rsidRPr="000071E2">
              <w:rPr>
                <w:color w:val="000000"/>
                <w:sz w:val="20"/>
                <w:szCs w:val="20"/>
              </w:rPr>
              <w:t>Lev</w:t>
            </w:r>
          </w:p>
        </w:tc>
        <w:tc>
          <w:tcPr>
            <w:tcW w:w="1205" w:type="dxa"/>
            <w:tcBorders>
              <w:top w:val="nil"/>
              <w:left w:val="nil"/>
              <w:bottom w:val="nil"/>
              <w:right w:val="nil"/>
            </w:tcBorders>
            <w:vAlign w:val="center"/>
            <w:hideMark/>
          </w:tcPr>
          <w:p w14:paraId="091A99A7" w14:textId="77777777" w:rsidR="0018468F" w:rsidRPr="000071E2" w:rsidRDefault="0018468F" w:rsidP="0018468F">
            <w:pPr>
              <w:jc w:val="center"/>
              <w:rPr>
                <w:color w:val="000000"/>
                <w:sz w:val="20"/>
                <w:szCs w:val="20"/>
              </w:rPr>
            </w:pPr>
            <w:r w:rsidRPr="000071E2">
              <w:rPr>
                <w:color w:val="000000"/>
                <w:sz w:val="20"/>
                <w:szCs w:val="20"/>
              </w:rPr>
              <w:t>Control</w:t>
            </w:r>
          </w:p>
        </w:tc>
        <w:tc>
          <w:tcPr>
            <w:tcW w:w="1840" w:type="dxa"/>
            <w:tcBorders>
              <w:top w:val="nil"/>
              <w:left w:val="nil"/>
              <w:bottom w:val="nil"/>
              <w:right w:val="nil"/>
            </w:tcBorders>
            <w:vAlign w:val="center"/>
            <w:hideMark/>
          </w:tcPr>
          <w:p w14:paraId="5C8542C7" w14:textId="77777777" w:rsidR="0018468F" w:rsidRPr="000071E2" w:rsidRDefault="0018468F" w:rsidP="0018468F">
            <w:pPr>
              <w:jc w:val="center"/>
              <w:rPr>
                <w:color w:val="000000"/>
                <w:sz w:val="20"/>
                <w:szCs w:val="20"/>
              </w:rPr>
            </w:pPr>
            <w:r w:rsidRPr="000071E2">
              <w:rPr>
                <w:color w:val="000000"/>
                <w:sz w:val="20"/>
                <w:szCs w:val="20"/>
              </w:rPr>
              <w:t>Total debt / Total assets</w:t>
            </w:r>
          </w:p>
        </w:tc>
        <w:tc>
          <w:tcPr>
            <w:tcW w:w="1276" w:type="dxa"/>
            <w:tcBorders>
              <w:top w:val="nil"/>
              <w:left w:val="nil"/>
              <w:bottom w:val="nil"/>
              <w:right w:val="nil"/>
            </w:tcBorders>
            <w:vAlign w:val="center"/>
            <w:hideMark/>
          </w:tcPr>
          <w:p w14:paraId="7F5FC573" w14:textId="77777777" w:rsidR="0018468F" w:rsidRPr="000071E2" w:rsidRDefault="0018468F" w:rsidP="0018468F">
            <w:pPr>
              <w:jc w:val="center"/>
              <w:rPr>
                <w:color w:val="000000"/>
                <w:sz w:val="20"/>
                <w:szCs w:val="20"/>
              </w:rPr>
            </w:pPr>
            <w:r w:rsidRPr="000071E2">
              <w:rPr>
                <w:color w:val="000000"/>
                <w:sz w:val="20"/>
                <w:szCs w:val="20"/>
              </w:rPr>
              <w:t>Ratio</w:t>
            </w:r>
          </w:p>
        </w:tc>
        <w:tc>
          <w:tcPr>
            <w:tcW w:w="1417" w:type="dxa"/>
            <w:tcBorders>
              <w:top w:val="nil"/>
              <w:left w:val="nil"/>
              <w:bottom w:val="nil"/>
              <w:right w:val="nil"/>
            </w:tcBorders>
            <w:vAlign w:val="center"/>
            <w:hideMark/>
          </w:tcPr>
          <w:p w14:paraId="1826C1F8" w14:textId="77777777" w:rsidR="0018468F" w:rsidRPr="000071E2" w:rsidRDefault="0018468F" w:rsidP="0018468F">
            <w:pPr>
              <w:jc w:val="center"/>
              <w:rPr>
                <w:color w:val="000000"/>
                <w:sz w:val="20"/>
                <w:szCs w:val="20"/>
              </w:rPr>
            </w:pPr>
            <w:r w:rsidRPr="000071E2">
              <w:rPr>
                <w:color w:val="000000"/>
                <w:sz w:val="20"/>
                <w:szCs w:val="20"/>
              </w:rPr>
              <w:t>Bank financial statements</w:t>
            </w:r>
          </w:p>
        </w:tc>
        <w:tc>
          <w:tcPr>
            <w:tcW w:w="1805" w:type="dxa"/>
            <w:tcBorders>
              <w:top w:val="nil"/>
              <w:left w:val="nil"/>
              <w:bottom w:val="nil"/>
              <w:right w:val="nil"/>
            </w:tcBorders>
            <w:vAlign w:val="center"/>
            <w:hideMark/>
          </w:tcPr>
          <w:p w14:paraId="21EBFDDE" w14:textId="77777777" w:rsidR="0018468F" w:rsidRPr="000071E2" w:rsidRDefault="0018468F" w:rsidP="0018468F">
            <w:pPr>
              <w:jc w:val="center"/>
              <w:rPr>
                <w:color w:val="000000"/>
                <w:sz w:val="20"/>
                <w:szCs w:val="20"/>
              </w:rPr>
            </w:pPr>
            <w:r w:rsidRPr="000071E2">
              <w:rPr>
                <w:color w:val="000000"/>
                <w:sz w:val="20"/>
                <w:szCs w:val="20"/>
              </w:rPr>
              <w:t>Reflects financial risk level</w:t>
            </w:r>
          </w:p>
        </w:tc>
      </w:tr>
      <w:tr w:rsidR="0018468F" w:rsidRPr="000071E2" w14:paraId="7C2685F1" w14:textId="77777777" w:rsidTr="00F7602A">
        <w:trPr>
          <w:trHeight w:val="20"/>
        </w:trPr>
        <w:tc>
          <w:tcPr>
            <w:tcW w:w="1339" w:type="dxa"/>
            <w:tcBorders>
              <w:top w:val="nil"/>
              <w:left w:val="nil"/>
              <w:bottom w:val="nil"/>
              <w:right w:val="nil"/>
            </w:tcBorders>
            <w:vAlign w:val="center"/>
            <w:hideMark/>
          </w:tcPr>
          <w:p w14:paraId="712246B1" w14:textId="77777777" w:rsidR="0018468F" w:rsidRPr="000071E2" w:rsidRDefault="0018468F" w:rsidP="0018468F">
            <w:pPr>
              <w:jc w:val="center"/>
              <w:rPr>
                <w:color w:val="000000"/>
                <w:sz w:val="20"/>
                <w:szCs w:val="20"/>
              </w:rPr>
            </w:pPr>
            <w:r w:rsidRPr="000071E2">
              <w:rPr>
                <w:color w:val="000000"/>
                <w:sz w:val="20"/>
                <w:szCs w:val="20"/>
              </w:rPr>
              <w:t>Return on Assets</w:t>
            </w:r>
          </w:p>
        </w:tc>
        <w:tc>
          <w:tcPr>
            <w:tcW w:w="861" w:type="dxa"/>
            <w:tcBorders>
              <w:top w:val="nil"/>
              <w:left w:val="nil"/>
              <w:bottom w:val="nil"/>
              <w:right w:val="nil"/>
            </w:tcBorders>
            <w:vAlign w:val="center"/>
            <w:hideMark/>
          </w:tcPr>
          <w:p w14:paraId="4AFEF973" w14:textId="77777777" w:rsidR="0018468F" w:rsidRPr="000071E2" w:rsidRDefault="0018468F" w:rsidP="0018468F">
            <w:pPr>
              <w:jc w:val="center"/>
              <w:rPr>
                <w:color w:val="000000"/>
                <w:sz w:val="20"/>
                <w:szCs w:val="20"/>
              </w:rPr>
            </w:pPr>
            <w:r w:rsidRPr="000071E2">
              <w:rPr>
                <w:color w:val="000000"/>
                <w:sz w:val="20"/>
                <w:szCs w:val="20"/>
              </w:rPr>
              <w:t>ROA</w:t>
            </w:r>
          </w:p>
        </w:tc>
        <w:tc>
          <w:tcPr>
            <w:tcW w:w="1205" w:type="dxa"/>
            <w:tcBorders>
              <w:top w:val="nil"/>
              <w:left w:val="nil"/>
              <w:bottom w:val="nil"/>
              <w:right w:val="nil"/>
            </w:tcBorders>
            <w:vAlign w:val="center"/>
            <w:hideMark/>
          </w:tcPr>
          <w:p w14:paraId="32B48213" w14:textId="77777777" w:rsidR="0018468F" w:rsidRPr="000071E2" w:rsidRDefault="0018468F" w:rsidP="0018468F">
            <w:pPr>
              <w:jc w:val="center"/>
              <w:rPr>
                <w:color w:val="000000"/>
                <w:sz w:val="20"/>
                <w:szCs w:val="20"/>
              </w:rPr>
            </w:pPr>
            <w:r w:rsidRPr="000071E2">
              <w:rPr>
                <w:color w:val="000000"/>
                <w:sz w:val="20"/>
                <w:szCs w:val="20"/>
              </w:rPr>
              <w:t>Control</w:t>
            </w:r>
          </w:p>
        </w:tc>
        <w:tc>
          <w:tcPr>
            <w:tcW w:w="1840" w:type="dxa"/>
            <w:tcBorders>
              <w:top w:val="nil"/>
              <w:left w:val="nil"/>
              <w:bottom w:val="nil"/>
              <w:right w:val="nil"/>
            </w:tcBorders>
            <w:vAlign w:val="center"/>
            <w:hideMark/>
          </w:tcPr>
          <w:p w14:paraId="51EEEFD0" w14:textId="77777777" w:rsidR="0018468F" w:rsidRPr="000071E2" w:rsidRDefault="0018468F" w:rsidP="0018468F">
            <w:pPr>
              <w:jc w:val="center"/>
              <w:rPr>
                <w:color w:val="000000"/>
                <w:sz w:val="20"/>
                <w:szCs w:val="20"/>
              </w:rPr>
            </w:pPr>
            <w:r w:rsidRPr="000071E2">
              <w:rPr>
                <w:color w:val="000000"/>
                <w:sz w:val="20"/>
                <w:szCs w:val="20"/>
              </w:rPr>
              <w:t>Net income / Total assets</w:t>
            </w:r>
          </w:p>
        </w:tc>
        <w:tc>
          <w:tcPr>
            <w:tcW w:w="1276" w:type="dxa"/>
            <w:tcBorders>
              <w:top w:val="nil"/>
              <w:left w:val="nil"/>
              <w:bottom w:val="nil"/>
              <w:right w:val="nil"/>
            </w:tcBorders>
            <w:vAlign w:val="center"/>
            <w:hideMark/>
          </w:tcPr>
          <w:p w14:paraId="5672E164" w14:textId="77777777" w:rsidR="0018468F" w:rsidRPr="000071E2" w:rsidRDefault="0018468F" w:rsidP="0018468F">
            <w:pPr>
              <w:jc w:val="center"/>
              <w:rPr>
                <w:color w:val="000000"/>
                <w:sz w:val="20"/>
                <w:szCs w:val="20"/>
              </w:rPr>
            </w:pPr>
            <w:r w:rsidRPr="000071E2">
              <w:rPr>
                <w:color w:val="000000"/>
                <w:sz w:val="20"/>
                <w:szCs w:val="20"/>
              </w:rPr>
              <w:t>Ratio</w:t>
            </w:r>
          </w:p>
        </w:tc>
        <w:tc>
          <w:tcPr>
            <w:tcW w:w="1417" w:type="dxa"/>
            <w:tcBorders>
              <w:top w:val="nil"/>
              <w:left w:val="nil"/>
              <w:bottom w:val="nil"/>
              <w:right w:val="nil"/>
            </w:tcBorders>
            <w:vAlign w:val="center"/>
            <w:hideMark/>
          </w:tcPr>
          <w:p w14:paraId="103DA993" w14:textId="77777777" w:rsidR="0018468F" w:rsidRPr="000071E2" w:rsidRDefault="0018468F" w:rsidP="0018468F">
            <w:pPr>
              <w:jc w:val="center"/>
              <w:rPr>
                <w:color w:val="000000"/>
                <w:sz w:val="20"/>
                <w:szCs w:val="20"/>
              </w:rPr>
            </w:pPr>
            <w:r w:rsidRPr="000071E2">
              <w:rPr>
                <w:color w:val="000000"/>
                <w:sz w:val="20"/>
                <w:szCs w:val="20"/>
              </w:rPr>
              <w:t>Bank financial statements</w:t>
            </w:r>
          </w:p>
        </w:tc>
        <w:tc>
          <w:tcPr>
            <w:tcW w:w="1805" w:type="dxa"/>
            <w:tcBorders>
              <w:top w:val="nil"/>
              <w:left w:val="nil"/>
              <w:bottom w:val="nil"/>
              <w:right w:val="nil"/>
            </w:tcBorders>
            <w:vAlign w:val="center"/>
            <w:hideMark/>
          </w:tcPr>
          <w:p w14:paraId="289F23A0" w14:textId="77777777" w:rsidR="0018468F" w:rsidRPr="000071E2" w:rsidRDefault="0018468F" w:rsidP="0018468F">
            <w:pPr>
              <w:jc w:val="center"/>
              <w:rPr>
                <w:color w:val="000000"/>
                <w:sz w:val="20"/>
                <w:szCs w:val="20"/>
              </w:rPr>
            </w:pPr>
            <w:r w:rsidRPr="000071E2">
              <w:rPr>
                <w:color w:val="000000"/>
                <w:sz w:val="20"/>
                <w:szCs w:val="20"/>
              </w:rPr>
              <w:t>Measures operational efficiency</w:t>
            </w:r>
          </w:p>
        </w:tc>
      </w:tr>
      <w:tr w:rsidR="0018468F" w:rsidRPr="000071E2" w14:paraId="23927073" w14:textId="77777777" w:rsidTr="004B50EE">
        <w:trPr>
          <w:trHeight w:val="20"/>
        </w:trPr>
        <w:tc>
          <w:tcPr>
            <w:tcW w:w="1339" w:type="dxa"/>
            <w:tcBorders>
              <w:top w:val="nil"/>
              <w:left w:val="nil"/>
              <w:bottom w:val="nil"/>
              <w:right w:val="nil"/>
            </w:tcBorders>
            <w:vAlign w:val="center"/>
            <w:hideMark/>
          </w:tcPr>
          <w:p w14:paraId="6CED6011" w14:textId="77777777" w:rsidR="0018468F" w:rsidRPr="000071E2" w:rsidRDefault="0018468F" w:rsidP="0018468F">
            <w:pPr>
              <w:jc w:val="center"/>
              <w:rPr>
                <w:color w:val="000000"/>
                <w:sz w:val="20"/>
                <w:szCs w:val="20"/>
              </w:rPr>
            </w:pPr>
            <w:r w:rsidRPr="000071E2">
              <w:rPr>
                <w:color w:val="000000"/>
                <w:sz w:val="20"/>
                <w:szCs w:val="20"/>
              </w:rPr>
              <w:t>Revenue Growth</w:t>
            </w:r>
          </w:p>
        </w:tc>
        <w:tc>
          <w:tcPr>
            <w:tcW w:w="861" w:type="dxa"/>
            <w:tcBorders>
              <w:top w:val="nil"/>
              <w:left w:val="nil"/>
              <w:bottom w:val="nil"/>
              <w:right w:val="nil"/>
            </w:tcBorders>
            <w:vAlign w:val="center"/>
            <w:hideMark/>
          </w:tcPr>
          <w:p w14:paraId="698B4D35" w14:textId="77777777" w:rsidR="0018468F" w:rsidRPr="000071E2" w:rsidRDefault="0018468F" w:rsidP="0018468F">
            <w:pPr>
              <w:jc w:val="center"/>
              <w:rPr>
                <w:color w:val="000000"/>
                <w:sz w:val="20"/>
                <w:szCs w:val="20"/>
              </w:rPr>
            </w:pPr>
            <w:r w:rsidRPr="000071E2">
              <w:rPr>
                <w:color w:val="000000"/>
                <w:sz w:val="20"/>
                <w:szCs w:val="20"/>
              </w:rPr>
              <w:t>Growth</w:t>
            </w:r>
          </w:p>
        </w:tc>
        <w:tc>
          <w:tcPr>
            <w:tcW w:w="1205" w:type="dxa"/>
            <w:tcBorders>
              <w:top w:val="nil"/>
              <w:left w:val="nil"/>
              <w:bottom w:val="nil"/>
              <w:right w:val="nil"/>
            </w:tcBorders>
            <w:vAlign w:val="center"/>
            <w:hideMark/>
          </w:tcPr>
          <w:p w14:paraId="201DCCC9" w14:textId="77777777" w:rsidR="0018468F" w:rsidRPr="000071E2" w:rsidRDefault="0018468F" w:rsidP="0018468F">
            <w:pPr>
              <w:jc w:val="center"/>
              <w:rPr>
                <w:color w:val="000000"/>
                <w:sz w:val="20"/>
                <w:szCs w:val="20"/>
              </w:rPr>
            </w:pPr>
            <w:r w:rsidRPr="000071E2">
              <w:rPr>
                <w:color w:val="000000"/>
                <w:sz w:val="20"/>
                <w:szCs w:val="20"/>
              </w:rPr>
              <w:t>Control</w:t>
            </w:r>
          </w:p>
        </w:tc>
        <w:tc>
          <w:tcPr>
            <w:tcW w:w="1840" w:type="dxa"/>
            <w:tcBorders>
              <w:top w:val="nil"/>
              <w:left w:val="nil"/>
              <w:bottom w:val="nil"/>
              <w:right w:val="nil"/>
            </w:tcBorders>
            <w:vAlign w:val="center"/>
            <w:hideMark/>
          </w:tcPr>
          <w:p w14:paraId="32460F64" w14:textId="0803BF34" w:rsidR="0018468F" w:rsidRPr="009E2953" w:rsidRDefault="0018468F" w:rsidP="0018468F">
            <w:pPr>
              <w:jc w:val="center"/>
              <w:rPr>
                <w:color w:val="000000"/>
                <w:sz w:val="20"/>
                <w:szCs w:val="20"/>
                <w:lang w:val="fr-FR"/>
              </w:rPr>
            </w:pPr>
            <w:r w:rsidRPr="00D628D7">
              <w:rPr>
                <w:color w:val="000000"/>
                <w:sz w:val="20"/>
                <w:szCs w:val="20"/>
                <w:lang w:val="fr-FR"/>
              </w:rPr>
              <w:t>(</w:t>
            </w:r>
            <m:oMath>
              <m:r>
                <w:rPr>
                  <w:rFonts w:ascii="Cambria Math" w:hAnsi="Cambria Math"/>
                  <w:color w:val="000000"/>
                  <w:sz w:val="20"/>
                  <w:szCs w:val="20"/>
                </w:rPr>
                <m:t>Revenu</m:t>
              </m:r>
              <m:sSub>
                <m:sSubPr>
                  <m:ctrlPr>
                    <w:rPr>
                      <w:rFonts w:ascii="Cambria Math" w:hAnsi="Cambria Math"/>
                      <w:i/>
                      <w:color w:val="000000"/>
                      <w:sz w:val="20"/>
                      <w:szCs w:val="20"/>
                      <w:lang w:val="fr-FR"/>
                    </w:rPr>
                  </m:ctrlPr>
                </m:sSubPr>
                <m:e>
                  <m:r>
                    <w:rPr>
                      <w:rFonts w:ascii="Cambria Math" w:hAnsi="Cambria Math"/>
                      <w:color w:val="000000"/>
                      <w:sz w:val="20"/>
                      <w:szCs w:val="20"/>
                    </w:rPr>
                    <m:t>e</m:t>
                  </m:r>
                  <m:ctrlPr>
                    <w:rPr>
                      <w:rFonts w:ascii="Cambria Math" w:hAnsi="Cambria Math"/>
                      <w:i/>
                      <w:color w:val="000000"/>
                      <w:sz w:val="20"/>
                      <w:szCs w:val="20"/>
                    </w:rPr>
                  </m:ctrlPr>
                </m:e>
                <m:sub>
                  <m:r>
                    <w:rPr>
                      <w:rFonts w:ascii="Cambria Math" w:hAnsi="Cambria Math"/>
                      <w:color w:val="000000"/>
                      <w:sz w:val="20"/>
                      <w:szCs w:val="20"/>
                    </w:rPr>
                    <m:t>t</m:t>
                  </m:r>
                </m:sub>
              </m:sSub>
            </m:oMath>
            <w:r w:rsidRPr="00D628D7">
              <w:rPr>
                <w:color w:val="000000"/>
                <w:sz w:val="20"/>
                <w:szCs w:val="20"/>
                <w:lang w:val="fr-FR"/>
              </w:rPr>
              <w:t xml:space="preserve"> – </w:t>
            </w:r>
            <m:oMath>
              <m:r>
                <w:rPr>
                  <w:rFonts w:ascii="Cambria Math" w:hAnsi="Cambria Math"/>
                  <w:color w:val="000000"/>
                  <w:sz w:val="20"/>
                  <w:szCs w:val="20"/>
                </w:rPr>
                <m:t>Revenu</m:t>
              </m:r>
              <m:sSub>
                <m:sSubPr>
                  <m:ctrlPr>
                    <w:rPr>
                      <w:rFonts w:ascii="Cambria Math" w:hAnsi="Cambria Math"/>
                      <w:i/>
                      <w:color w:val="000000"/>
                      <w:sz w:val="20"/>
                      <w:szCs w:val="20"/>
                      <w:lang w:val="fr-FR"/>
                    </w:rPr>
                  </m:ctrlPr>
                </m:sSubPr>
                <m:e>
                  <m:r>
                    <w:rPr>
                      <w:rFonts w:ascii="Cambria Math" w:hAnsi="Cambria Math"/>
                      <w:color w:val="000000"/>
                      <w:sz w:val="20"/>
                      <w:szCs w:val="20"/>
                      <w:lang w:val="fr-FR"/>
                    </w:rPr>
                    <m:t>e</m:t>
                  </m:r>
                </m:e>
                <m:sub>
                  <m:r>
                    <w:rPr>
                      <w:rFonts w:ascii="Cambria Math" w:hAnsi="Cambria Math"/>
                      <w:color w:val="000000"/>
                      <w:sz w:val="20"/>
                      <w:szCs w:val="20"/>
                      <w:lang w:val="fr-FR"/>
                    </w:rPr>
                    <m:t>t-1</m:t>
                  </m:r>
                </m:sub>
              </m:sSub>
            </m:oMath>
            <w:r w:rsidRPr="00D628D7">
              <w:rPr>
                <w:color w:val="000000"/>
                <w:sz w:val="20"/>
                <w:szCs w:val="20"/>
                <w:lang w:val="fr-FR"/>
              </w:rPr>
              <w:t xml:space="preserve">) / </w:t>
            </w:r>
            <m:oMath>
              <m:r>
                <w:rPr>
                  <w:rFonts w:ascii="Cambria Math" w:hAnsi="Cambria Math"/>
                  <w:color w:val="000000"/>
                  <w:sz w:val="20"/>
                  <w:szCs w:val="20"/>
                </w:rPr>
                <m:t>Revenu</m:t>
              </m:r>
              <m:sSub>
                <m:sSubPr>
                  <m:ctrlPr>
                    <w:rPr>
                      <w:rFonts w:ascii="Cambria Math" w:hAnsi="Cambria Math"/>
                      <w:i/>
                      <w:color w:val="000000"/>
                      <w:sz w:val="20"/>
                      <w:szCs w:val="20"/>
                      <w:lang w:val="fr-FR"/>
                    </w:rPr>
                  </m:ctrlPr>
                </m:sSubPr>
                <m:e>
                  <m:r>
                    <w:rPr>
                      <w:rFonts w:ascii="Cambria Math" w:hAnsi="Cambria Math"/>
                      <w:color w:val="000000"/>
                      <w:sz w:val="20"/>
                      <w:szCs w:val="20"/>
                      <w:lang w:val="fr-FR"/>
                    </w:rPr>
                    <m:t>e</m:t>
                  </m:r>
                </m:e>
                <m:sub>
                  <m:r>
                    <w:rPr>
                      <w:rFonts w:ascii="Cambria Math" w:hAnsi="Cambria Math"/>
                      <w:color w:val="000000"/>
                      <w:sz w:val="20"/>
                      <w:szCs w:val="20"/>
                      <w:lang w:val="fr-FR"/>
                    </w:rPr>
                    <m:t>t-1</m:t>
                  </m:r>
                </m:sub>
              </m:sSub>
            </m:oMath>
          </w:p>
        </w:tc>
        <w:tc>
          <w:tcPr>
            <w:tcW w:w="1276" w:type="dxa"/>
            <w:tcBorders>
              <w:top w:val="nil"/>
              <w:left w:val="nil"/>
              <w:bottom w:val="nil"/>
              <w:right w:val="nil"/>
            </w:tcBorders>
            <w:vAlign w:val="center"/>
            <w:hideMark/>
          </w:tcPr>
          <w:p w14:paraId="44C93709" w14:textId="77777777" w:rsidR="0018468F" w:rsidRPr="000071E2" w:rsidRDefault="0018468F" w:rsidP="0018468F">
            <w:pPr>
              <w:jc w:val="center"/>
              <w:rPr>
                <w:color w:val="000000"/>
                <w:sz w:val="20"/>
                <w:szCs w:val="20"/>
              </w:rPr>
            </w:pPr>
            <w:r w:rsidRPr="000071E2">
              <w:rPr>
                <w:color w:val="000000"/>
                <w:sz w:val="20"/>
                <w:szCs w:val="20"/>
              </w:rPr>
              <w:t>Ratio</w:t>
            </w:r>
          </w:p>
        </w:tc>
        <w:tc>
          <w:tcPr>
            <w:tcW w:w="1417" w:type="dxa"/>
            <w:tcBorders>
              <w:top w:val="nil"/>
              <w:left w:val="nil"/>
              <w:bottom w:val="nil"/>
              <w:right w:val="nil"/>
            </w:tcBorders>
            <w:vAlign w:val="center"/>
            <w:hideMark/>
          </w:tcPr>
          <w:p w14:paraId="76512796" w14:textId="77777777" w:rsidR="0018468F" w:rsidRPr="000071E2" w:rsidRDefault="0018468F" w:rsidP="0018468F">
            <w:pPr>
              <w:jc w:val="center"/>
              <w:rPr>
                <w:color w:val="000000"/>
                <w:sz w:val="20"/>
                <w:szCs w:val="20"/>
              </w:rPr>
            </w:pPr>
            <w:r w:rsidRPr="000071E2">
              <w:rPr>
                <w:color w:val="000000"/>
                <w:sz w:val="20"/>
                <w:szCs w:val="20"/>
              </w:rPr>
              <w:t>Bank financial statements</w:t>
            </w:r>
          </w:p>
        </w:tc>
        <w:tc>
          <w:tcPr>
            <w:tcW w:w="1805" w:type="dxa"/>
            <w:tcBorders>
              <w:top w:val="nil"/>
              <w:left w:val="nil"/>
              <w:bottom w:val="nil"/>
              <w:right w:val="nil"/>
            </w:tcBorders>
            <w:vAlign w:val="center"/>
            <w:hideMark/>
          </w:tcPr>
          <w:p w14:paraId="2268A519" w14:textId="77777777" w:rsidR="0018468F" w:rsidRPr="000071E2" w:rsidRDefault="0018468F" w:rsidP="0018468F">
            <w:pPr>
              <w:jc w:val="center"/>
              <w:rPr>
                <w:color w:val="000000"/>
                <w:sz w:val="20"/>
                <w:szCs w:val="20"/>
              </w:rPr>
            </w:pPr>
            <w:r w:rsidRPr="000071E2">
              <w:rPr>
                <w:color w:val="000000"/>
                <w:sz w:val="20"/>
                <w:szCs w:val="20"/>
              </w:rPr>
              <w:t>Reflects the bank’s growth rate</w:t>
            </w:r>
          </w:p>
        </w:tc>
      </w:tr>
    </w:tbl>
    <w:p w14:paraId="63F6B64C" w14:textId="155DBA38" w:rsidR="43F57D31" w:rsidRPr="000071E2" w:rsidRDefault="43F57D31" w:rsidP="43F57D31">
      <w:pPr>
        <w:spacing w:before="120"/>
        <w:rPr>
          <w:sz w:val="20"/>
          <w:szCs w:val="20"/>
        </w:rPr>
      </w:pPr>
    </w:p>
    <w:p w14:paraId="57BA5054" w14:textId="77777777" w:rsidR="003D6CAC" w:rsidRPr="000071E2" w:rsidRDefault="00436226">
      <w:pPr>
        <w:pBdr>
          <w:top w:val="nil"/>
          <w:left w:val="nil"/>
          <w:bottom w:val="nil"/>
          <w:right w:val="nil"/>
          <w:between w:val="nil"/>
        </w:pBdr>
        <w:tabs>
          <w:tab w:val="left" w:pos="284"/>
          <w:tab w:val="left" w:pos="1134"/>
        </w:tabs>
        <w:spacing w:before="120"/>
        <w:rPr>
          <w:b/>
          <w:smallCaps/>
          <w:color w:val="000000"/>
          <w:sz w:val="20"/>
          <w:szCs w:val="20"/>
        </w:rPr>
      </w:pPr>
      <w:r w:rsidRPr="000071E2">
        <w:rPr>
          <w:b/>
          <w:smallCaps/>
          <w:color w:val="000000"/>
          <w:sz w:val="20"/>
          <w:szCs w:val="20"/>
        </w:rPr>
        <w:t>7. REFERENCES</w:t>
      </w:r>
    </w:p>
    <w:p w14:paraId="6C88052A" w14:textId="62EB8104" w:rsidR="001E263A" w:rsidRPr="000071E2" w:rsidRDefault="001E263A" w:rsidP="003811E5">
      <w:pPr>
        <w:spacing w:before="120"/>
        <w:jc w:val="both"/>
        <w:rPr>
          <w:sz w:val="20"/>
          <w:szCs w:val="20"/>
        </w:rPr>
      </w:pPr>
      <w:r w:rsidRPr="000071E2">
        <w:rPr>
          <w:sz w:val="20"/>
          <w:szCs w:val="20"/>
        </w:rPr>
        <w:t xml:space="preserve">Akhtar, M. S., Ekbal, A., Narayan, S., &amp; Singh, V. (2018). No, That Never Happened!! Investigating Rumors on Twitter. IEEE Intelligent Systems, 33(5), 8–15. </w:t>
      </w:r>
      <w:hyperlink r:id="rId11" w:history="1">
        <w:r w:rsidRPr="000071E2">
          <w:rPr>
            <w:rStyle w:val="Hyperlink"/>
            <w:sz w:val="20"/>
            <w:szCs w:val="20"/>
          </w:rPr>
          <w:t>https://doi.org/10.1109/mis.2018.2877279</w:t>
        </w:r>
      </w:hyperlink>
    </w:p>
    <w:p w14:paraId="5AA840AE" w14:textId="7C6D9E89" w:rsidR="001E263A" w:rsidRPr="000071E2" w:rsidRDefault="001E263A" w:rsidP="003811E5">
      <w:pPr>
        <w:spacing w:before="120"/>
        <w:jc w:val="both"/>
        <w:rPr>
          <w:sz w:val="20"/>
          <w:szCs w:val="20"/>
        </w:rPr>
      </w:pPr>
      <w:proofErr w:type="spellStart"/>
      <w:r w:rsidRPr="000071E2">
        <w:rPr>
          <w:sz w:val="20"/>
          <w:szCs w:val="20"/>
        </w:rPr>
        <w:t>Alkhodair</w:t>
      </w:r>
      <w:proofErr w:type="spellEnd"/>
      <w:r w:rsidRPr="000071E2">
        <w:rPr>
          <w:sz w:val="20"/>
          <w:szCs w:val="20"/>
        </w:rPr>
        <w:t xml:space="preserve">, S. A., Ding, S. H., Fung, B. C., &amp; Liu, J. (2019). Detecting breaking news rumors of emerging topics in social media. Information Processing &amp; Management, 57(2), 102018. </w:t>
      </w:r>
      <w:hyperlink r:id="rId12" w:history="1">
        <w:r w:rsidRPr="000071E2">
          <w:rPr>
            <w:rStyle w:val="Hyperlink"/>
            <w:sz w:val="20"/>
            <w:szCs w:val="20"/>
          </w:rPr>
          <w:t>https://doi.org/10.1016/j.ipm.2019.02.016</w:t>
        </w:r>
      </w:hyperlink>
    </w:p>
    <w:p w14:paraId="66FA0387" w14:textId="164ED382" w:rsidR="001E263A" w:rsidRPr="00D628D7" w:rsidRDefault="001E263A" w:rsidP="003811E5">
      <w:pPr>
        <w:spacing w:before="120"/>
        <w:jc w:val="both"/>
        <w:rPr>
          <w:sz w:val="20"/>
          <w:szCs w:val="20"/>
          <w:lang w:val="fr-FR"/>
        </w:rPr>
      </w:pPr>
      <w:r w:rsidRPr="000071E2">
        <w:rPr>
          <w:sz w:val="20"/>
          <w:szCs w:val="20"/>
        </w:rPr>
        <w:t xml:space="preserve">Bondielli, A., &amp; </w:t>
      </w:r>
      <w:proofErr w:type="spellStart"/>
      <w:r w:rsidRPr="000071E2">
        <w:rPr>
          <w:sz w:val="20"/>
          <w:szCs w:val="20"/>
        </w:rPr>
        <w:t>Marcelloni</w:t>
      </w:r>
      <w:proofErr w:type="spellEnd"/>
      <w:r w:rsidRPr="000071E2">
        <w:rPr>
          <w:sz w:val="20"/>
          <w:szCs w:val="20"/>
        </w:rPr>
        <w:t xml:space="preserve">, F. (2019). A survey on fake news and </w:t>
      </w:r>
      <w:proofErr w:type="spellStart"/>
      <w:r w:rsidRPr="000071E2">
        <w:rPr>
          <w:sz w:val="20"/>
          <w:szCs w:val="20"/>
        </w:rPr>
        <w:t>rumour</w:t>
      </w:r>
      <w:proofErr w:type="spellEnd"/>
      <w:r w:rsidRPr="000071E2">
        <w:rPr>
          <w:sz w:val="20"/>
          <w:szCs w:val="20"/>
        </w:rPr>
        <w:t xml:space="preserve"> detection techniques. </w:t>
      </w:r>
      <w:r w:rsidRPr="00D628D7">
        <w:rPr>
          <w:sz w:val="20"/>
          <w:szCs w:val="20"/>
          <w:lang w:val="fr-FR"/>
        </w:rPr>
        <w:t xml:space="preserve">Information Sciences, 497, 38–55. </w:t>
      </w:r>
      <w:hyperlink r:id="rId13" w:history="1">
        <w:r w:rsidRPr="00D628D7">
          <w:rPr>
            <w:rStyle w:val="Hyperlink"/>
            <w:sz w:val="20"/>
            <w:szCs w:val="20"/>
            <w:lang w:val="fr-FR"/>
          </w:rPr>
          <w:t>https://doi.org/10.1016/j.ins.2019.05.035</w:t>
        </w:r>
      </w:hyperlink>
    </w:p>
    <w:p w14:paraId="0D93ED69" w14:textId="5294A049" w:rsidR="001E263A" w:rsidRDefault="001E263A" w:rsidP="003811E5">
      <w:pPr>
        <w:spacing w:before="120"/>
        <w:jc w:val="both"/>
      </w:pPr>
      <w:proofErr w:type="spellStart"/>
      <w:r w:rsidRPr="00D628D7">
        <w:rPr>
          <w:sz w:val="20"/>
          <w:szCs w:val="20"/>
          <w:lang w:val="fr-FR"/>
        </w:rPr>
        <w:t>Buckner</w:t>
      </w:r>
      <w:proofErr w:type="spellEnd"/>
      <w:r w:rsidRPr="00D628D7">
        <w:rPr>
          <w:sz w:val="20"/>
          <w:szCs w:val="20"/>
          <w:lang w:val="fr-FR"/>
        </w:rPr>
        <w:t xml:space="preserve">, H. T. (1965). </w:t>
      </w:r>
      <w:r w:rsidRPr="000071E2">
        <w:rPr>
          <w:sz w:val="20"/>
          <w:szCs w:val="20"/>
        </w:rPr>
        <w:t xml:space="preserve">A theory of rumor transmission. Public Opinion Quarterly, 29(1), 54. </w:t>
      </w:r>
      <w:hyperlink r:id="rId14" w:history="1">
        <w:r w:rsidRPr="000071E2">
          <w:rPr>
            <w:rStyle w:val="Hyperlink"/>
            <w:sz w:val="20"/>
            <w:szCs w:val="20"/>
          </w:rPr>
          <w:t>https://doi.org/10.1086/267297</w:t>
        </w:r>
      </w:hyperlink>
    </w:p>
    <w:p w14:paraId="37E82245" w14:textId="7C968723" w:rsidR="005F20EF" w:rsidRPr="009E2953" w:rsidRDefault="005F20EF" w:rsidP="005F20EF">
      <w:pPr>
        <w:pBdr>
          <w:top w:val="nil"/>
          <w:left w:val="nil"/>
          <w:bottom w:val="nil"/>
          <w:right w:val="nil"/>
          <w:between w:val="nil"/>
        </w:pBdr>
        <w:tabs>
          <w:tab w:val="left" w:pos="284"/>
          <w:tab w:val="left" w:pos="1134"/>
        </w:tabs>
        <w:spacing w:before="120"/>
        <w:jc w:val="both"/>
        <w:rPr>
          <w:color w:val="00B050"/>
          <w:sz w:val="20"/>
          <w:szCs w:val="20"/>
        </w:rPr>
      </w:pPr>
      <w:r w:rsidRPr="00C26B7A">
        <w:rPr>
          <w:sz w:val="20"/>
          <w:szCs w:val="20"/>
          <w:lang w:val="en-GB"/>
        </w:rPr>
        <w:t xml:space="preserve">Cao, M. M., Nguyen, N.-T., &amp; Tran, T.-T. (2021). </w:t>
      </w:r>
      <w:proofErr w:type="spellStart"/>
      <w:r w:rsidRPr="00C26B7A">
        <w:rPr>
          <w:sz w:val="20"/>
          <w:szCs w:val="20"/>
          <w:lang w:val="en-GB"/>
        </w:rPr>
        <w:t>Behavioral</w:t>
      </w:r>
      <w:proofErr w:type="spellEnd"/>
      <w:r w:rsidRPr="00C26B7A">
        <w:rPr>
          <w:sz w:val="20"/>
          <w:szCs w:val="20"/>
          <w:lang w:val="en-GB"/>
        </w:rPr>
        <w:t xml:space="preserve"> factors on individual investors’ decision making and investment performance: A survey from the Vietnam stock market. Journal of Asian Finance, Economics and Business, 8(3), 845–857. </w:t>
      </w:r>
      <w:hyperlink r:id="rId15" w:history="1">
        <w:r w:rsidRPr="009E2953">
          <w:rPr>
            <w:rStyle w:val="Hyperlink"/>
            <w:sz w:val="20"/>
            <w:szCs w:val="20"/>
          </w:rPr>
          <w:t>https://doi.org/10.13106/jafeb.2021.vol8.no3.0845</w:t>
        </w:r>
      </w:hyperlink>
    </w:p>
    <w:p w14:paraId="60A37B54" w14:textId="5E4C3B31" w:rsidR="001E263A" w:rsidRPr="000071E2" w:rsidRDefault="001E263A" w:rsidP="003811E5">
      <w:pPr>
        <w:spacing w:before="120"/>
        <w:jc w:val="both"/>
        <w:rPr>
          <w:sz w:val="20"/>
          <w:szCs w:val="20"/>
        </w:rPr>
      </w:pPr>
      <w:r w:rsidRPr="009E2953">
        <w:rPr>
          <w:sz w:val="20"/>
          <w:szCs w:val="20"/>
        </w:rPr>
        <w:t xml:space="preserve">Chua, A. Y., &amp; Banerjee, S. (2018). </w:t>
      </w:r>
      <w:r w:rsidRPr="000071E2">
        <w:rPr>
          <w:sz w:val="20"/>
          <w:szCs w:val="20"/>
        </w:rPr>
        <w:t xml:space="preserve">Intentions to trust and share online health rumors: An experiment with medical professionals. Computers in Human Behavior, 87, 1–9. </w:t>
      </w:r>
      <w:hyperlink r:id="rId16" w:history="1">
        <w:r w:rsidRPr="000071E2">
          <w:rPr>
            <w:rStyle w:val="Hyperlink"/>
            <w:sz w:val="20"/>
            <w:szCs w:val="20"/>
          </w:rPr>
          <w:t>https://doi.org/10.1016/j.chb.2018.05.021</w:t>
        </w:r>
      </w:hyperlink>
    </w:p>
    <w:p w14:paraId="10DDBAD6" w14:textId="2EAF3A53" w:rsidR="001E263A" w:rsidRPr="000071E2" w:rsidRDefault="001E263A" w:rsidP="003811E5">
      <w:pPr>
        <w:spacing w:before="120"/>
        <w:jc w:val="both"/>
        <w:rPr>
          <w:sz w:val="20"/>
          <w:szCs w:val="20"/>
        </w:rPr>
      </w:pPr>
      <w:r w:rsidRPr="000071E2">
        <w:rPr>
          <w:sz w:val="20"/>
          <w:szCs w:val="20"/>
        </w:rPr>
        <w:t xml:space="preserve">Dang, T. L., Dang, M., Hoang, L., Nguyen, L., &amp; Phan, H. L. (2019). Media coverage and stock price synchronicity. International Review of Financial Analysis, 67, 101430. </w:t>
      </w:r>
      <w:hyperlink r:id="rId17" w:history="1">
        <w:r w:rsidRPr="000071E2">
          <w:rPr>
            <w:rStyle w:val="Hyperlink"/>
            <w:sz w:val="20"/>
            <w:szCs w:val="20"/>
          </w:rPr>
          <w:t>https://doi.org/10.1016/j.irfa.2019.101430</w:t>
        </w:r>
      </w:hyperlink>
    </w:p>
    <w:p w14:paraId="1A5327EB" w14:textId="4CAB14D7" w:rsidR="001E263A" w:rsidRPr="000071E2" w:rsidRDefault="001E263A" w:rsidP="003811E5">
      <w:pPr>
        <w:spacing w:before="120"/>
        <w:jc w:val="both"/>
        <w:rPr>
          <w:sz w:val="20"/>
          <w:szCs w:val="20"/>
        </w:rPr>
      </w:pPr>
      <w:r w:rsidRPr="000071E2">
        <w:rPr>
          <w:sz w:val="20"/>
          <w:szCs w:val="20"/>
        </w:rPr>
        <w:lastRenderedPageBreak/>
        <w:t xml:space="preserve">Dao, T. T. H. (2015). Testing of the effect of investor attention of stock market return and volatility: Evidence in Vietnam stock market. </w:t>
      </w:r>
      <w:hyperlink r:id="rId18" w:history="1">
        <w:r w:rsidR="00FB707C" w:rsidRPr="000071E2">
          <w:rPr>
            <w:rStyle w:val="Hyperlink"/>
            <w:sz w:val="20"/>
            <w:szCs w:val="20"/>
          </w:rPr>
          <w:t>https://osuva.uwasa.fi/items/66412ac7-30d2-45b7-80d0-71d34c4a4b65</w:t>
        </w:r>
      </w:hyperlink>
    </w:p>
    <w:p w14:paraId="032F2AE8" w14:textId="6EAAC085" w:rsidR="001E263A" w:rsidRPr="00036EEF" w:rsidRDefault="001E263A" w:rsidP="003811E5">
      <w:pPr>
        <w:spacing w:before="120"/>
        <w:jc w:val="both"/>
        <w:rPr>
          <w:sz w:val="20"/>
          <w:szCs w:val="20"/>
        </w:rPr>
      </w:pPr>
      <w:r w:rsidRPr="000071E2">
        <w:rPr>
          <w:sz w:val="20"/>
          <w:szCs w:val="20"/>
        </w:rPr>
        <w:t xml:space="preserve">DiFonzo, N., &amp; Bordia, P. (1997). Rumor and prediction: making sense (but losing dollars) in the stock market. Organizational Behavior and Human Decision Processes, 71(3), 329–353. </w:t>
      </w:r>
      <w:hyperlink r:id="rId19" w:history="1">
        <w:r w:rsidR="00FB707C" w:rsidRPr="00036EEF">
          <w:rPr>
            <w:rStyle w:val="Hyperlink"/>
            <w:sz w:val="20"/>
            <w:szCs w:val="20"/>
          </w:rPr>
          <w:t>https://doi.org/10.1006/obhd.1997.2724</w:t>
        </w:r>
      </w:hyperlink>
    </w:p>
    <w:p w14:paraId="7BC950D1" w14:textId="133CD61A" w:rsidR="001E263A" w:rsidRPr="000071E2" w:rsidRDefault="001E263A" w:rsidP="003811E5">
      <w:pPr>
        <w:spacing w:before="120"/>
        <w:jc w:val="both"/>
        <w:rPr>
          <w:sz w:val="20"/>
          <w:szCs w:val="20"/>
        </w:rPr>
      </w:pPr>
      <w:r w:rsidRPr="00036EEF">
        <w:rPr>
          <w:sz w:val="20"/>
          <w:szCs w:val="20"/>
        </w:rPr>
        <w:t xml:space="preserve">Durnev, A., Morck, R., Yeung, B., &amp; </w:t>
      </w:r>
      <w:proofErr w:type="spellStart"/>
      <w:r w:rsidRPr="00036EEF">
        <w:rPr>
          <w:sz w:val="20"/>
          <w:szCs w:val="20"/>
        </w:rPr>
        <w:t>Zarowin</w:t>
      </w:r>
      <w:proofErr w:type="spellEnd"/>
      <w:r w:rsidRPr="00036EEF">
        <w:rPr>
          <w:sz w:val="20"/>
          <w:szCs w:val="20"/>
        </w:rPr>
        <w:t xml:space="preserve">, P. (2003). </w:t>
      </w:r>
      <w:r w:rsidRPr="000071E2">
        <w:rPr>
          <w:sz w:val="20"/>
          <w:szCs w:val="20"/>
        </w:rPr>
        <w:t>Does greater Firm</w:t>
      </w:r>
      <w:r w:rsidRPr="000071E2">
        <w:rPr>
          <w:rFonts w:ascii="Cambria Math" w:hAnsi="Cambria Math" w:cs="Cambria Math"/>
          <w:sz w:val="20"/>
          <w:szCs w:val="20"/>
        </w:rPr>
        <w:t>‐</w:t>
      </w:r>
      <w:r w:rsidRPr="000071E2">
        <w:rPr>
          <w:sz w:val="20"/>
          <w:szCs w:val="20"/>
        </w:rPr>
        <w:t xml:space="preserve">Specific return variation mean more or less informed stock pricing? Journal of Accounting Research, 41(5), 797–836. </w:t>
      </w:r>
      <w:hyperlink r:id="rId20" w:history="1">
        <w:r w:rsidR="00C1032D" w:rsidRPr="000071E2">
          <w:rPr>
            <w:rStyle w:val="Hyperlink"/>
            <w:sz w:val="20"/>
            <w:szCs w:val="20"/>
          </w:rPr>
          <w:t>https://doi.org/10.1046/j.1475-679x.2003.00124.x</w:t>
        </w:r>
      </w:hyperlink>
    </w:p>
    <w:p w14:paraId="0D2CF81F" w14:textId="4A737BD0" w:rsidR="001E263A" w:rsidRPr="000071E2" w:rsidRDefault="001E263A" w:rsidP="003811E5">
      <w:pPr>
        <w:spacing w:before="120"/>
        <w:jc w:val="both"/>
        <w:rPr>
          <w:sz w:val="20"/>
          <w:szCs w:val="20"/>
          <w:lang w:val="pl-PL"/>
        </w:rPr>
      </w:pPr>
      <w:proofErr w:type="spellStart"/>
      <w:r w:rsidRPr="000071E2">
        <w:rPr>
          <w:sz w:val="20"/>
          <w:szCs w:val="20"/>
        </w:rPr>
        <w:t>Düzakın</w:t>
      </w:r>
      <w:proofErr w:type="spellEnd"/>
      <w:r w:rsidRPr="000071E2">
        <w:rPr>
          <w:sz w:val="20"/>
          <w:szCs w:val="20"/>
        </w:rPr>
        <w:t xml:space="preserve">, H., &amp; </w:t>
      </w:r>
      <w:proofErr w:type="spellStart"/>
      <w:r w:rsidRPr="000071E2">
        <w:rPr>
          <w:sz w:val="20"/>
          <w:szCs w:val="20"/>
        </w:rPr>
        <w:t>Isleem</w:t>
      </w:r>
      <w:proofErr w:type="spellEnd"/>
      <w:r w:rsidRPr="000071E2">
        <w:rPr>
          <w:sz w:val="20"/>
          <w:szCs w:val="20"/>
        </w:rPr>
        <w:t xml:space="preserve">, H. (2021). Ownership concentration, </w:t>
      </w:r>
      <w:proofErr w:type="gramStart"/>
      <w:r w:rsidRPr="000071E2">
        <w:rPr>
          <w:sz w:val="20"/>
          <w:szCs w:val="20"/>
        </w:rPr>
        <w:t>Foreign</w:t>
      </w:r>
      <w:proofErr w:type="gramEnd"/>
      <w:r w:rsidRPr="000071E2">
        <w:rPr>
          <w:sz w:val="20"/>
          <w:szCs w:val="20"/>
        </w:rPr>
        <w:t xml:space="preserve"> shareholding, Audit quality and Stock Price Synchronicity: A Critical Review of literature and Evidence from BORSA Istanbul. </w:t>
      </w:r>
      <w:r w:rsidRPr="000071E2">
        <w:rPr>
          <w:sz w:val="20"/>
          <w:szCs w:val="20"/>
          <w:lang w:val="pl-PL"/>
        </w:rPr>
        <w:t xml:space="preserve">Uluslararası Avrasya Ekonomileri Konferansı, 137–145. </w:t>
      </w:r>
      <w:hyperlink r:id="rId21" w:history="1">
        <w:r w:rsidR="00C1032D" w:rsidRPr="000071E2">
          <w:rPr>
            <w:rStyle w:val="Hyperlink"/>
            <w:sz w:val="20"/>
            <w:szCs w:val="20"/>
            <w:lang w:val="pl-PL"/>
          </w:rPr>
          <w:t>https://doi.org/10.36880/c13.02596</w:t>
        </w:r>
      </w:hyperlink>
    </w:p>
    <w:p w14:paraId="30973D47" w14:textId="77777777" w:rsidR="005F20EF" w:rsidRDefault="005F20EF" w:rsidP="003811E5">
      <w:pPr>
        <w:spacing w:before="120"/>
        <w:jc w:val="both"/>
        <w:rPr>
          <w:color w:val="0000FF"/>
          <w:sz w:val="20"/>
          <w:szCs w:val="20"/>
          <w:u w:val="single"/>
          <w:lang w:val="en-GB"/>
        </w:rPr>
      </w:pPr>
      <w:r w:rsidRPr="009E2953">
        <w:rPr>
          <w:sz w:val="20"/>
          <w:szCs w:val="20"/>
          <w:lang w:val="pl-PL"/>
        </w:rPr>
        <w:t xml:space="preserve">Fama, E. F. (1970). </w:t>
      </w:r>
      <w:r w:rsidRPr="64EDB976">
        <w:rPr>
          <w:sz w:val="20"/>
          <w:szCs w:val="20"/>
          <w:lang w:val="en-GB"/>
        </w:rPr>
        <w:t>Efficient capital markets: A review of theory and empirical work. The Journal of Finance, 25(2), 383–417.</w:t>
      </w:r>
      <w:r w:rsidRPr="64EDB976">
        <w:rPr>
          <w:color w:val="0000FF"/>
          <w:sz w:val="20"/>
          <w:szCs w:val="20"/>
          <w:u w:val="single"/>
          <w:lang w:val="en-GB"/>
        </w:rPr>
        <w:t xml:space="preserve"> https://doi.org/10.2307/2325486 </w:t>
      </w:r>
    </w:p>
    <w:p w14:paraId="1137740A" w14:textId="4296DC89" w:rsidR="001E263A" w:rsidRPr="00D628D7" w:rsidRDefault="001E263A" w:rsidP="003811E5">
      <w:pPr>
        <w:spacing w:before="120"/>
        <w:jc w:val="both"/>
        <w:rPr>
          <w:sz w:val="20"/>
          <w:szCs w:val="20"/>
          <w:lang w:val="fr-FR"/>
        </w:rPr>
      </w:pPr>
      <w:r w:rsidRPr="009E2953">
        <w:rPr>
          <w:sz w:val="20"/>
          <w:szCs w:val="20"/>
        </w:rPr>
        <w:t xml:space="preserve">Feng, H. (2004). </w:t>
      </w:r>
      <w:r w:rsidRPr="000071E2">
        <w:rPr>
          <w:sz w:val="20"/>
          <w:szCs w:val="20"/>
        </w:rPr>
        <w:t xml:space="preserve">Takeover rumors’ </w:t>
      </w:r>
      <w:proofErr w:type="gramStart"/>
      <w:r w:rsidRPr="000071E2">
        <w:rPr>
          <w:sz w:val="20"/>
          <w:szCs w:val="20"/>
        </w:rPr>
        <w:t>impact :</w:t>
      </w:r>
      <w:proofErr w:type="gramEnd"/>
      <w:r w:rsidRPr="000071E2">
        <w:rPr>
          <w:sz w:val="20"/>
          <w:szCs w:val="20"/>
        </w:rPr>
        <w:t xml:space="preserve"> evidence from the U.S. banking industry. </w:t>
      </w:r>
      <w:hyperlink r:id="rId22" w:history="1">
        <w:r w:rsidR="00C1032D" w:rsidRPr="00D628D7">
          <w:rPr>
            <w:rStyle w:val="Hyperlink"/>
            <w:sz w:val="20"/>
            <w:szCs w:val="20"/>
            <w:lang w:val="fr-FR"/>
          </w:rPr>
          <w:t>http://hdl.handle.net/10133/594</w:t>
        </w:r>
      </w:hyperlink>
    </w:p>
    <w:p w14:paraId="0AB4CD76" w14:textId="0CB45045" w:rsidR="001E263A" w:rsidRPr="00036EEF" w:rsidRDefault="001E263A" w:rsidP="003811E5">
      <w:pPr>
        <w:spacing w:before="120"/>
        <w:jc w:val="both"/>
        <w:rPr>
          <w:sz w:val="20"/>
          <w:szCs w:val="20"/>
        </w:rPr>
      </w:pPr>
      <w:r w:rsidRPr="00D628D7">
        <w:rPr>
          <w:sz w:val="20"/>
          <w:szCs w:val="20"/>
          <w:lang w:val="fr-FR"/>
        </w:rPr>
        <w:t>García-</w:t>
      </w:r>
      <w:proofErr w:type="spellStart"/>
      <w:r w:rsidRPr="00D628D7">
        <w:rPr>
          <w:sz w:val="20"/>
          <w:szCs w:val="20"/>
          <w:lang w:val="fr-FR"/>
        </w:rPr>
        <w:t>Figal</w:t>
      </w:r>
      <w:proofErr w:type="spellEnd"/>
      <w:r w:rsidRPr="00D628D7">
        <w:rPr>
          <w:sz w:val="20"/>
          <w:szCs w:val="20"/>
          <w:lang w:val="fr-FR"/>
        </w:rPr>
        <w:t>, A., Lage-</w:t>
      </w:r>
      <w:proofErr w:type="spellStart"/>
      <w:r w:rsidRPr="00D628D7">
        <w:rPr>
          <w:sz w:val="20"/>
          <w:szCs w:val="20"/>
          <w:lang w:val="fr-FR"/>
        </w:rPr>
        <w:t>Castellanos</w:t>
      </w:r>
      <w:proofErr w:type="spellEnd"/>
      <w:r w:rsidRPr="00D628D7">
        <w:rPr>
          <w:sz w:val="20"/>
          <w:szCs w:val="20"/>
          <w:lang w:val="fr-FR"/>
        </w:rPr>
        <w:t xml:space="preserve">, A., Amaro, D., &amp; Mulet, R. (2024). </w:t>
      </w:r>
      <w:r w:rsidRPr="000071E2">
        <w:rPr>
          <w:sz w:val="20"/>
          <w:szCs w:val="20"/>
        </w:rPr>
        <w:t xml:space="preserve">On the Efficiency of the Informal Currency Markets: The Case of the Cuban Peso. Computational Economics. </w:t>
      </w:r>
      <w:hyperlink r:id="rId23" w:history="1">
        <w:r w:rsidR="00C1032D" w:rsidRPr="00036EEF">
          <w:rPr>
            <w:rStyle w:val="Hyperlink"/>
            <w:sz w:val="20"/>
            <w:szCs w:val="20"/>
          </w:rPr>
          <w:t>https://doi.org/10.1007/s10614-024-10638-w</w:t>
        </w:r>
      </w:hyperlink>
    </w:p>
    <w:p w14:paraId="4EB8683C" w14:textId="0E6B4FD4" w:rsidR="001E263A" w:rsidRPr="000071E2" w:rsidRDefault="001E263A" w:rsidP="003811E5">
      <w:pPr>
        <w:spacing w:before="120"/>
        <w:jc w:val="both"/>
        <w:rPr>
          <w:sz w:val="20"/>
          <w:szCs w:val="20"/>
        </w:rPr>
      </w:pPr>
      <w:r w:rsidRPr="00036EEF">
        <w:rPr>
          <w:sz w:val="20"/>
          <w:szCs w:val="20"/>
        </w:rPr>
        <w:t xml:space="preserve">Gassen, J., Skaife, H., &amp; </w:t>
      </w:r>
      <w:proofErr w:type="spellStart"/>
      <w:r w:rsidRPr="00036EEF">
        <w:rPr>
          <w:sz w:val="20"/>
          <w:szCs w:val="20"/>
        </w:rPr>
        <w:t>Veenman</w:t>
      </w:r>
      <w:proofErr w:type="spellEnd"/>
      <w:r w:rsidRPr="00036EEF">
        <w:rPr>
          <w:sz w:val="20"/>
          <w:szCs w:val="20"/>
        </w:rPr>
        <w:t xml:space="preserve">, D. (2019). </w:t>
      </w:r>
      <w:r w:rsidRPr="000071E2">
        <w:rPr>
          <w:sz w:val="20"/>
          <w:szCs w:val="20"/>
        </w:rPr>
        <w:t xml:space="preserve">Illiquidity and the Measurement of Stock Price Synchronicity. FEN: Other International Corporate Finance (Topic). </w:t>
      </w:r>
      <w:hyperlink r:id="rId24" w:history="1">
        <w:r w:rsidR="00C1032D" w:rsidRPr="000071E2">
          <w:rPr>
            <w:rStyle w:val="Hyperlink"/>
            <w:sz w:val="20"/>
            <w:szCs w:val="20"/>
          </w:rPr>
          <w:t>https://doi.org/10.2139/ssrn.2405465</w:t>
        </w:r>
      </w:hyperlink>
    </w:p>
    <w:p w14:paraId="3B98A180" w14:textId="32303290" w:rsidR="001E263A" w:rsidRDefault="001E263A" w:rsidP="003811E5">
      <w:pPr>
        <w:spacing w:before="120"/>
        <w:jc w:val="both"/>
      </w:pPr>
      <w:r w:rsidRPr="000071E2">
        <w:rPr>
          <w:sz w:val="20"/>
          <w:szCs w:val="20"/>
        </w:rPr>
        <w:t xml:space="preserve">Gidwani, M., &amp; Rao, A. (2023). Comparative analysis of </w:t>
      </w:r>
      <w:proofErr w:type="spellStart"/>
      <w:r w:rsidRPr="000071E2">
        <w:rPr>
          <w:sz w:val="20"/>
          <w:szCs w:val="20"/>
        </w:rPr>
        <w:t>rumour</w:t>
      </w:r>
      <w:proofErr w:type="spellEnd"/>
      <w:r w:rsidRPr="000071E2">
        <w:rPr>
          <w:sz w:val="20"/>
          <w:szCs w:val="20"/>
        </w:rPr>
        <w:t xml:space="preserve"> detection on social media using different classifiers. Informatics and Automation, 22(4), 777–794. </w:t>
      </w:r>
      <w:hyperlink r:id="rId25" w:history="1">
        <w:r w:rsidR="00C1032D" w:rsidRPr="000071E2">
          <w:rPr>
            <w:rStyle w:val="Hyperlink"/>
            <w:sz w:val="20"/>
            <w:szCs w:val="20"/>
          </w:rPr>
          <w:t>https://doi.org/10.15622/ia.22.4.3</w:t>
        </w:r>
      </w:hyperlink>
    </w:p>
    <w:p w14:paraId="2458DE11" w14:textId="1ED9ACD9" w:rsidR="00A26519" w:rsidRDefault="00A26519" w:rsidP="003811E5">
      <w:pPr>
        <w:spacing w:before="120"/>
        <w:jc w:val="both"/>
        <w:rPr>
          <w:sz w:val="20"/>
          <w:szCs w:val="20"/>
        </w:rPr>
      </w:pPr>
      <w:r w:rsidRPr="00A26519">
        <w:rPr>
          <w:sz w:val="20"/>
          <w:szCs w:val="20"/>
        </w:rPr>
        <w:t xml:space="preserve">Government Electronic Newspaper – Policy and Law Development. (2024). </w:t>
      </w:r>
      <w:proofErr w:type="spellStart"/>
      <w:r>
        <w:rPr>
          <w:sz w:val="20"/>
          <w:szCs w:val="20"/>
        </w:rPr>
        <w:t>Toàn</w:t>
      </w:r>
      <w:proofErr w:type="spellEnd"/>
      <w:r>
        <w:rPr>
          <w:sz w:val="20"/>
          <w:szCs w:val="20"/>
        </w:rPr>
        <w:t xml:space="preserve"> </w:t>
      </w:r>
      <w:proofErr w:type="spellStart"/>
      <w:r>
        <w:rPr>
          <w:sz w:val="20"/>
          <w:szCs w:val="20"/>
        </w:rPr>
        <w:t>cảnh</w:t>
      </w:r>
      <w:proofErr w:type="spellEnd"/>
      <w:r>
        <w:rPr>
          <w:sz w:val="20"/>
          <w:szCs w:val="20"/>
        </w:rPr>
        <w:t xml:space="preserve"> ĐẠI ÁN VẠN THỊNH PHÁT</w:t>
      </w:r>
      <w:r w:rsidRPr="00A26519">
        <w:rPr>
          <w:sz w:val="20"/>
          <w:szCs w:val="20"/>
        </w:rPr>
        <w:t xml:space="preserve"> [Overview of </w:t>
      </w:r>
      <w:r>
        <w:rPr>
          <w:sz w:val="20"/>
          <w:szCs w:val="20"/>
        </w:rPr>
        <w:t>VAN THINH PHAT</w:t>
      </w:r>
      <w:r w:rsidRPr="00A26519">
        <w:rPr>
          <w:sz w:val="20"/>
          <w:szCs w:val="20"/>
        </w:rPr>
        <w:t xml:space="preserve"> major economic scandal]</w:t>
      </w:r>
      <w:r w:rsidR="00131A1C">
        <w:rPr>
          <w:sz w:val="20"/>
          <w:szCs w:val="20"/>
        </w:rPr>
        <w:t xml:space="preserve">. </w:t>
      </w:r>
      <w:r w:rsidR="00131A1C" w:rsidRPr="00A26519">
        <w:rPr>
          <w:sz w:val="20"/>
          <w:szCs w:val="20"/>
        </w:rPr>
        <w:t>Policy and Law Development</w:t>
      </w:r>
      <w:r w:rsidRPr="00A26519">
        <w:rPr>
          <w:sz w:val="20"/>
          <w:szCs w:val="20"/>
        </w:rPr>
        <w:t xml:space="preserve">. </w:t>
      </w:r>
      <w:hyperlink r:id="rId26" w:history="1">
        <w:r w:rsidRPr="001428B8">
          <w:rPr>
            <w:rStyle w:val="Hyperlink"/>
            <w:sz w:val="20"/>
            <w:szCs w:val="20"/>
          </w:rPr>
          <w:t>https://xaydungchinhsach.chinhphu.vn/dai-an-van-thinh-phat-truy-to-truong-my-lan-va-85-bi-can-119231215145320997.htm</w:t>
        </w:r>
      </w:hyperlink>
    </w:p>
    <w:p w14:paraId="4DB4A264" w14:textId="54F3B44D" w:rsidR="001E263A" w:rsidRPr="00036EEF" w:rsidRDefault="001E263A" w:rsidP="003811E5">
      <w:pPr>
        <w:spacing w:before="120"/>
        <w:jc w:val="both"/>
        <w:rPr>
          <w:sz w:val="20"/>
          <w:szCs w:val="20"/>
        </w:rPr>
      </w:pPr>
      <w:r w:rsidRPr="000071E2">
        <w:rPr>
          <w:sz w:val="20"/>
          <w:szCs w:val="20"/>
        </w:rPr>
        <w:t xml:space="preserve">Greve, H. (2016). When customers panic. INSEAD Knowledge. </w:t>
      </w:r>
      <w:hyperlink r:id="rId27" w:history="1">
        <w:r w:rsidR="00C1032D" w:rsidRPr="00036EEF">
          <w:rPr>
            <w:rStyle w:val="Hyperlink"/>
            <w:sz w:val="20"/>
            <w:szCs w:val="20"/>
          </w:rPr>
          <w:t>https://knowledge.insead.edu/marketing/when-customers-panic</w:t>
        </w:r>
      </w:hyperlink>
    </w:p>
    <w:p w14:paraId="546F3BA0" w14:textId="1C3FBD49" w:rsidR="001E263A" w:rsidRDefault="001E263A" w:rsidP="003811E5">
      <w:pPr>
        <w:spacing w:before="120"/>
        <w:jc w:val="both"/>
      </w:pPr>
      <w:r w:rsidRPr="00036EEF">
        <w:rPr>
          <w:sz w:val="20"/>
          <w:szCs w:val="20"/>
        </w:rPr>
        <w:t xml:space="preserve">He, Z., &amp; Manela, A. (2012). </w:t>
      </w:r>
      <w:r w:rsidRPr="000071E2">
        <w:rPr>
          <w:sz w:val="20"/>
          <w:szCs w:val="20"/>
        </w:rPr>
        <w:t xml:space="preserve">Information acquisition in Rumor-Based bank runs. SSRN Electronic Journal. </w:t>
      </w:r>
      <w:hyperlink r:id="rId28" w:history="1">
        <w:r w:rsidR="00C1032D" w:rsidRPr="00036EEF">
          <w:rPr>
            <w:rStyle w:val="Hyperlink"/>
            <w:sz w:val="20"/>
            <w:szCs w:val="20"/>
          </w:rPr>
          <w:t>https://doi.org/10.2139/ssrn.1920966</w:t>
        </w:r>
      </w:hyperlink>
    </w:p>
    <w:p w14:paraId="69024420" w14:textId="108BCCC4" w:rsidR="00A150D6" w:rsidRPr="007A4679" w:rsidRDefault="00A150D6" w:rsidP="003811E5">
      <w:pPr>
        <w:spacing w:before="120"/>
        <w:jc w:val="both"/>
        <w:rPr>
          <w:sz w:val="20"/>
          <w:szCs w:val="20"/>
        </w:rPr>
      </w:pPr>
      <w:r w:rsidRPr="007A4679">
        <w:rPr>
          <w:sz w:val="20"/>
          <w:szCs w:val="20"/>
        </w:rPr>
        <w:t xml:space="preserve">Hertzel, M. G., &amp; Li, Z. (2010). </w:t>
      </w:r>
      <w:r w:rsidRPr="00A150D6">
        <w:rPr>
          <w:sz w:val="20"/>
          <w:szCs w:val="20"/>
        </w:rPr>
        <w:t xml:space="preserve">Behavioral and Rational Explanations of Stock Price Performance around SEOs: Evidence from a Decomposition of Market-to-Book Ratios. The Journal of Financial and Quantitative Analysis, 45(4), 935–958. </w:t>
      </w:r>
      <w:hyperlink r:id="rId29" w:history="1">
        <w:r w:rsidRPr="007A4679">
          <w:rPr>
            <w:rStyle w:val="Hyperlink"/>
            <w:sz w:val="20"/>
            <w:szCs w:val="20"/>
          </w:rPr>
          <w:t>http://www.jstor.org/stable/40930460</w:t>
        </w:r>
      </w:hyperlink>
    </w:p>
    <w:p w14:paraId="5FAE998B" w14:textId="3E766125" w:rsidR="001E263A" w:rsidRPr="00036EEF" w:rsidRDefault="001E263A" w:rsidP="003811E5">
      <w:pPr>
        <w:spacing w:before="120"/>
        <w:jc w:val="both"/>
        <w:rPr>
          <w:sz w:val="20"/>
          <w:szCs w:val="20"/>
        </w:rPr>
      </w:pPr>
      <w:r w:rsidRPr="00A150D6">
        <w:rPr>
          <w:sz w:val="20"/>
          <w:szCs w:val="20"/>
          <w:lang w:val="de-DE"/>
        </w:rPr>
        <w:t xml:space="preserve">Hu, Y., Zhao, T., &amp; Zhang, L. (2019). </w:t>
      </w:r>
      <w:r w:rsidRPr="000071E2">
        <w:rPr>
          <w:sz w:val="20"/>
          <w:szCs w:val="20"/>
        </w:rPr>
        <w:t xml:space="preserve">Does Low Price Synchronicity Mean More Informativeness in Stock Prices? Empirical Evidence on Information Integration Speed in the Chinese Stock Market. Emerging Markets Finance and Trade, 55, 1014–1033. </w:t>
      </w:r>
      <w:hyperlink r:id="rId30" w:history="1">
        <w:r w:rsidR="00C1032D" w:rsidRPr="00036EEF">
          <w:rPr>
            <w:rStyle w:val="Hyperlink"/>
            <w:sz w:val="20"/>
            <w:szCs w:val="20"/>
          </w:rPr>
          <w:t>https://doi.org/10.1080/1540496X.2018.1528973</w:t>
        </w:r>
      </w:hyperlink>
    </w:p>
    <w:p w14:paraId="118988B7" w14:textId="37C3C2ED" w:rsidR="001E263A" w:rsidRPr="000071E2" w:rsidRDefault="001E263A" w:rsidP="003811E5">
      <w:pPr>
        <w:spacing w:before="120"/>
        <w:jc w:val="both"/>
        <w:rPr>
          <w:sz w:val="20"/>
          <w:szCs w:val="20"/>
        </w:rPr>
      </w:pPr>
      <w:r w:rsidRPr="00036EEF">
        <w:rPr>
          <w:sz w:val="20"/>
          <w:szCs w:val="20"/>
        </w:rPr>
        <w:t xml:space="preserve">Jia, M., Ruan, H., &amp; Zhang, Z. (2016). </w:t>
      </w:r>
      <w:r w:rsidRPr="000071E2">
        <w:rPr>
          <w:sz w:val="20"/>
          <w:szCs w:val="20"/>
        </w:rPr>
        <w:t xml:space="preserve">How rumors fly. Journal of Business Research, 72, 33–45. </w:t>
      </w:r>
      <w:hyperlink r:id="rId31" w:history="1">
        <w:r w:rsidR="00C1032D" w:rsidRPr="000071E2">
          <w:rPr>
            <w:rStyle w:val="Hyperlink"/>
            <w:sz w:val="20"/>
            <w:szCs w:val="20"/>
          </w:rPr>
          <w:t>https://doi.org/10.1016/j.jbusres.2016.11.010</w:t>
        </w:r>
      </w:hyperlink>
    </w:p>
    <w:p w14:paraId="644E82DC" w14:textId="559F00DD" w:rsidR="001E263A" w:rsidRPr="000071E2" w:rsidRDefault="001E263A" w:rsidP="003811E5">
      <w:pPr>
        <w:spacing w:before="120"/>
        <w:jc w:val="both"/>
        <w:rPr>
          <w:sz w:val="20"/>
          <w:szCs w:val="20"/>
        </w:rPr>
      </w:pPr>
      <w:r w:rsidRPr="000071E2">
        <w:rPr>
          <w:sz w:val="20"/>
          <w:szCs w:val="20"/>
        </w:rPr>
        <w:t xml:space="preserve">Kimmel, A. J. (2004). Rumors and the financial marketplace. Journal of Behavioral Finance, 5(3), 134–141. </w:t>
      </w:r>
      <w:hyperlink r:id="rId32" w:history="1">
        <w:r w:rsidR="00C1032D" w:rsidRPr="000071E2">
          <w:rPr>
            <w:rStyle w:val="Hyperlink"/>
            <w:sz w:val="20"/>
            <w:szCs w:val="20"/>
          </w:rPr>
          <w:t>https://doi.org/10.1207/s15427579jpfm0503_1</w:t>
        </w:r>
      </w:hyperlink>
    </w:p>
    <w:p w14:paraId="7FF40CAB" w14:textId="1B003179" w:rsidR="001E263A" w:rsidRPr="00036EEF" w:rsidRDefault="001E263A" w:rsidP="003811E5">
      <w:pPr>
        <w:spacing w:before="120"/>
        <w:jc w:val="both"/>
        <w:rPr>
          <w:sz w:val="20"/>
          <w:szCs w:val="20"/>
        </w:rPr>
      </w:pPr>
      <w:proofErr w:type="spellStart"/>
      <w:r w:rsidRPr="000071E2">
        <w:rPr>
          <w:sz w:val="20"/>
          <w:szCs w:val="20"/>
        </w:rPr>
        <w:t>Kiymaz</w:t>
      </w:r>
      <w:proofErr w:type="spellEnd"/>
      <w:r w:rsidRPr="000071E2">
        <w:rPr>
          <w:sz w:val="20"/>
          <w:szCs w:val="20"/>
        </w:rPr>
        <w:t xml:space="preserve">, H. (2001). The effects of stock market rumors on stock prices: evidence from an emerging market. Journal of Multinational Financial Management, 11(1), 105–115. </w:t>
      </w:r>
      <w:hyperlink r:id="rId33" w:history="1">
        <w:r w:rsidR="00C1032D" w:rsidRPr="00036EEF">
          <w:rPr>
            <w:rStyle w:val="Hyperlink"/>
            <w:sz w:val="20"/>
            <w:szCs w:val="20"/>
          </w:rPr>
          <w:t>https://doi.org/10.1016/s1042-444x(00)00045-1</w:t>
        </w:r>
      </w:hyperlink>
    </w:p>
    <w:p w14:paraId="4B8BABA0" w14:textId="6092AC7F" w:rsidR="001E263A" w:rsidRPr="000071E2" w:rsidRDefault="001E263A" w:rsidP="003811E5">
      <w:pPr>
        <w:spacing w:before="120"/>
        <w:jc w:val="both"/>
        <w:rPr>
          <w:sz w:val="20"/>
          <w:szCs w:val="20"/>
        </w:rPr>
      </w:pPr>
      <w:r w:rsidRPr="00036EEF">
        <w:rPr>
          <w:sz w:val="20"/>
          <w:szCs w:val="20"/>
        </w:rPr>
        <w:t xml:space="preserve">Li, M., Liu, D., Peng, H., &amp; Zhang, L. (2020). </w:t>
      </w:r>
      <w:r w:rsidRPr="000071E2">
        <w:rPr>
          <w:sz w:val="20"/>
          <w:szCs w:val="20"/>
        </w:rPr>
        <w:t xml:space="preserve">Does low synchronicity mean </w:t>
      </w:r>
      <w:proofErr w:type="gramStart"/>
      <w:r w:rsidRPr="000071E2">
        <w:rPr>
          <w:sz w:val="20"/>
          <w:szCs w:val="20"/>
        </w:rPr>
        <w:t>more or less informative</w:t>
      </w:r>
      <w:proofErr w:type="gramEnd"/>
      <w:r w:rsidRPr="000071E2">
        <w:rPr>
          <w:sz w:val="20"/>
          <w:szCs w:val="20"/>
        </w:rPr>
        <w:t xml:space="preserve"> prices? Evidence from an emerging market. Journal of Financial Stability, 51, 100817. </w:t>
      </w:r>
      <w:hyperlink r:id="rId34" w:history="1">
        <w:r w:rsidR="00C1032D" w:rsidRPr="000071E2">
          <w:rPr>
            <w:rStyle w:val="Hyperlink"/>
            <w:sz w:val="20"/>
            <w:szCs w:val="20"/>
          </w:rPr>
          <w:t>https://doi.org/10.1016/j.jfs.2020.100817</w:t>
        </w:r>
      </w:hyperlink>
    </w:p>
    <w:p w14:paraId="72BB54AA" w14:textId="0C7AEC8B" w:rsidR="001E263A" w:rsidRPr="000071E2" w:rsidRDefault="001E263A" w:rsidP="003811E5">
      <w:pPr>
        <w:spacing w:before="120"/>
        <w:jc w:val="both"/>
        <w:rPr>
          <w:sz w:val="20"/>
          <w:szCs w:val="20"/>
        </w:rPr>
      </w:pPr>
      <w:r w:rsidRPr="000071E2">
        <w:rPr>
          <w:sz w:val="20"/>
          <w:szCs w:val="20"/>
        </w:rPr>
        <w:t xml:space="preserve">Lin, X. (2023). The Limitations of the Efficient Market Hypothesis. Highlights in Business, Economics and Management. </w:t>
      </w:r>
      <w:hyperlink r:id="rId35" w:history="1">
        <w:r w:rsidR="00C1032D" w:rsidRPr="000071E2">
          <w:rPr>
            <w:rStyle w:val="Hyperlink"/>
            <w:sz w:val="20"/>
            <w:szCs w:val="20"/>
          </w:rPr>
          <w:t>https://doi.org/10.54097/hbem.v20i.12311</w:t>
        </w:r>
      </w:hyperlink>
    </w:p>
    <w:p w14:paraId="3CA4F341" w14:textId="79664BBE" w:rsidR="001E263A" w:rsidRPr="000071E2" w:rsidRDefault="001E263A" w:rsidP="003811E5">
      <w:pPr>
        <w:spacing w:before="120"/>
        <w:jc w:val="both"/>
        <w:rPr>
          <w:sz w:val="20"/>
          <w:szCs w:val="20"/>
        </w:rPr>
      </w:pPr>
      <w:r w:rsidRPr="000071E2">
        <w:rPr>
          <w:sz w:val="20"/>
          <w:szCs w:val="20"/>
        </w:rPr>
        <w:t xml:space="preserve">Liu, K., Yuan, X., Wang, C., &amp; Hou, W. (2022). Silence is </w:t>
      </w:r>
      <w:proofErr w:type="gramStart"/>
      <w:r w:rsidRPr="000071E2">
        <w:rPr>
          <w:sz w:val="20"/>
          <w:szCs w:val="20"/>
        </w:rPr>
        <w:t>golden?</w:t>
      </w:r>
      <w:proofErr w:type="gramEnd"/>
      <w:r w:rsidRPr="000071E2">
        <w:rPr>
          <w:sz w:val="20"/>
          <w:szCs w:val="20"/>
        </w:rPr>
        <w:t xml:space="preserve"> Responses to rumors by Chinese listed firms. Finance Research Letters, 49, 103055. </w:t>
      </w:r>
      <w:hyperlink r:id="rId36" w:history="1">
        <w:r w:rsidR="00C1032D" w:rsidRPr="000071E2">
          <w:rPr>
            <w:rStyle w:val="Hyperlink"/>
            <w:sz w:val="20"/>
            <w:szCs w:val="20"/>
          </w:rPr>
          <w:t>https://doi.org/10.1016/j.frl.2022.103055</w:t>
        </w:r>
      </w:hyperlink>
    </w:p>
    <w:p w14:paraId="7EBAF8E7" w14:textId="21B6C955" w:rsidR="001E263A" w:rsidRDefault="001E263A" w:rsidP="003811E5">
      <w:pPr>
        <w:spacing w:before="120"/>
        <w:jc w:val="both"/>
      </w:pPr>
      <w:r w:rsidRPr="000071E2">
        <w:rPr>
          <w:sz w:val="20"/>
          <w:szCs w:val="20"/>
        </w:rPr>
        <w:t xml:space="preserve">Mahyudin, R., &amp; </w:t>
      </w:r>
      <w:proofErr w:type="spellStart"/>
      <w:r w:rsidRPr="000071E2">
        <w:rPr>
          <w:sz w:val="20"/>
          <w:szCs w:val="20"/>
        </w:rPr>
        <w:t>Lamsah</w:t>
      </w:r>
      <w:proofErr w:type="spellEnd"/>
      <w:r w:rsidRPr="000071E2">
        <w:rPr>
          <w:sz w:val="20"/>
          <w:szCs w:val="20"/>
        </w:rPr>
        <w:t xml:space="preserve">, L. (2024). Decoding Market Efficiency: A Multifractal Approach to Financial Market Dynamics. RSF Conference Series: Business, Management and Social Sciences. </w:t>
      </w:r>
      <w:hyperlink r:id="rId37" w:history="1">
        <w:r w:rsidR="00C1032D" w:rsidRPr="000071E2">
          <w:rPr>
            <w:rStyle w:val="Hyperlink"/>
            <w:sz w:val="20"/>
            <w:szCs w:val="20"/>
          </w:rPr>
          <w:t>https://doi.org/10.31098/bmss.v4i2.901</w:t>
        </w:r>
      </w:hyperlink>
    </w:p>
    <w:p w14:paraId="73AB3F32" w14:textId="79506956" w:rsidR="00131A1C" w:rsidRDefault="00131A1C" w:rsidP="003811E5">
      <w:pPr>
        <w:spacing w:before="120"/>
        <w:jc w:val="both"/>
        <w:rPr>
          <w:sz w:val="20"/>
          <w:szCs w:val="20"/>
        </w:rPr>
      </w:pPr>
      <w:r w:rsidRPr="00131A1C">
        <w:rPr>
          <w:sz w:val="20"/>
          <w:szCs w:val="20"/>
        </w:rPr>
        <w:lastRenderedPageBreak/>
        <w:t xml:space="preserve">Mai, N. (2025). </w:t>
      </w:r>
      <w:proofErr w:type="spellStart"/>
      <w:r w:rsidRPr="00131A1C">
        <w:rPr>
          <w:sz w:val="20"/>
          <w:szCs w:val="20"/>
        </w:rPr>
        <w:t>Không</w:t>
      </w:r>
      <w:proofErr w:type="spellEnd"/>
      <w:r w:rsidRPr="00131A1C">
        <w:rPr>
          <w:sz w:val="20"/>
          <w:szCs w:val="20"/>
        </w:rPr>
        <w:t xml:space="preserve"> </w:t>
      </w:r>
      <w:proofErr w:type="spellStart"/>
      <w:r w:rsidRPr="00131A1C">
        <w:rPr>
          <w:sz w:val="20"/>
          <w:szCs w:val="20"/>
        </w:rPr>
        <w:t>chỉ</w:t>
      </w:r>
      <w:proofErr w:type="spellEnd"/>
      <w:r w:rsidRPr="00131A1C">
        <w:rPr>
          <w:sz w:val="20"/>
          <w:szCs w:val="20"/>
        </w:rPr>
        <w:t xml:space="preserve"> </w:t>
      </w:r>
      <w:proofErr w:type="spellStart"/>
      <w:r w:rsidRPr="00131A1C">
        <w:rPr>
          <w:sz w:val="20"/>
          <w:szCs w:val="20"/>
        </w:rPr>
        <w:t>dính</w:t>
      </w:r>
      <w:proofErr w:type="spellEnd"/>
      <w:r w:rsidRPr="00131A1C">
        <w:rPr>
          <w:sz w:val="20"/>
          <w:szCs w:val="20"/>
        </w:rPr>
        <w:t xml:space="preserve"> tin </w:t>
      </w:r>
      <w:proofErr w:type="spellStart"/>
      <w:r w:rsidRPr="00131A1C">
        <w:rPr>
          <w:sz w:val="20"/>
          <w:szCs w:val="20"/>
        </w:rPr>
        <w:t>đồn</w:t>
      </w:r>
      <w:proofErr w:type="spellEnd"/>
      <w:r w:rsidRPr="00131A1C">
        <w:rPr>
          <w:sz w:val="20"/>
          <w:szCs w:val="20"/>
        </w:rPr>
        <w:t xml:space="preserve"> </w:t>
      </w:r>
      <w:proofErr w:type="spellStart"/>
      <w:r w:rsidRPr="00131A1C">
        <w:rPr>
          <w:sz w:val="20"/>
          <w:szCs w:val="20"/>
        </w:rPr>
        <w:t>đánh</w:t>
      </w:r>
      <w:proofErr w:type="spellEnd"/>
      <w:r w:rsidRPr="00131A1C">
        <w:rPr>
          <w:sz w:val="20"/>
          <w:szCs w:val="20"/>
        </w:rPr>
        <w:t xml:space="preserve"> </w:t>
      </w:r>
      <w:proofErr w:type="spellStart"/>
      <w:r w:rsidRPr="00131A1C">
        <w:rPr>
          <w:sz w:val="20"/>
          <w:szCs w:val="20"/>
        </w:rPr>
        <w:t>bạc</w:t>
      </w:r>
      <w:proofErr w:type="spellEnd"/>
      <w:r w:rsidRPr="00131A1C">
        <w:rPr>
          <w:sz w:val="20"/>
          <w:szCs w:val="20"/>
        </w:rPr>
        <w:t xml:space="preserve">, </w:t>
      </w:r>
      <w:proofErr w:type="spellStart"/>
      <w:r w:rsidRPr="00131A1C">
        <w:rPr>
          <w:sz w:val="20"/>
          <w:szCs w:val="20"/>
        </w:rPr>
        <w:t>lãnh</w:t>
      </w:r>
      <w:proofErr w:type="spellEnd"/>
      <w:r w:rsidRPr="00131A1C">
        <w:rPr>
          <w:sz w:val="20"/>
          <w:szCs w:val="20"/>
        </w:rPr>
        <w:t xml:space="preserve"> </w:t>
      </w:r>
      <w:proofErr w:type="spellStart"/>
      <w:r w:rsidRPr="00131A1C">
        <w:rPr>
          <w:sz w:val="20"/>
          <w:szCs w:val="20"/>
        </w:rPr>
        <w:t>đạo</w:t>
      </w:r>
      <w:proofErr w:type="spellEnd"/>
      <w:r w:rsidRPr="00131A1C">
        <w:rPr>
          <w:sz w:val="20"/>
          <w:szCs w:val="20"/>
        </w:rPr>
        <w:t xml:space="preserve"> </w:t>
      </w:r>
      <w:proofErr w:type="spellStart"/>
      <w:r w:rsidRPr="00131A1C">
        <w:rPr>
          <w:sz w:val="20"/>
          <w:szCs w:val="20"/>
        </w:rPr>
        <w:t>ngân</w:t>
      </w:r>
      <w:proofErr w:type="spellEnd"/>
      <w:r w:rsidRPr="00131A1C">
        <w:rPr>
          <w:sz w:val="20"/>
          <w:szCs w:val="20"/>
        </w:rPr>
        <w:t xml:space="preserve"> </w:t>
      </w:r>
      <w:proofErr w:type="spellStart"/>
      <w:r w:rsidRPr="00131A1C">
        <w:rPr>
          <w:sz w:val="20"/>
          <w:szCs w:val="20"/>
        </w:rPr>
        <w:t>hàng</w:t>
      </w:r>
      <w:proofErr w:type="spellEnd"/>
      <w:r w:rsidRPr="00131A1C">
        <w:rPr>
          <w:sz w:val="20"/>
          <w:szCs w:val="20"/>
        </w:rPr>
        <w:t xml:space="preserve"> </w:t>
      </w:r>
      <w:proofErr w:type="spellStart"/>
      <w:r w:rsidRPr="00131A1C">
        <w:rPr>
          <w:sz w:val="20"/>
          <w:szCs w:val="20"/>
        </w:rPr>
        <w:t>bị</w:t>
      </w:r>
      <w:proofErr w:type="spellEnd"/>
      <w:r w:rsidRPr="00131A1C">
        <w:rPr>
          <w:sz w:val="20"/>
          <w:szCs w:val="20"/>
        </w:rPr>
        <w:t xml:space="preserve"> vu </w:t>
      </w:r>
      <w:proofErr w:type="spellStart"/>
      <w:r w:rsidRPr="00131A1C">
        <w:rPr>
          <w:sz w:val="20"/>
          <w:szCs w:val="20"/>
        </w:rPr>
        <w:t>bỏ</w:t>
      </w:r>
      <w:proofErr w:type="spellEnd"/>
      <w:r w:rsidRPr="00131A1C">
        <w:rPr>
          <w:sz w:val="20"/>
          <w:szCs w:val="20"/>
        </w:rPr>
        <w:t xml:space="preserve"> </w:t>
      </w:r>
      <w:proofErr w:type="spellStart"/>
      <w:r w:rsidRPr="00131A1C">
        <w:rPr>
          <w:sz w:val="20"/>
          <w:szCs w:val="20"/>
        </w:rPr>
        <w:t>trốn</w:t>
      </w:r>
      <w:proofErr w:type="spellEnd"/>
      <w:r w:rsidRPr="00131A1C">
        <w:rPr>
          <w:sz w:val="20"/>
          <w:szCs w:val="20"/>
        </w:rPr>
        <w:t xml:space="preserve">, </w:t>
      </w:r>
      <w:proofErr w:type="spellStart"/>
      <w:r w:rsidRPr="00131A1C">
        <w:rPr>
          <w:sz w:val="20"/>
          <w:szCs w:val="20"/>
        </w:rPr>
        <w:t>cấm</w:t>
      </w:r>
      <w:proofErr w:type="spellEnd"/>
      <w:r w:rsidRPr="00131A1C">
        <w:rPr>
          <w:sz w:val="20"/>
          <w:szCs w:val="20"/>
        </w:rPr>
        <w:t xml:space="preserve"> </w:t>
      </w:r>
      <w:proofErr w:type="spellStart"/>
      <w:r w:rsidRPr="00131A1C">
        <w:rPr>
          <w:sz w:val="20"/>
          <w:szCs w:val="20"/>
        </w:rPr>
        <w:t>xuất</w:t>
      </w:r>
      <w:proofErr w:type="spellEnd"/>
      <w:r w:rsidRPr="00131A1C">
        <w:rPr>
          <w:sz w:val="20"/>
          <w:szCs w:val="20"/>
        </w:rPr>
        <w:t xml:space="preserve"> </w:t>
      </w:r>
      <w:proofErr w:type="spellStart"/>
      <w:r w:rsidRPr="00131A1C">
        <w:rPr>
          <w:sz w:val="20"/>
          <w:szCs w:val="20"/>
        </w:rPr>
        <w:t>cảnh</w:t>
      </w:r>
      <w:proofErr w:type="spellEnd"/>
      <w:r>
        <w:rPr>
          <w:sz w:val="20"/>
          <w:szCs w:val="20"/>
        </w:rPr>
        <w:t xml:space="preserve"> [</w:t>
      </w:r>
      <w:r w:rsidRPr="00131A1C">
        <w:rPr>
          <w:sz w:val="20"/>
          <w:szCs w:val="20"/>
        </w:rPr>
        <w:t xml:space="preserve">Not only involved in gambling rumors, </w:t>
      </w:r>
      <w:r>
        <w:rPr>
          <w:sz w:val="20"/>
          <w:szCs w:val="20"/>
        </w:rPr>
        <w:t>but a bank leader</w:t>
      </w:r>
      <w:r w:rsidRPr="00131A1C">
        <w:rPr>
          <w:sz w:val="20"/>
          <w:szCs w:val="20"/>
        </w:rPr>
        <w:t xml:space="preserve"> w</w:t>
      </w:r>
      <w:r>
        <w:rPr>
          <w:sz w:val="20"/>
          <w:szCs w:val="20"/>
        </w:rPr>
        <w:t>as also</w:t>
      </w:r>
      <w:r w:rsidRPr="00131A1C">
        <w:rPr>
          <w:sz w:val="20"/>
          <w:szCs w:val="20"/>
        </w:rPr>
        <w:t xml:space="preserve"> </w:t>
      </w:r>
      <w:r>
        <w:rPr>
          <w:sz w:val="20"/>
          <w:szCs w:val="20"/>
        </w:rPr>
        <w:t xml:space="preserve">falsely </w:t>
      </w:r>
      <w:r w:rsidRPr="00131A1C">
        <w:rPr>
          <w:sz w:val="20"/>
          <w:szCs w:val="20"/>
        </w:rPr>
        <w:t>accused of fleeing and banned from leaving the country</w:t>
      </w:r>
      <w:r>
        <w:rPr>
          <w:sz w:val="20"/>
          <w:szCs w:val="20"/>
        </w:rPr>
        <w:t>]</w:t>
      </w:r>
      <w:r w:rsidRPr="00131A1C">
        <w:rPr>
          <w:sz w:val="20"/>
          <w:szCs w:val="20"/>
        </w:rPr>
        <w:t xml:space="preserve">. </w:t>
      </w:r>
      <w:proofErr w:type="spellStart"/>
      <w:r w:rsidRPr="00131A1C">
        <w:rPr>
          <w:sz w:val="20"/>
          <w:szCs w:val="20"/>
        </w:rPr>
        <w:t>Tiền</w:t>
      </w:r>
      <w:proofErr w:type="spellEnd"/>
      <w:r w:rsidRPr="00131A1C">
        <w:rPr>
          <w:sz w:val="20"/>
          <w:szCs w:val="20"/>
        </w:rPr>
        <w:t xml:space="preserve"> Phong</w:t>
      </w:r>
      <w:r>
        <w:rPr>
          <w:sz w:val="20"/>
          <w:szCs w:val="20"/>
        </w:rPr>
        <w:t xml:space="preserve"> Electronic Newspaper</w:t>
      </w:r>
      <w:r w:rsidRPr="00131A1C">
        <w:rPr>
          <w:sz w:val="20"/>
          <w:szCs w:val="20"/>
        </w:rPr>
        <w:t xml:space="preserve">. </w:t>
      </w:r>
      <w:hyperlink r:id="rId38" w:history="1">
        <w:r w:rsidRPr="00131A1C">
          <w:rPr>
            <w:rStyle w:val="Hyperlink"/>
            <w:sz w:val="20"/>
            <w:szCs w:val="20"/>
          </w:rPr>
          <w:t>https://tienphong.vn/khong-chi-dinh-tin-don-danh-bac-lanh-dao-ngan-hang-bi-vu-bo-tron-cam-xuat-canh-post1706885.tpo</w:t>
        </w:r>
      </w:hyperlink>
    </w:p>
    <w:p w14:paraId="2012654A" w14:textId="06D648D8" w:rsidR="001E263A" w:rsidRPr="000071E2" w:rsidRDefault="001E263A" w:rsidP="003811E5">
      <w:pPr>
        <w:spacing w:before="120"/>
        <w:jc w:val="both"/>
        <w:rPr>
          <w:sz w:val="20"/>
          <w:szCs w:val="20"/>
        </w:rPr>
      </w:pPr>
      <w:r w:rsidRPr="000071E2">
        <w:rPr>
          <w:sz w:val="20"/>
          <w:szCs w:val="20"/>
        </w:rPr>
        <w:t xml:space="preserve">Meteb, A. M. (2024). The Impact of Rumors on the Saudi Economy with Reference to the Stock Market. Journal of </w:t>
      </w:r>
      <w:proofErr w:type="spellStart"/>
      <w:r w:rsidRPr="000071E2">
        <w:rPr>
          <w:sz w:val="20"/>
          <w:szCs w:val="20"/>
        </w:rPr>
        <w:t>Ecohumanism</w:t>
      </w:r>
      <w:proofErr w:type="spellEnd"/>
      <w:r w:rsidRPr="000071E2">
        <w:rPr>
          <w:sz w:val="20"/>
          <w:szCs w:val="20"/>
        </w:rPr>
        <w:t xml:space="preserve">, 3(6), 2018–2033. </w:t>
      </w:r>
      <w:hyperlink r:id="rId39" w:history="1">
        <w:r w:rsidR="00C1032D" w:rsidRPr="000071E2">
          <w:rPr>
            <w:rStyle w:val="Hyperlink"/>
            <w:sz w:val="20"/>
            <w:szCs w:val="20"/>
          </w:rPr>
          <w:t>https://doi.org/10.62754/joe.v3i6.4153</w:t>
        </w:r>
      </w:hyperlink>
    </w:p>
    <w:p w14:paraId="18AEEABE" w14:textId="2AB5895C" w:rsidR="001E263A" w:rsidRPr="000071E2" w:rsidRDefault="001E263A" w:rsidP="003811E5">
      <w:pPr>
        <w:spacing w:before="120"/>
        <w:jc w:val="both"/>
        <w:rPr>
          <w:sz w:val="20"/>
          <w:szCs w:val="20"/>
        </w:rPr>
      </w:pPr>
      <w:r w:rsidRPr="000071E2">
        <w:rPr>
          <w:sz w:val="20"/>
          <w:szCs w:val="20"/>
        </w:rPr>
        <w:t xml:space="preserve">Nguyen, T. H. (2023). </w:t>
      </w:r>
      <w:proofErr w:type="spellStart"/>
      <w:r w:rsidRPr="000071E2">
        <w:rPr>
          <w:sz w:val="20"/>
          <w:szCs w:val="20"/>
        </w:rPr>
        <w:t>Mối</w:t>
      </w:r>
      <w:proofErr w:type="spellEnd"/>
      <w:r w:rsidRPr="000071E2">
        <w:rPr>
          <w:sz w:val="20"/>
          <w:szCs w:val="20"/>
        </w:rPr>
        <w:t xml:space="preserve"> </w:t>
      </w:r>
      <w:proofErr w:type="spellStart"/>
      <w:r w:rsidRPr="000071E2">
        <w:rPr>
          <w:sz w:val="20"/>
          <w:szCs w:val="20"/>
        </w:rPr>
        <w:t>quan</w:t>
      </w:r>
      <w:proofErr w:type="spellEnd"/>
      <w:r w:rsidRPr="000071E2">
        <w:rPr>
          <w:sz w:val="20"/>
          <w:szCs w:val="20"/>
        </w:rPr>
        <w:t xml:space="preserve"> </w:t>
      </w:r>
      <w:proofErr w:type="spellStart"/>
      <w:r w:rsidRPr="000071E2">
        <w:rPr>
          <w:sz w:val="20"/>
          <w:szCs w:val="20"/>
        </w:rPr>
        <w:t>hệ</w:t>
      </w:r>
      <w:proofErr w:type="spellEnd"/>
      <w:r w:rsidRPr="000071E2">
        <w:rPr>
          <w:sz w:val="20"/>
          <w:szCs w:val="20"/>
        </w:rPr>
        <w:t xml:space="preserve"> </w:t>
      </w:r>
      <w:proofErr w:type="spellStart"/>
      <w:r w:rsidRPr="000071E2">
        <w:rPr>
          <w:sz w:val="20"/>
          <w:szCs w:val="20"/>
        </w:rPr>
        <w:t>của</w:t>
      </w:r>
      <w:proofErr w:type="spellEnd"/>
      <w:r w:rsidRPr="000071E2">
        <w:rPr>
          <w:sz w:val="20"/>
          <w:szCs w:val="20"/>
        </w:rPr>
        <w:t xml:space="preserve"> </w:t>
      </w:r>
      <w:proofErr w:type="spellStart"/>
      <w:r w:rsidRPr="000071E2">
        <w:rPr>
          <w:sz w:val="20"/>
          <w:szCs w:val="20"/>
        </w:rPr>
        <w:t>mạng</w:t>
      </w:r>
      <w:proofErr w:type="spellEnd"/>
      <w:r w:rsidRPr="000071E2">
        <w:rPr>
          <w:sz w:val="20"/>
          <w:szCs w:val="20"/>
        </w:rPr>
        <w:t xml:space="preserve"> </w:t>
      </w:r>
      <w:proofErr w:type="spellStart"/>
      <w:r w:rsidRPr="000071E2">
        <w:rPr>
          <w:sz w:val="20"/>
          <w:szCs w:val="20"/>
        </w:rPr>
        <w:t>xã</w:t>
      </w:r>
      <w:proofErr w:type="spellEnd"/>
      <w:r w:rsidRPr="000071E2">
        <w:rPr>
          <w:sz w:val="20"/>
          <w:szCs w:val="20"/>
        </w:rPr>
        <w:t xml:space="preserve"> </w:t>
      </w:r>
      <w:proofErr w:type="spellStart"/>
      <w:r w:rsidRPr="000071E2">
        <w:rPr>
          <w:sz w:val="20"/>
          <w:szCs w:val="20"/>
        </w:rPr>
        <w:t>hội</w:t>
      </w:r>
      <w:proofErr w:type="spellEnd"/>
      <w:r w:rsidRPr="000071E2">
        <w:rPr>
          <w:sz w:val="20"/>
          <w:szCs w:val="20"/>
        </w:rPr>
        <w:t xml:space="preserve"> </w:t>
      </w:r>
      <w:proofErr w:type="spellStart"/>
      <w:r w:rsidRPr="000071E2">
        <w:rPr>
          <w:sz w:val="20"/>
          <w:szCs w:val="20"/>
        </w:rPr>
        <w:t>và</w:t>
      </w:r>
      <w:proofErr w:type="spellEnd"/>
      <w:r w:rsidRPr="000071E2">
        <w:rPr>
          <w:sz w:val="20"/>
          <w:szCs w:val="20"/>
        </w:rPr>
        <w:t xml:space="preserve"> </w:t>
      </w:r>
      <w:proofErr w:type="spellStart"/>
      <w:r w:rsidRPr="000071E2">
        <w:rPr>
          <w:sz w:val="20"/>
          <w:szCs w:val="20"/>
        </w:rPr>
        <w:t>thị</w:t>
      </w:r>
      <w:proofErr w:type="spellEnd"/>
      <w:r w:rsidRPr="000071E2">
        <w:rPr>
          <w:sz w:val="20"/>
          <w:szCs w:val="20"/>
        </w:rPr>
        <w:t xml:space="preserve"> </w:t>
      </w:r>
      <w:proofErr w:type="spellStart"/>
      <w:r w:rsidRPr="000071E2">
        <w:rPr>
          <w:sz w:val="20"/>
          <w:szCs w:val="20"/>
        </w:rPr>
        <w:t>trường</w:t>
      </w:r>
      <w:proofErr w:type="spellEnd"/>
      <w:r w:rsidRPr="000071E2">
        <w:rPr>
          <w:sz w:val="20"/>
          <w:szCs w:val="20"/>
        </w:rPr>
        <w:t xml:space="preserve"> </w:t>
      </w:r>
      <w:proofErr w:type="spellStart"/>
      <w:r w:rsidRPr="000071E2">
        <w:rPr>
          <w:sz w:val="20"/>
          <w:szCs w:val="20"/>
        </w:rPr>
        <w:t>chứng</w:t>
      </w:r>
      <w:proofErr w:type="spellEnd"/>
      <w:r w:rsidRPr="000071E2">
        <w:rPr>
          <w:sz w:val="20"/>
          <w:szCs w:val="20"/>
        </w:rPr>
        <w:t xml:space="preserve"> </w:t>
      </w:r>
      <w:proofErr w:type="spellStart"/>
      <w:r w:rsidRPr="000071E2">
        <w:rPr>
          <w:sz w:val="20"/>
          <w:szCs w:val="20"/>
        </w:rPr>
        <w:t>khoán</w:t>
      </w:r>
      <w:proofErr w:type="spellEnd"/>
      <w:r w:rsidRPr="000071E2">
        <w:rPr>
          <w:sz w:val="20"/>
          <w:szCs w:val="20"/>
        </w:rPr>
        <w:t xml:space="preserve"> Việt Nam. </w:t>
      </w:r>
      <w:hyperlink r:id="rId40" w:history="1">
        <w:r w:rsidR="00C1032D" w:rsidRPr="000071E2">
          <w:rPr>
            <w:rStyle w:val="Hyperlink"/>
            <w:sz w:val="20"/>
            <w:szCs w:val="20"/>
          </w:rPr>
          <w:t>https://jstic.ptit.edu.vn/jstic-ptit/index.php/jstic/article/view/1424</w:t>
        </w:r>
      </w:hyperlink>
    </w:p>
    <w:p w14:paraId="32BCD341" w14:textId="6A9655A6" w:rsidR="001E263A" w:rsidRPr="000071E2" w:rsidRDefault="001E263A" w:rsidP="003811E5">
      <w:pPr>
        <w:spacing w:before="120"/>
        <w:jc w:val="both"/>
        <w:rPr>
          <w:sz w:val="20"/>
          <w:szCs w:val="20"/>
        </w:rPr>
      </w:pPr>
      <w:r w:rsidRPr="000071E2">
        <w:rPr>
          <w:sz w:val="20"/>
          <w:szCs w:val="20"/>
        </w:rPr>
        <w:t xml:space="preserve">Peterson, W. A., &amp; Gist, N. P. (1951). Rumor and public opinion. American Journal of Sociology, 57(2), 159–167. </w:t>
      </w:r>
      <w:hyperlink r:id="rId41" w:history="1">
        <w:r w:rsidR="00C1032D" w:rsidRPr="000071E2">
          <w:rPr>
            <w:rStyle w:val="Hyperlink"/>
            <w:sz w:val="20"/>
            <w:szCs w:val="20"/>
          </w:rPr>
          <w:t>https://doi.org/10.1086/220916</w:t>
        </w:r>
      </w:hyperlink>
    </w:p>
    <w:p w14:paraId="77AEBAD8" w14:textId="2D4D1BB2" w:rsidR="001E263A" w:rsidRPr="000071E2" w:rsidRDefault="001E263A" w:rsidP="003811E5">
      <w:pPr>
        <w:spacing w:before="120"/>
        <w:jc w:val="both"/>
        <w:rPr>
          <w:sz w:val="20"/>
          <w:szCs w:val="20"/>
        </w:rPr>
      </w:pPr>
      <w:r w:rsidRPr="000071E2">
        <w:rPr>
          <w:sz w:val="20"/>
          <w:szCs w:val="20"/>
        </w:rPr>
        <w:t xml:space="preserve">Qiu, B., Yu, J., &amp; Zhang, K. (2019). Trust and Stock Price Synchronicity: Evidence from China. Journal of Business Ethics, 167(1), 97–109. </w:t>
      </w:r>
      <w:hyperlink r:id="rId42" w:history="1">
        <w:r w:rsidR="00C1032D" w:rsidRPr="000071E2">
          <w:rPr>
            <w:rStyle w:val="Hyperlink"/>
            <w:sz w:val="20"/>
            <w:szCs w:val="20"/>
          </w:rPr>
          <w:t>https://doi.org/10.1007/s10551-019-04156-1</w:t>
        </w:r>
      </w:hyperlink>
    </w:p>
    <w:p w14:paraId="73379251" w14:textId="39628268" w:rsidR="001E263A" w:rsidRPr="000071E2" w:rsidRDefault="001E263A" w:rsidP="003811E5">
      <w:pPr>
        <w:spacing w:before="120"/>
        <w:jc w:val="both"/>
        <w:rPr>
          <w:sz w:val="20"/>
          <w:szCs w:val="20"/>
        </w:rPr>
      </w:pPr>
      <w:r w:rsidRPr="000071E2">
        <w:rPr>
          <w:sz w:val="20"/>
          <w:szCs w:val="20"/>
        </w:rPr>
        <w:t xml:space="preserve">Qiu, B., Yu, J., &amp; Zhang, K. (2020). Trust and Stock Price Synchronicity: Evidence from China. Journal of Business Ethics, 1–13. </w:t>
      </w:r>
      <w:hyperlink r:id="rId43" w:history="1">
        <w:r w:rsidR="00C1032D" w:rsidRPr="000071E2">
          <w:rPr>
            <w:rStyle w:val="Hyperlink"/>
            <w:sz w:val="20"/>
            <w:szCs w:val="20"/>
          </w:rPr>
          <w:t>https://doi.org/10.1007/S10551-019-04156-1</w:t>
        </w:r>
      </w:hyperlink>
    </w:p>
    <w:p w14:paraId="174C490A" w14:textId="4FD12D64" w:rsidR="001E263A" w:rsidRPr="000071E2" w:rsidRDefault="001E263A" w:rsidP="003811E5">
      <w:pPr>
        <w:spacing w:before="120"/>
        <w:jc w:val="both"/>
        <w:rPr>
          <w:sz w:val="20"/>
          <w:szCs w:val="20"/>
        </w:rPr>
      </w:pPr>
      <w:r w:rsidRPr="00C26B7A">
        <w:rPr>
          <w:sz w:val="20"/>
          <w:szCs w:val="20"/>
        </w:rPr>
        <w:t xml:space="preserve">Roux-Dufort, C., &amp; </w:t>
      </w:r>
      <w:proofErr w:type="spellStart"/>
      <w:r w:rsidRPr="00C26B7A">
        <w:rPr>
          <w:sz w:val="20"/>
          <w:szCs w:val="20"/>
        </w:rPr>
        <w:t>Pauchant</w:t>
      </w:r>
      <w:proofErr w:type="spellEnd"/>
      <w:r w:rsidRPr="00C26B7A">
        <w:rPr>
          <w:sz w:val="20"/>
          <w:szCs w:val="20"/>
        </w:rPr>
        <w:t xml:space="preserve">, T. (1993). </w:t>
      </w:r>
      <w:r w:rsidRPr="000071E2">
        <w:rPr>
          <w:sz w:val="20"/>
          <w:szCs w:val="20"/>
        </w:rPr>
        <w:t xml:space="preserve">Rumors and Crises: a case study in the banking industry. Organization &amp; Environment, 7, 231–251. </w:t>
      </w:r>
      <w:hyperlink r:id="rId44" w:history="1">
        <w:r w:rsidR="00C1032D" w:rsidRPr="000071E2">
          <w:rPr>
            <w:rStyle w:val="Hyperlink"/>
            <w:sz w:val="20"/>
            <w:szCs w:val="20"/>
          </w:rPr>
          <w:t>https://doi.org/10.1177/108602669300700305</w:t>
        </w:r>
      </w:hyperlink>
    </w:p>
    <w:p w14:paraId="1D7388E8" w14:textId="29AE8F4C" w:rsidR="001E263A" w:rsidRPr="000071E2" w:rsidRDefault="001E263A" w:rsidP="003811E5">
      <w:pPr>
        <w:spacing w:before="120"/>
        <w:jc w:val="both"/>
        <w:rPr>
          <w:sz w:val="20"/>
          <w:szCs w:val="20"/>
        </w:rPr>
      </w:pPr>
      <w:proofErr w:type="spellStart"/>
      <w:r w:rsidRPr="000071E2">
        <w:rPr>
          <w:sz w:val="20"/>
          <w:szCs w:val="20"/>
        </w:rPr>
        <w:t>Tadmon</w:t>
      </w:r>
      <w:proofErr w:type="spellEnd"/>
      <w:r w:rsidRPr="000071E2">
        <w:rPr>
          <w:sz w:val="20"/>
          <w:szCs w:val="20"/>
        </w:rPr>
        <w:t xml:space="preserve">, C., &amp; Njike-Tchaptchet, E. (2022). Mathematical modeling and optimal control of the impact of rumors on the banking crisis. </w:t>
      </w:r>
      <w:proofErr w:type="spellStart"/>
      <w:r w:rsidRPr="000071E2">
        <w:rPr>
          <w:sz w:val="20"/>
          <w:szCs w:val="20"/>
        </w:rPr>
        <w:t>Demonstratio</w:t>
      </w:r>
      <w:proofErr w:type="spellEnd"/>
      <w:r w:rsidRPr="000071E2">
        <w:rPr>
          <w:sz w:val="20"/>
          <w:szCs w:val="20"/>
        </w:rPr>
        <w:t xml:space="preserve"> Mathematica, 55, 90–118. </w:t>
      </w:r>
      <w:hyperlink r:id="rId45" w:history="1">
        <w:r w:rsidR="00C1032D" w:rsidRPr="000071E2">
          <w:rPr>
            <w:rStyle w:val="Hyperlink"/>
            <w:sz w:val="20"/>
            <w:szCs w:val="20"/>
          </w:rPr>
          <w:t>https://doi.org/10.1515/dema-2022-0007</w:t>
        </w:r>
      </w:hyperlink>
    </w:p>
    <w:p w14:paraId="6F010FAA" w14:textId="073DD1AB" w:rsidR="001E263A" w:rsidRPr="000071E2" w:rsidRDefault="001E263A" w:rsidP="003811E5">
      <w:pPr>
        <w:spacing w:before="120"/>
        <w:jc w:val="both"/>
        <w:rPr>
          <w:sz w:val="20"/>
          <w:szCs w:val="20"/>
        </w:rPr>
      </w:pPr>
      <w:r w:rsidRPr="000071E2">
        <w:rPr>
          <w:sz w:val="20"/>
          <w:szCs w:val="20"/>
        </w:rPr>
        <w:t xml:space="preserve">Yang, X., &amp; Luo, Y. (2014). Rumor Clarification and Stock Returns: Do Bull Markets Behave Differently from Bear Markets? Emerging Markets Finance and Trade, 50(1), 197–209. </w:t>
      </w:r>
      <w:hyperlink r:id="rId46" w:history="1">
        <w:r w:rsidR="00C1032D" w:rsidRPr="000071E2">
          <w:rPr>
            <w:rStyle w:val="Hyperlink"/>
            <w:sz w:val="20"/>
            <w:szCs w:val="20"/>
          </w:rPr>
          <w:t>https://doi.org/10.2753/ree1540-496x500111</w:t>
        </w:r>
      </w:hyperlink>
    </w:p>
    <w:p w14:paraId="4E7F7152" w14:textId="2392034D" w:rsidR="001E263A" w:rsidRPr="00D628D7" w:rsidRDefault="001E263A" w:rsidP="003811E5">
      <w:pPr>
        <w:spacing w:before="120"/>
        <w:jc w:val="both"/>
        <w:rPr>
          <w:sz w:val="20"/>
          <w:szCs w:val="20"/>
          <w:lang w:val="fr-FR"/>
        </w:rPr>
      </w:pPr>
      <w:r w:rsidRPr="000071E2">
        <w:rPr>
          <w:sz w:val="20"/>
          <w:szCs w:val="20"/>
        </w:rPr>
        <w:t xml:space="preserve">Yuliia, S. (2017). The impact of rumors on financial markets. </w:t>
      </w:r>
      <w:hyperlink r:id="rId47" w:history="1">
        <w:r w:rsidR="00C1032D" w:rsidRPr="00D628D7">
          <w:rPr>
            <w:rStyle w:val="Hyperlink"/>
            <w:sz w:val="20"/>
            <w:szCs w:val="20"/>
            <w:lang w:val="fr-FR"/>
          </w:rPr>
          <w:t>https://api.semanticscholar.org/CorpusID:217188813</w:t>
        </w:r>
      </w:hyperlink>
    </w:p>
    <w:p w14:paraId="37D56C90" w14:textId="3ED2D2BF" w:rsidR="001E263A" w:rsidRPr="000071E2" w:rsidRDefault="001E263A" w:rsidP="003811E5">
      <w:pPr>
        <w:spacing w:before="120"/>
        <w:jc w:val="both"/>
        <w:rPr>
          <w:sz w:val="20"/>
          <w:szCs w:val="20"/>
        </w:rPr>
      </w:pPr>
      <w:proofErr w:type="spellStart"/>
      <w:r w:rsidRPr="00D628D7">
        <w:rPr>
          <w:sz w:val="20"/>
          <w:szCs w:val="20"/>
          <w:lang w:val="fr-FR"/>
        </w:rPr>
        <w:t>Zayno</w:t>
      </w:r>
      <w:proofErr w:type="spellEnd"/>
      <w:r w:rsidRPr="00D628D7">
        <w:rPr>
          <w:sz w:val="20"/>
          <w:szCs w:val="20"/>
          <w:lang w:val="fr-FR"/>
        </w:rPr>
        <w:t xml:space="preserve">, M., &amp; Radhi, A. M. (2022). </w:t>
      </w:r>
      <w:r w:rsidRPr="000071E2">
        <w:rPr>
          <w:sz w:val="20"/>
          <w:szCs w:val="20"/>
        </w:rPr>
        <w:t xml:space="preserve">Data mining methods for extracting rumors using social analysis tools. Iraqi Journal of Science, 3618–3627. </w:t>
      </w:r>
      <w:hyperlink r:id="rId48" w:history="1">
        <w:r w:rsidR="00C1032D" w:rsidRPr="000071E2">
          <w:rPr>
            <w:rStyle w:val="Hyperlink"/>
            <w:sz w:val="20"/>
            <w:szCs w:val="20"/>
          </w:rPr>
          <w:t>https://doi.org/10.24996/ijs.2022.63.8.36</w:t>
        </w:r>
      </w:hyperlink>
    </w:p>
    <w:p w14:paraId="0E7E489C" w14:textId="618C319E" w:rsidR="001E263A" w:rsidRPr="000071E2" w:rsidRDefault="001E263A" w:rsidP="003811E5">
      <w:pPr>
        <w:spacing w:before="120"/>
        <w:jc w:val="both"/>
        <w:rPr>
          <w:sz w:val="20"/>
          <w:szCs w:val="20"/>
        </w:rPr>
      </w:pPr>
      <w:r w:rsidRPr="000071E2">
        <w:rPr>
          <w:sz w:val="20"/>
          <w:szCs w:val="20"/>
        </w:rPr>
        <w:t xml:space="preserve">Zhang, H., Chen, Y., Rong, W., Wang, J., &amp; Tan, J. (2022). Effect of social media rumors on stock market volatility: A case of data mining in China. </w:t>
      </w:r>
      <w:hyperlink r:id="rId49" w:history="1">
        <w:r w:rsidR="00C1032D" w:rsidRPr="000071E2">
          <w:rPr>
            <w:rStyle w:val="Hyperlink"/>
            <w:sz w:val="20"/>
            <w:szCs w:val="20"/>
          </w:rPr>
          <w:t>https://doi.org/10.3389/fphy.2022.987799</w:t>
        </w:r>
      </w:hyperlink>
    </w:p>
    <w:p w14:paraId="2831DB6F" w14:textId="3751F03E" w:rsidR="001E263A" w:rsidRPr="000071E2" w:rsidRDefault="001E263A" w:rsidP="003811E5">
      <w:pPr>
        <w:spacing w:before="120"/>
        <w:jc w:val="both"/>
        <w:rPr>
          <w:sz w:val="20"/>
          <w:szCs w:val="20"/>
        </w:rPr>
      </w:pPr>
      <w:r w:rsidRPr="000071E2">
        <w:rPr>
          <w:sz w:val="20"/>
          <w:szCs w:val="20"/>
        </w:rPr>
        <w:t xml:space="preserve">Zhang, W., &amp; Wang, C. (2024). Rumors and price efficiency in stock market: An empirical study of rumor verification on investor Interactive platforms. China Journal of Accounting Research. </w:t>
      </w:r>
      <w:hyperlink r:id="rId50" w:history="1">
        <w:r w:rsidR="00C1032D" w:rsidRPr="000071E2">
          <w:rPr>
            <w:rStyle w:val="Hyperlink"/>
            <w:sz w:val="20"/>
            <w:szCs w:val="20"/>
          </w:rPr>
          <w:t>https://doi.org/10.1016/j.cjar.2024.100356</w:t>
        </w:r>
      </w:hyperlink>
    </w:p>
    <w:p w14:paraId="1436A7C6" w14:textId="77777777" w:rsidR="001E263A" w:rsidRPr="000071E2" w:rsidRDefault="001E263A" w:rsidP="003811E5">
      <w:pPr>
        <w:spacing w:before="120"/>
        <w:jc w:val="both"/>
        <w:rPr>
          <w:sz w:val="20"/>
          <w:szCs w:val="20"/>
        </w:rPr>
      </w:pPr>
      <w:r w:rsidRPr="000071E2">
        <w:rPr>
          <w:sz w:val="20"/>
          <w:szCs w:val="20"/>
        </w:rPr>
        <w:t>Zhao, J., He, X., &amp; Wu, F. (2010). A study on the rumors spread in China’s stock markets: Spreading and dispelling rumors and on its shocks on stock prices. Manage. World, 11, 38–51.</w:t>
      </w:r>
    </w:p>
    <w:p w14:paraId="17220EAF" w14:textId="0C56F5CC" w:rsidR="001E263A" w:rsidRPr="000071E2" w:rsidRDefault="001E263A" w:rsidP="003811E5">
      <w:pPr>
        <w:spacing w:before="120"/>
        <w:jc w:val="both"/>
        <w:rPr>
          <w:sz w:val="20"/>
          <w:szCs w:val="20"/>
          <w:lang w:val="pl-PL"/>
        </w:rPr>
      </w:pPr>
      <w:r w:rsidRPr="00036EEF">
        <w:rPr>
          <w:sz w:val="20"/>
          <w:szCs w:val="20"/>
        </w:rPr>
        <w:t xml:space="preserve">Zubiaga, A., Aker, A., </w:t>
      </w:r>
      <w:proofErr w:type="spellStart"/>
      <w:r w:rsidRPr="00036EEF">
        <w:rPr>
          <w:sz w:val="20"/>
          <w:szCs w:val="20"/>
        </w:rPr>
        <w:t>Bontcheva</w:t>
      </w:r>
      <w:proofErr w:type="spellEnd"/>
      <w:r w:rsidRPr="00036EEF">
        <w:rPr>
          <w:sz w:val="20"/>
          <w:szCs w:val="20"/>
        </w:rPr>
        <w:t xml:space="preserve">, K., </w:t>
      </w:r>
      <w:proofErr w:type="spellStart"/>
      <w:r w:rsidRPr="00036EEF">
        <w:rPr>
          <w:sz w:val="20"/>
          <w:szCs w:val="20"/>
        </w:rPr>
        <w:t>Liakata</w:t>
      </w:r>
      <w:proofErr w:type="spellEnd"/>
      <w:r w:rsidRPr="00036EEF">
        <w:rPr>
          <w:sz w:val="20"/>
          <w:szCs w:val="20"/>
        </w:rPr>
        <w:t xml:space="preserve">, M., &amp; Procter, R. (2017). </w:t>
      </w:r>
      <w:r w:rsidRPr="000071E2">
        <w:rPr>
          <w:sz w:val="20"/>
          <w:szCs w:val="20"/>
        </w:rPr>
        <w:t xml:space="preserve">Detection and Resolution of </w:t>
      </w:r>
      <w:proofErr w:type="spellStart"/>
      <w:r w:rsidRPr="000071E2">
        <w:rPr>
          <w:sz w:val="20"/>
          <w:szCs w:val="20"/>
        </w:rPr>
        <w:t>Rumours</w:t>
      </w:r>
      <w:proofErr w:type="spellEnd"/>
      <w:r w:rsidRPr="000071E2">
        <w:rPr>
          <w:sz w:val="20"/>
          <w:szCs w:val="20"/>
        </w:rPr>
        <w:t xml:space="preserve"> in Social Media. ACM Computing Surveys (CSUR), 51, 1–36. </w:t>
      </w:r>
      <w:hyperlink r:id="rId51" w:history="1">
        <w:r w:rsidR="00C1032D" w:rsidRPr="000071E2">
          <w:rPr>
            <w:rStyle w:val="Hyperlink"/>
            <w:sz w:val="20"/>
            <w:szCs w:val="20"/>
            <w:lang w:val="pl-PL"/>
          </w:rPr>
          <w:t>https://doi.org/10.1145/3161603</w:t>
        </w:r>
      </w:hyperlink>
    </w:p>
    <w:p w14:paraId="343651E0" w14:textId="2416EDB1" w:rsidR="00213C2A" w:rsidRPr="000071E2" w:rsidRDefault="001E263A" w:rsidP="003811E5">
      <w:pPr>
        <w:spacing w:before="120"/>
        <w:jc w:val="both"/>
        <w:rPr>
          <w:sz w:val="20"/>
          <w:szCs w:val="20"/>
        </w:rPr>
      </w:pPr>
      <w:r w:rsidRPr="000071E2">
        <w:rPr>
          <w:sz w:val="20"/>
          <w:szCs w:val="20"/>
          <w:lang w:val="pl-PL"/>
        </w:rPr>
        <w:t xml:space="preserve">Zubiaga, A., Hoi, G., Liakata, M., Procter, R., &amp; Tolmie, P. (2015). </w:t>
      </w:r>
      <w:proofErr w:type="spellStart"/>
      <w:r w:rsidRPr="000071E2">
        <w:rPr>
          <w:sz w:val="20"/>
          <w:szCs w:val="20"/>
        </w:rPr>
        <w:t>Analysing</w:t>
      </w:r>
      <w:proofErr w:type="spellEnd"/>
      <w:r w:rsidRPr="000071E2">
        <w:rPr>
          <w:sz w:val="20"/>
          <w:szCs w:val="20"/>
        </w:rPr>
        <w:t xml:space="preserve"> How People Orient to and Spread </w:t>
      </w:r>
      <w:proofErr w:type="spellStart"/>
      <w:r w:rsidRPr="000071E2">
        <w:rPr>
          <w:sz w:val="20"/>
          <w:szCs w:val="20"/>
        </w:rPr>
        <w:t>Rumours</w:t>
      </w:r>
      <w:proofErr w:type="spellEnd"/>
      <w:r w:rsidRPr="000071E2">
        <w:rPr>
          <w:sz w:val="20"/>
          <w:szCs w:val="20"/>
        </w:rPr>
        <w:t xml:space="preserve"> in </w:t>
      </w:r>
      <w:proofErr w:type="gramStart"/>
      <w:r w:rsidRPr="000071E2">
        <w:rPr>
          <w:sz w:val="20"/>
          <w:szCs w:val="20"/>
        </w:rPr>
        <w:t>Social Media</w:t>
      </w:r>
      <w:proofErr w:type="gramEnd"/>
      <w:r w:rsidRPr="000071E2">
        <w:rPr>
          <w:sz w:val="20"/>
          <w:szCs w:val="20"/>
        </w:rPr>
        <w:t xml:space="preserve"> by Looking at Conversational Threads. </w:t>
      </w:r>
      <w:proofErr w:type="spellStart"/>
      <w:r w:rsidRPr="000071E2">
        <w:rPr>
          <w:sz w:val="20"/>
          <w:szCs w:val="20"/>
        </w:rPr>
        <w:t>PLoS</w:t>
      </w:r>
      <w:proofErr w:type="spellEnd"/>
      <w:r w:rsidRPr="000071E2">
        <w:rPr>
          <w:sz w:val="20"/>
          <w:szCs w:val="20"/>
        </w:rPr>
        <w:t xml:space="preserve"> ONE, 11. </w:t>
      </w:r>
      <w:hyperlink r:id="rId52" w:history="1">
        <w:r w:rsidR="00213C2A" w:rsidRPr="000071E2">
          <w:rPr>
            <w:rStyle w:val="Hyperlink"/>
            <w:sz w:val="20"/>
            <w:szCs w:val="20"/>
          </w:rPr>
          <w:t>https://doi.org/10.1371/journal.pone.0150989</w:t>
        </w:r>
      </w:hyperlink>
    </w:p>
    <w:sectPr w:rsidR="00213C2A" w:rsidRPr="000071E2">
      <w:type w:val="continuous"/>
      <w:pgSz w:w="11906" w:h="16838"/>
      <w:pgMar w:top="1418" w:right="1134" w:bottom="1418" w:left="1134"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5EC83" w14:textId="77777777" w:rsidR="006E775A" w:rsidRDefault="006E775A">
      <w:r>
        <w:separator/>
      </w:r>
    </w:p>
  </w:endnote>
  <w:endnote w:type="continuationSeparator" w:id="0">
    <w:p w14:paraId="187D5607" w14:textId="77777777" w:rsidR="006E775A" w:rsidRDefault="006E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6ADE7" w14:textId="77777777" w:rsidR="003D6CAC" w:rsidRDefault="00436226">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11A6930" w14:textId="77777777" w:rsidR="003D6CAC" w:rsidRDefault="003D6CAC">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6078D" w14:textId="77777777" w:rsidR="003D6CAC" w:rsidRDefault="00436226">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5B21F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0008D" w14:textId="77777777" w:rsidR="006E775A" w:rsidRDefault="006E775A">
      <w:r>
        <w:separator/>
      </w:r>
    </w:p>
  </w:footnote>
  <w:footnote w:type="continuationSeparator" w:id="0">
    <w:p w14:paraId="43362985" w14:textId="77777777" w:rsidR="006E775A" w:rsidRDefault="006E7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06158" w14:textId="77777777" w:rsidR="003D6CAC" w:rsidRDefault="00436226">
    <w:pPr>
      <w:spacing w:line="312" w:lineRule="auto"/>
      <w:jc w:val="center"/>
      <w:rPr>
        <w:i/>
        <w:color w:val="000000"/>
      </w:rPr>
    </w:pPr>
    <w:r>
      <w:rPr>
        <w:i/>
        <w:color w:val="000000"/>
      </w:rPr>
      <w:t>ICECH202</w:t>
    </w:r>
    <w:r>
      <w:rPr>
        <w:i/>
      </w:rPr>
      <w:t>5</w:t>
    </w:r>
    <w:r>
      <w:rPr>
        <w:i/>
        <w:color w:val="000000"/>
      </w:rPr>
      <w:t xml:space="preserve"> - The 13</w:t>
    </w:r>
    <w:r>
      <w:rPr>
        <w:i/>
        <w:color w:val="000000"/>
        <w:vertAlign w:val="superscript"/>
      </w:rPr>
      <w:t>th</w:t>
    </w:r>
    <w:r>
      <w:rPr>
        <w:i/>
        <w:color w:val="000000"/>
      </w:rPr>
      <w:t xml:space="preserve"> International Conference on Emerging Challenges: Business Dynamics in Disruptive Economy </w:t>
    </w:r>
  </w:p>
  <w:p w14:paraId="46134E00" w14:textId="77777777" w:rsidR="003D6CAC" w:rsidRDefault="003D6CAC">
    <w:pPr>
      <w:pBdr>
        <w:top w:val="nil"/>
        <w:left w:val="nil"/>
        <w:bottom w:val="single" w:sz="4" w:space="1" w:color="000000"/>
        <w:right w:val="nil"/>
        <w:between w:val="nil"/>
      </w:pBdr>
      <w:tabs>
        <w:tab w:val="center" w:pos="4252"/>
        <w:tab w:val="right" w:pos="8504"/>
        <w:tab w:val="center" w:pos="3402"/>
      </w:tabs>
      <w:jc w:val="center"/>
      <w:rPr>
        <w: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CAC"/>
    <w:rsid w:val="000071E2"/>
    <w:rsid w:val="000149ED"/>
    <w:rsid w:val="000151E8"/>
    <w:rsid w:val="00026560"/>
    <w:rsid w:val="00033B17"/>
    <w:rsid w:val="00036EEF"/>
    <w:rsid w:val="0004370C"/>
    <w:rsid w:val="000504AA"/>
    <w:rsid w:val="00051145"/>
    <w:rsid w:val="0007205A"/>
    <w:rsid w:val="00072BFC"/>
    <w:rsid w:val="00074BFE"/>
    <w:rsid w:val="0009614D"/>
    <w:rsid w:val="000A0A0C"/>
    <w:rsid w:val="000B003B"/>
    <w:rsid w:val="000E209D"/>
    <w:rsid w:val="000E5A6F"/>
    <w:rsid w:val="000E7A7B"/>
    <w:rsid w:val="000F0005"/>
    <w:rsid w:val="000F5A92"/>
    <w:rsid w:val="00111018"/>
    <w:rsid w:val="001161B2"/>
    <w:rsid w:val="00116E8E"/>
    <w:rsid w:val="00123355"/>
    <w:rsid w:val="001261EC"/>
    <w:rsid w:val="00131208"/>
    <w:rsid w:val="00131A1C"/>
    <w:rsid w:val="00146DC4"/>
    <w:rsid w:val="00150D3F"/>
    <w:rsid w:val="001627E4"/>
    <w:rsid w:val="00165B09"/>
    <w:rsid w:val="00172FC6"/>
    <w:rsid w:val="00183EA5"/>
    <w:rsid w:val="0018468F"/>
    <w:rsid w:val="001918D7"/>
    <w:rsid w:val="00196E90"/>
    <w:rsid w:val="001A3D94"/>
    <w:rsid w:val="001A4883"/>
    <w:rsid w:val="001A78A6"/>
    <w:rsid w:val="001A7F4F"/>
    <w:rsid w:val="001B2D1B"/>
    <w:rsid w:val="001B374F"/>
    <w:rsid w:val="001C693A"/>
    <w:rsid w:val="001D2C0D"/>
    <w:rsid w:val="001D3650"/>
    <w:rsid w:val="001D3788"/>
    <w:rsid w:val="001E23C7"/>
    <w:rsid w:val="001E263A"/>
    <w:rsid w:val="001E6010"/>
    <w:rsid w:val="001F1C83"/>
    <w:rsid w:val="001F3320"/>
    <w:rsid w:val="002058F1"/>
    <w:rsid w:val="00206452"/>
    <w:rsid w:val="00211104"/>
    <w:rsid w:val="00213C2A"/>
    <w:rsid w:val="00232135"/>
    <w:rsid w:val="00233FFB"/>
    <w:rsid w:val="00240C9A"/>
    <w:rsid w:val="00254F30"/>
    <w:rsid w:val="00255A7A"/>
    <w:rsid w:val="00261949"/>
    <w:rsid w:val="00266B6F"/>
    <w:rsid w:val="002721A4"/>
    <w:rsid w:val="00287F82"/>
    <w:rsid w:val="002936CA"/>
    <w:rsid w:val="002C6B01"/>
    <w:rsid w:val="002E1160"/>
    <w:rsid w:val="002E341F"/>
    <w:rsid w:val="0031030F"/>
    <w:rsid w:val="0031031F"/>
    <w:rsid w:val="00314826"/>
    <w:rsid w:val="003207AE"/>
    <w:rsid w:val="00322DC2"/>
    <w:rsid w:val="00333B90"/>
    <w:rsid w:val="00337213"/>
    <w:rsid w:val="003400C4"/>
    <w:rsid w:val="00341C43"/>
    <w:rsid w:val="003420A5"/>
    <w:rsid w:val="00346ADE"/>
    <w:rsid w:val="00353F80"/>
    <w:rsid w:val="00367657"/>
    <w:rsid w:val="00371F47"/>
    <w:rsid w:val="00374491"/>
    <w:rsid w:val="003745C2"/>
    <w:rsid w:val="003811E5"/>
    <w:rsid w:val="00383C9F"/>
    <w:rsid w:val="00386D9E"/>
    <w:rsid w:val="00394B5B"/>
    <w:rsid w:val="003A11A5"/>
    <w:rsid w:val="003A1876"/>
    <w:rsid w:val="003B0624"/>
    <w:rsid w:val="003B52A7"/>
    <w:rsid w:val="003C0555"/>
    <w:rsid w:val="003C4428"/>
    <w:rsid w:val="003C7E57"/>
    <w:rsid w:val="003D137B"/>
    <w:rsid w:val="003D6CAC"/>
    <w:rsid w:val="003F0C1C"/>
    <w:rsid w:val="004156F0"/>
    <w:rsid w:val="00436226"/>
    <w:rsid w:val="00437A7B"/>
    <w:rsid w:val="004412A6"/>
    <w:rsid w:val="00446B04"/>
    <w:rsid w:val="00452CD7"/>
    <w:rsid w:val="004656E6"/>
    <w:rsid w:val="00466766"/>
    <w:rsid w:val="0047045C"/>
    <w:rsid w:val="004727C5"/>
    <w:rsid w:val="00487AAC"/>
    <w:rsid w:val="00487FFC"/>
    <w:rsid w:val="00495157"/>
    <w:rsid w:val="004A1B76"/>
    <w:rsid w:val="004B50EE"/>
    <w:rsid w:val="004C3C23"/>
    <w:rsid w:val="004C7528"/>
    <w:rsid w:val="004D2034"/>
    <w:rsid w:val="004D794B"/>
    <w:rsid w:val="004E23A8"/>
    <w:rsid w:val="004E70EB"/>
    <w:rsid w:val="004E74D3"/>
    <w:rsid w:val="004F7A68"/>
    <w:rsid w:val="0050555B"/>
    <w:rsid w:val="00512892"/>
    <w:rsid w:val="005229DF"/>
    <w:rsid w:val="00530B78"/>
    <w:rsid w:val="00530BC2"/>
    <w:rsid w:val="00531878"/>
    <w:rsid w:val="00531B24"/>
    <w:rsid w:val="00531BFC"/>
    <w:rsid w:val="005448F6"/>
    <w:rsid w:val="00563718"/>
    <w:rsid w:val="00563884"/>
    <w:rsid w:val="00567841"/>
    <w:rsid w:val="005711E2"/>
    <w:rsid w:val="00576F4C"/>
    <w:rsid w:val="00580DA8"/>
    <w:rsid w:val="00583A35"/>
    <w:rsid w:val="00587257"/>
    <w:rsid w:val="005A0AA7"/>
    <w:rsid w:val="005A2D42"/>
    <w:rsid w:val="005A6058"/>
    <w:rsid w:val="005A7C59"/>
    <w:rsid w:val="005B21FC"/>
    <w:rsid w:val="005B5F6C"/>
    <w:rsid w:val="005C0A6D"/>
    <w:rsid w:val="005D2E74"/>
    <w:rsid w:val="005D5A82"/>
    <w:rsid w:val="005E0643"/>
    <w:rsid w:val="005E78E5"/>
    <w:rsid w:val="005E7DE3"/>
    <w:rsid w:val="005F0A46"/>
    <w:rsid w:val="005F20EF"/>
    <w:rsid w:val="005F5047"/>
    <w:rsid w:val="00601DA2"/>
    <w:rsid w:val="006056E2"/>
    <w:rsid w:val="006136DA"/>
    <w:rsid w:val="00614EEF"/>
    <w:rsid w:val="006247BC"/>
    <w:rsid w:val="00643A2A"/>
    <w:rsid w:val="006546C6"/>
    <w:rsid w:val="006617B4"/>
    <w:rsid w:val="00662229"/>
    <w:rsid w:val="00663DAA"/>
    <w:rsid w:val="0067527C"/>
    <w:rsid w:val="0067628E"/>
    <w:rsid w:val="00677CBB"/>
    <w:rsid w:val="00692364"/>
    <w:rsid w:val="006940CE"/>
    <w:rsid w:val="00694C4F"/>
    <w:rsid w:val="0069546C"/>
    <w:rsid w:val="006A081B"/>
    <w:rsid w:val="006A0E39"/>
    <w:rsid w:val="006A62C1"/>
    <w:rsid w:val="006C0026"/>
    <w:rsid w:val="006D35E5"/>
    <w:rsid w:val="006D525B"/>
    <w:rsid w:val="006D7513"/>
    <w:rsid w:val="006E0B2B"/>
    <w:rsid w:val="006E0ED9"/>
    <w:rsid w:val="006E775A"/>
    <w:rsid w:val="006F0D9A"/>
    <w:rsid w:val="006F6259"/>
    <w:rsid w:val="006F7428"/>
    <w:rsid w:val="00723B1F"/>
    <w:rsid w:val="0072516F"/>
    <w:rsid w:val="0073308D"/>
    <w:rsid w:val="00735D1A"/>
    <w:rsid w:val="00764ED1"/>
    <w:rsid w:val="00774C49"/>
    <w:rsid w:val="00784920"/>
    <w:rsid w:val="00786044"/>
    <w:rsid w:val="007868A6"/>
    <w:rsid w:val="00796D46"/>
    <w:rsid w:val="007A03DA"/>
    <w:rsid w:val="007A1774"/>
    <w:rsid w:val="007A4679"/>
    <w:rsid w:val="007C29BA"/>
    <w:rsid w:val="007E47DF"/>
    <w:rsid w:val="007E64FE"/>
    <w:rsid w:val="007F3CAD"/>
    <w:rsid w:val="00805C23"/>
    <w:rsid w:val="00806D85"/>
    <w:rsid w:val="00812EB2"/>
    <w:rsid w:val="0084683D"/>
    <w:rsid w:val="0085332C"/>
    <w:rsid w:val="00853F20"/>
    <w:rsid w:val="00894E65"/>
    <w:rsid w:val="008A380E"/>
    <w:rsid w:val="008A625C"/>
    <w:rsid w:val="008B0F53"/>
    <w:rsid w:val="008B2AFA"/>
    <w:rsid w:val="008B77AE"/>
    <w:rsid w:val="008C1F76"/>
    <w:rsid w:val="008C3A48"/>
    <w:rsid w:val="008C5C33"/>
    <w:rsid w:val="008C6232"/>
    <w:rsid w:val="008D298A"/>
    <w:rsid w:val="008E6F93"/>
    <w:rsid w:val="008F6659"/>
    <w:rsid w:val="00903C2B"/>
    <w:rsid w:val="00905184"/>
    <w:rsid w:val="0091030D"/>
    <w:rsid w:val="00922709"/>
    <w:rsid w:val="00934172"/>
    <w:rsid w:val="0094301B"/>
    <w:rsid w:val="0094741C"/>
    <w:rsid w:val="00953338"/>
    <w:rsid w:val="009578F0"/>
    <w:rsid w:val="0098277D"/>
    <w:rsid w:val="0099440A"/>
    <w:rsid w:val="009A3FFE"/>
    <w:rsid w:val="009C0732"/>
    <w:rsid w:val="009D2A6B"/>
    <w:rsid w:val="009E1E48"/>
    <w:rsid w:val="009E22AB"/>
    <w:rsid w:val="009E2953"/>
    <w:rsid w:val="009E413B"/>
    <w:rsid w:val="009F462E"/>
    <w:rsid w:val="00A13BF2"/>
    <w:rsid w:val="00A150D6"/>
    <w:rsid w:val="00A20342"/>
    <w:rsid w:val="00A218DC"/>
    <w:rsid w:val="00A229A9"/>
    <w:rsid w:val="00A25FBD"/>
    <w:rsid w:val="00A26519"/>
    <w:rsid w:val="00A309E6"/>
    <w:rsid w:val="00A30E15"/>
    <w:rsid w:val="00A35D2F"/>
    <w:rsid w:val="00A50EE9"/>
    <w:rsid w:val="00A53B18"/>
    <w:rsid w:val="00A60CBE"/>
    <w:rsid w:val="00A61928"/>
    <w:rsid w:val="00A61A9E"/>
    <w:rsid w:val="00A62AC2"/>
    <w:rsid w:val="00A63032"/>
    <w:rsid w:val="00A71A87"/>
    <w:rsid w:val="00A83D32"/>
    <w:rsid w:val="00A935C6"/>
    <w:rsid w:val="00AA72AB"/>
    <w:rsid w:val="00AA7D79"/>
    <w:rsid w:val="00AD7593"/>
    <w:rsid w:val="00AD7FA9"/>
    <w:rsid w:val="00AE09D8"/>
    <w:rsid w:val="00AF0405"/>
    <w:rsid w:val="00AF1D71"/>
    <w:rsid w:val="00B004B5"/>
    <w:rsid w:val="00B00563"/>
    <w:rsid w:val="00B025E8"/>
    <w:rsid w:val="00B060C4"/>
    <w:rsid w:val="00B0749D"/>
    <w:rsid w:val="00B13018"/>
    <w:rsid w:val="00B13D3E"/>
    <w:rsid w:val="00B23D9B"/>
    <w:rsid w:val="00B3480E"/>
    <w:rsid w:val="00B35A70"/>
    <w:rsid w:val="00B36191"/>
    <w:rsid w:val="00B37552"/>
    <w:rsid w:val="00B37B45"/>
    <w:rsid w:val="00B37BE2"/>
    <w:rsid w:val="00B41107"/>
    <w:rsid w:val="00B456C3"/>
    <w:rsid w:val="00B45B8C"/>
    <w:rsid w:val="00B76AAE"/>
    <w:rsid w:val="00B87D3C"/>
    <w:rsid w:val="00B90593"/>
    <w:rsid w:val="00BB5395"/>
    <w:rsid w:val="00BB5D1A"/>
    <w:rsid w:val="00BB7C4B"/>
    <w:rsid w:val="00BC1896"/>
    <w:rsid w:val="00BC5ECC"/>
    <w:rsid w:val="00BC6E23"/>
    <w:rsid w:val="00BC7EB4"/>
    <w:rsid w:val="00BD3878"/>
    <w:rsid w:val="00BE5C88"/>
    <w:rsid w:val="00BF6DB4"/>
    <w:rsid w:val="00C0103E"/>
    <w:rsid w:val="00C02704"/>
    <w:rsid w:val="00C0494E"/>
    <w:rsid w:val="00C04E74"/>
    <w:rsid w:val="00C04EEA"/>
    <w:rsid w:val="00C06A33"/>
    <w:rsid w:val="00C1032D"/>
    <w:rsid w:val="00C103D8"/>
    <w:rsid w:val="00C15505"/>
    <w:rsid w:val="00C212CA"/>
    <w:rsid w:val="00C26B7A"/>
    <w:rsid w:val="00C42DD7"/>
    <w:rsid w:val="00C5074E"/>
    <w:rsid w:val="00C5227D"/>
    <w:rsid w:val="00C65CA3"/>
    <w:rsid w:val="00C71256"/>
    <w:rsid w:val="00C83B1D"/>
    <w:rsid w:val="00C90186"/>
    <w:rsid w:val="00C929DB"/>
    <w:rsid w:val="00C94DCC"/>
    <w:rsid w:val="00C9790F"/>
    <w:rsid w:val="00CA1963"/>
    <w:rsid w:val="00CB3546"/>
    <w:rsid w:val="00CD5761"/>
    <w:rsid w:val="00CD66E1"/>
    <w:rsid w:val="00CE4A47"/>
    <w:rsid w:val="00CF0D9D"/>
    <w:rsid w:val="00CF575D"/>
    <w:rsid w:val="00D10DEB"/>
    <w:rsid w:val="00D17D52"/>
    <w:rsid w:val="00D3713A"/>
    <w:rsid w:val="00D55665"/>
    <w:rsid w:val="00D56B80"/>
    <w:rsid w:val="00D628D7"/>
    <w:rsid w:val="00D64DCF"/>
    <w:rsid w:val="00D74225"/>
    <w:rsid w:val="00D770B8"/>
    <w:rsid w:val="00D80629"/>
    <w:rsid w:val="00D83B2D"/>
    <w:rsid w:val="00D9054E"/>
    <w:rsid w:val="00DA28C2"/>
    <w:rsid w:val="00DB2809"/>
    <w:rsid w:val="00DD1269"/>
    <w:rsid w:val="00DD22FB"/>
    <w:rsid w:val="00DD4179"/>
    <w:rsid w:val="00DE1515"/>
    <w:rsid w:val="00DF0305"/>
    <w:rsid w:val="00E12DC2"/>
    <w:rsid w:val="00E1553F"/>
    <w:rsid w:val="00E17250"/>
    <w:rsid w:val="00E204D4"/>
    <w:rsid w:val="00E20EDD"/>
    <w:rsid w:val="00E21B4E"/>
    <w:rsid w:val="00E4763B"/>
    <w:rsid w:val="00E76C3E"/>
    <w:rsid w:val="00E83538"/>
    <w:rsid w:val="00E83684"/>
    <w:rsid w:val="00E93A89"/>
    <w:rsid w:val="00EA1CD1"/>
    <w:rsid w:val="00EC48AF"/>
    <w:rsid w:val="00EC753D"/>
    <w:rsid w:val="00ED5832"/>
    <w:rsid w:val="00ED7C35"/>
    <w:rsid w:val="00F00E6D"/>
    <w:rsid w:val="00F073C2"/>
    <w:rsid w:val="00F23C50"/>
    <w:rsid w:val="00F31D53"/>
    <w:rsid w:val="00F36376"/>
    <w:rsid w:val="00F55D4D"/>
    <w:rsid w:val="00F62818"/>
    <w:rsid w:val="00F63B34"/>
    <w:rsid w:val="00F741CC"/>
    <w:rsid w:val="00F75462"/>
    <w:rsid w:val="00F7602A"/>
    <w:rsid w:val="00F76121"/>
    <w:rsid w:val="00F76D7D"/>
    <w:rsid w:val="00F8700A"/>
    <w:rsid w:val="00F92F6C"/>
    <w:rsid w:val="00F95427"/>
    <w:rsid w:val="00F9546E"/>
    <w:rsid w:val="00FA53EA"/>
    <w:rsid w:val="00FB707C"/>
    <w:rsid w:val="00FC5699"/>
    <w:rsid w:val="00FC6DDA"/>
    <w:rsid w:val="00FD04DA"/>
    <w:rsid w:val="00FD2A1A"/>
    <w:rsid w:val="00FD309D"/>
    <w:rsid w:val="00FE0F15"/>
    <w:rsid w:val="017A6E23"/>
    <w:rsid w:val="04D6C27F"/>
    <w:rsid w:val="093B738B"/>
    <w:rsid w:val="09B4476E"/>
    <w:rsid w:val="1404738A"/>
    <w:rsid w:val="14426566"/>
    <w:rsid w:val="154197DE"/>
    <w:rsid w:val="276912C8"/>
    <w:rsid w:val="287B623D"/>
    <w:rsid w:val="292CABFD"/>
    <w:rsid w:val="2A713961"/>
    <w:rsid w:val="2B4DF3BD"/>
    <w:rsid w:val="2B86E493"/>
    <w:rsid w:val="2E8D8A94"/>
    <w:rsid w:val="35F1DB69"/>
    <w:rsid w:val="3B58F365"/>
    <w:rsid w:val="41340B30"/>
    <w:rsid w:val="4329DB6C"/>
    <w:rsid w:val="43AA65A5"/>
    <w:rsid w:val="43F57D31"/>
    <w:rsid w:val="45D79B2B"/>
    <w:rsid w:val="474411DB"/>
    <w:rsid w:val="487A10DF"/>
    <w:rsid w:val="4A96126F"/>
    <w:rsid w:val="4B2BF9FD"/>
    <w:rsid w:val="4B35B686"/>
    <w:rsid w:val="4E067FC6"/>
    <w:rsid w:val="58C8E353"/>
    <w:rsid w:val="5AB89968"/>
    <w:rsid w:val="608FCAB3"/>
    <w:rsid w:val="61142508"/>
    <w:rsid w:val="66FA0B99"/>
    <w:rsid w:val="69C09A3B"/>
    <w:rsid w:val="6DED5E6D"/>
    <w:rsid w:val="71DC6FB0"/>
    <w:rsid w:val="72E42E87"/>
    <w:rsid w:val="74291806"/>
    <w:rsid w:val="763B2DA5"/>
    <w:rsid w:val="7A09A1A2"/>
    <w:rsid w:val="7C01DD76"/>
    <w:rsid w:val="7EA7CF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3D8C"/>
  <w15:docId w15:val="{FBAD5B34-E141-4BA2-A624-ED28AF4D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679"/>
    <w:pPr>
      <w:widowControl/>
      <w:jc w:val="left"/>
    </w:pPr>
    <w:rPr>
      <w:sz w:val="24"/>
      <w:szCs w:val="24"/>
      <w:lang w:val="en-US"/>
    </w:rPr>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00">
    <w:name w:val="TableNormal0"/>
    <w:tblPr>
      <w:tblCellMar>
        <w:top w:w="100" w:type="dxa"/>
        <w:left w:w="100" w:type="dxa"/>
        <w:bottom w:w="100" w:type="dxa"/>
        <w:right w:w="100" w:type="dxa"/>
      </w:tblCellMar>
    </w:tblPr>
  </w:style>
  <w:style w:type="table" w:customStyle="1" w:styleId="TableNormal1">
    <w:name w:val="Table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2" w:type="dxa"/>
        <w:right w:w="12" w:type="dxa"/>
      </w:tblCellMar>
    </w:tblPr>
  </w:style>
  <w:style w:type="table" w:customStyle="1" w:styleId="a0">
    <w:basedOn w:val="TableNormal"/>
    <w:tblPr>
      <w:tblStyleRowBandSize w:val="1"/>
      <w:tblStyleColBandSize w:val="1"/>
      <w:tblCellMar>
        <w:left w:w="99" w:type="dxa"/>
        <w:right w:w="99" w:type="dxa"/>
      </w:tblCellMar>
    </w:tblPr>
  </w:style>
  <w:style w:type="table" w:customStyle="1" w:styleId="a1">
    <w:basedOn w:val="TableNormal"/>
    <w:tblPr>
      <w:tblStyleRowBandSize w:val="1"/>
      <w:tblStyleColBandSize w:val="1"/>
      <w:tblCellMar>
        <w:left w:w="99" w:type="dxa"/>
        <w:right w:w="99" w:type="dxa"/>
      </w:tblCellMar>
    </w:tblPr>
  </w:style>
  <w:style w:type="paragraph" w:styleId="Header">
    <w:name w:val="header"/>
    <w:basedOn w:val="Normal"/>
    <w:link w:val="HeaderChar"/>
    <w:uiPriority w:val="99"/>
    <w:unhideWhenUsed/>
    <w:rsid w:val="007A17E9"/>
    <w:pPr>
      <w:tabs>
        <w:tab w:val="center" w:pos="4680"/>
        <w:tab w:val="right" w:pos="9360"/>
      </w:tabs>
    </w:pPr>
  </w:style>
  <w:style w:type="character" w:customStyle="1" w:styleId="HeaderChar">
    <w:name w:val="Header Char"/>
    <w:basedOn w:val="DefaultParagraphFont"/>
    <w:link w:val="Header"/>
    <w:uiPriority w:val="99"/>
    <w:rsid w:val="007A17E9"/>
  </w:style>
  <w:style w:type="paragraph" w:styleId="Footer">
    <w:name w:val="footer"/>
    <w:basedOn w:val="Normal"/>
    <w:link w:val="FooterChar"/>
    <w:uiPriority w:val="99"/>
    <w:unhideWhenUsed/>
    <w:rsid w:val="007A17E9"/>
    <w:pPr>
      <w:tabs>
        <w:tab w:val="center" w:pos="4680"/>
        <w:tab w:val="right" w:pos="9360"/>
      </w:tabs>
    </w:pPr>
  </w:style>
  <w:style w:type="character" w:customStyle="1" w:styleId="FooterChar">
    <w:name w:val="Footer Char"/>
    <w:basedOn w:val="DefaultParagraphFont"/>
    <w:link w:val="Footer"/>
    <w:uiPriority w:val="99"/>
    <w:rsid w:val="007A17E9"/>
  </w:style>
  <w:style w:type="table" w:customStyle="1" w:styleId="a2">
    <w:basedOn w:val="TableNormal"/>
    <w:tblPr>
      <w:tblStyleRowBandSize w:val="1"/>
      <w:tblStyleColBandSize w:val="1"/>
      <w:tblCellMar>
        <w:left w:w="99" w:type="dxa"/>
        <w:right w:w="99" w:type="dxa"/>
      </w:tblCellMar>
    </w:tblPr>
  </w:style>
  <w:style w:type="table" w:customStyle="1" w:styleId="a3">
    <w:basedOn w:val="TableNormal"/>
    <w:tblPr>
      <w:tblStyleRowBandSize w:val="1"/>
      <w:tblStyleColBandSize w:val="1"/>
      <w:tblCellMar>
        <w:left w:w="99" w:type="dxa"/>
        <w:right w:w="99" w:type="dxa"/>
      </w:tblCellMar>
    </w:tblPr>
  </w:style>
  <w:style w:type="table" w:customStyle="1" w:styleId="a4">
    <w:basedOn w:val="TableNormal"/>
    <w:tblPr>
      <w:tblStyleRowBandSize w:val="1"/>
      <w:tblStyleColBandSize w:val="1"/>
      <w:tblCellMar>
        <w:left w:w="99" w:type="dxa"/>
        <w:right w:w="99" w:type="dxa"/>
      </w:tblCellMar>
    </w:tblPr>
  </w:style>
  <w:style w:type="character" w:styleId="Hyperlink">
    <w:name w:val="Hyperlink"/>
    <w:uiPriority w:val="99"/>
    <w:unhideWhenUsed/>
    <w:rsid w:val="00FE1ADD"/>
    <w:rPr>
      <w:color w:val="0000FF"/>
      <w:u w:val="single"/>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left w:w="99" w:type="dxa"/>
        <w:right w:w="99" w:type="dxa"/>
      </w:tblCellMar>
    </w:tblPr>
  </w:style>
  <w:style w:type="table" w:customStyle="1" w:styleId="a7">
    <w:basedOn w:val="TableNormal"/>
    <w:tblPr>
      <w:tblStyleRowBandSize w:val="1"/>
      <w:tblStyleColBandSize w:val="1"/>
      <w:tblCellMar>
        <w:left w:w="99" w:type="dxa"/>
        <w:right w:w="99"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tblPr>
      <w:tblStyleRowBandSize w:val="1"/>
      <w:tblStyleColBandSize w:val="1"/>
      <w:tblCellMar>
        <w:left w:w="99" w:type="dxa"/>
        <w:right w:w="99" w:type="dxa"/>
      </w:tblCellMar>
    </w:tblPr>
  </w:style>
  <w:style w:type="table" w:customStyle="1" w:styleId="a9">
    <w:basedOn w:val="TableNormal"/>
    <w:tblPr>
      <w:tblStyleRowBandSize w:val="1"/>
      <w:tblStyleColBandSize w:val="1"/>
      <w:tblCellMar>
        <w:left w:w="99" w:type="dxa"/>
        <w:right w:w="99" w:type="dxa"/>
      </w:tblCellMar>
    </w:tblPr>
  </w:style>
  <w:style w:type="table" w:customStyle="1" w:styleId="aa">
    <w:basedOn w:val="TableNormal"/>
    <w:tblPr>
      <w:tblStyleRowBandSize w:val="1"/>
      <w:tblStyleColBandSize w:val="1"/>
    </w:tblPr>
  </w:style>
  <w:style w:type="character" w:styleId="PlaceholderText">
    <w:name w:val="Placeholder Text"/>
    <w:basedOn w:val="DefaultParagraphFont"/>
    <w:uiPriority w:val="99"/>
    <w:semiHidden/>
    <w:rsid w:val="00F76121"/>
    <w:rPr>
      <w:color w:val="666666"/>
    </w:rPr>
  </w:style>
  <w:style w:type="character" w:styleId="UnresolvedMention">
    <w:name w:val="Unresolved Mention"/>
    <w:basedOn w:val="DefaultParagraphFont"/>
    <w:uiPriority w:val="99"/>
    <w:semiHidden/>
    <w:unhideWhenUsed/>
    <w:rsid w:val="00F76D7D"/>
    <w:rPr>
      <w:color w:val="605E5C"/>
      <w:shd w:val="clear" w:color="auto" w:fill="E1DFDD"/>
    </w:rPr>
  </w:style>
  <w:style w:type="paragraph" w:styleId="ListParagraph">
    <w:name w:val="List Paragraph"/>
    <w:basedOn w:val="Normal"/>
    <w:uiPriority w:val="34"/>
    <w:qFormat/>
    <w:rsid w:val="002058F1"/>
    <w:pPr>
      <w:ind w:left="720"/>
      <w:contextualSpacing/>
    </w:pPr>
  </w:style>
  <w:style w:type="character" w:styleId="FollowedHyperlink">
    <w:name w:val="FollowedHyperlink"/>
    <w:basedOn w:val="DefaultParagraphFont"/>
    <w:uiPriority w:val="99"/>
    <w:semiHidden/>
    <w:unhideWhenUsed/>
    <w:rsid w:val="00AE09D8"/>
    <w:rPr>
      <w:color w:val="800080" w:themeColor="followedHyperlink"/>
      <w:u w:val="single"/>
    </w:rPr>
  </w:style>
  <w:style w:type="table" w:customStyle="1" w:styleId="TableNormal000">
    <w:name w:val="TableNormal00"/>
    <w:rsid w:val="00F9546E"/>
    <w:tblPr>
      <w:tblCellMar>
        <w:top w:w="100" w:type="dxa"/>
        <w:left w:w="100" w:type="dxa"/>
        <w:bottom w:w="100" w:type="dxa"/>
        <w:right w:w="100" w:type="dxa"/>
      </w:tblCellMar>
    </w:tblPr>
  </w:style>
  <w:style w:type="table" w:customStyle="1" w:styleId="TableNormal10">
    <w:name w:val="TableNormal10"/>
    <w:rsid w:val="00F9546E"/>
    <w:tblPr>
      <w:tblCellMar>
        <w:top w:w="0" w:type="dxa"/>
        <w:left w:w="0" w:type="dxa"/>
        <w:bottom w:w="0" w:type="dxa"/>
        <w:right w:w="0" w:type="dxa"/>
      </w:tblCellMar>
    </w:tblPr>
  </w:style>
  <w:style w:type="table" w:customStyle="1" w:styleId="TableNormal0000">
    <w:name w:val="TableNormal000"/>
    <w:rsid w:val="00C65CA3"/>
    <w:tblPr>
      <w:tblCellMar>
        <w:top w:w="100" w:type="dxa"/>
        <w:left w:w="100" w:type="dxa"/>
        <w:bottom w:w="100" w:type="dxa"/>
        <w:right w:w="100" w:type="dxa"/>
      </w:tblCellMar>
    </w:tblPr>
  </w:style>
  <w:style w:type="table" w:customStyle="1" w:styleId="TableNormal100">
    <w:name w:val="TableNormal100"/>
    <w:rsid w:val="00C65CA3"/>
    <w:tblPr>
      <w:tblCellMar>
        <w:top w:w="0" w:type="dxa"/>
        <w:left w:w="0" w:type="dxa"/>
        <w:bottom w:w="0" w:type="dxa"/>
        <w:right w:w="0" w:type="dxa"/>
      </w:tblCellMar>
    </w:tblPr>
  </w:style>
  <w:style w:type="table" w:customStyle="1" w:styleId="TableNormal00000">
    <w:name w:val="TableNormal0000"/>
    <w:rsid w:val="00B87D3C"/>
    <w:tblPr>
      <w:tblCellMar>
        <w:top w:w="100" w:type="dxa"/>
        <w:left w:w="100" w:type="dxa"/>
        <w:bottom w:w="100" w:type="dxa"/>
        <w:right w:w="100" w:type="dxa"/>
      </w:tblCellMar>
    </w:tblPr>
  </w:style>
  <w:style w:type="table" w:customStyle="1" w:styleId="TableNormal1000">
    <w:name w:val="TableNormal1000"/>
    <w:rsid w:val="00B87D3C"/>
    <w:tblPr>
      <w:tblCellMar>
        <w:top w:w="0" w:type="dxa"/>
        <w:left w:w="0" w:type="dxa"/>
        <w:bottom w:w="0" w:type="dxa"/>
        <w:right w:w="0" w:type="dxa"/>
      </w:tblCellMar>
    </w:tblPr>
  </w:style>
  <w:style w:type="table" w:customStyle="1" w:styleId="TableNormal000000">
    <w:name w:val="TableNormal00000"/>
    <w:rsid w:val="00BE5C88"/>
    <w:tblPr>
      <w:tblCellMar>
        <w:top w:w="100" w:type="dxa"/>
        <w:left w:w="100" w:type="dxa"/>
        <w:bottom w:w="100" w:type="dxa"/>
        <w:right w:w="100" w:type="dxa"/>
      </w:tblCellMar>
    </w:tblPr>
  </w:style>
  <w:style w:type="table" w:customStyle="1" w:styleId="TableNormal10000">
    <w:name w:val="TableNormal10000"/>
    <w:rsid w:val="00BE5C88"/>
    <w:tblPr>
      <w:tblCellMar>
        <w:top w:w="0" w:type="dxa"/>
        <w:left w:w="0" w:type="dxa"/>
        <w:bottom w:w="0" w:type="dxa"/>
        <w:right w:w="0" w:type="dxa"/>
      </w:tblCellMar>
    </w:tblPr>
  </w:style>
  <w:style w:type="table" w:customStyle="1" w:styleId="TableNormal0000000">
    <w:name w:val="TableNormal000000"/>
    <w:rsid w:val="00B456C3"/>
    <w:tblPr>
      <w:tblCellMar>
        <w:top w:w="100" w:type="dxa"/>
        <w:left w:w="100" w:type="dxa"/>
        <w:bottom w:w="100" w:type="dxa"/>
        <w:right w:w="100" w:type="dxa"/>
      </w:tblCellMar>
    </w:tblPr>
  </w:style>
  <w:style w:type="table" w:customStyle="1" w:styleId="TableNormal100000">
    <w:name w:val="TableNormal100000"/>
    <w:rsid w:val="00B456C3"/>
    <w:tblPr>
      <w:tblCellMar>
        <w:top w:w="0" w:type="dxa"/>
        <w:left w:w="0" w:type="dxa"/>
        <w:bottom w:w="0" w:type="dxa"/>
        <w:right w:w="0" w:type="dxa"/>
      </w:tblCellMar>
    </w:tblPr>
  </w:style>
  <w:style w:type="table" w:styleId="TableGrid">
    <w:name w:val="Table Grid"/>
    <w:basedOn w:val="TableNormal"/>
    <w:uiPriority w:val="59"/>
    <w:rsid w:val="004362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doi.org/10.1016/j.ins.2019.05.035" TargetMode="External"/><Relationship Id="rId18" Type="http://schemas.openxmlformats.org/officeDocument/2006/relationships/hyperlink" Target="https://osuva.uwasa.fi/items/66412ac7-30d2-45b7-80d0-71d34c4a4b65" TargetMode="External"/><Relationship Id="rId26" Type="http://schemas.openxmlformats.org/officeDocument/2006/relationships/hyperlink" Target="https://xaydungchinhsach.chinhphu.vn/dai-an-van-thinh-phat-truy-to-truong-my-lan-va-85-bi-can-119231215145320997.htm" TargetMode="External"/><Relationship Id="rId39" Type="http://schemas.openxmlformats.org/officeDocument/2006/relationships/hyperlink" Target="https://doi.org/10.62754/joe.v3i6.4153" TargetMode="External"/><Relationship Id="rId21" Type="http://schemas.openxmlformats.org/officeDocument/2006/relationships/hyperlink" Target="https://doi.org/10.36880/c13.02596" TargetMode="External"/><Relationship Id="rId34" Type="http://schemas.openxmlformats.org/officeDocument/2006/relationships/hyperlink" Target="https://doi.org/10.1016/j.jfs.2020.100817" TargetMode="External"/><Relationship Id="rId42" Type="http://schemas.openxmlformats.org/officeDocument/2006/relationships/hyperlink" Target="https://doi.org/10.1007/s10551-019-04156-1" TargetMode="External"/><Relationship Id="rId47" Type="http://schemas.openxmlformats.org/officeDocument/2006/relationships/hyperlink" Target="https://api.semanticscholar.org/CorpusID:217188813" TargetMode="External"/><Relationship Id="rId50" Type="http://schemas.openxmlformats.org/officeDocument/2006/relationships/hyperlink" Target="https://doi.org/10.1016/j.cjar.2024.100356" TargetMode="External"/><Relationship Id="rId7" Type="http://schemas.openxmlformats.org/officeDocument/2006/relationships/hyperlink" Target="mailto:buianhvan17@gmail.com" TargetMode="External"/><Relationship Id="rId2" Type="http://schemas.openxmlformats.org/officeDocument/2006/relationships/styles" Target="styles.xml"/><Relationship Id="rId16" Type="http://schemas.openxmlformats.org/officeDocument/2006/relationships/hyperlink" Target="https://doi.org/10.1016/j.chb.2018.05.021" TargetMode="External"/><Relationship Id="rId29" Type="http://schemas.openxmlformats.org/officeDocument/2006/relationships/hyperlink" Target="http://www.jstor.org/stable/40930460" TargetMode="External"/><Relationship Id="rId11" Type="http://schemas.openxmlformats.org/officeDocument/2006/relationships/hyperlink" Target="https://doi.org/10.1109/mis.2018.2877279" TargetMode="External"/><Relationship Id="rId24" Type="http://schemas.openxmlformats.org/officeDocument/2006/relationships/hyperlink" Target="https://doi.org/10.2139/ssrn.2405465" TargetMode="External"/><Relationship Id="rId32" Type="http://schemas.openxmlformats.org/officeDocument/2006/relationships/hyperlink" Target="https://doi.org/10.1207/s15427579jpfm0503_1" TargetMode="External"/><Relationship Id="rId37" Type="http://schemas.openxmlformats.org/officeDocument/2006/relationships/hyperlink" Target="https://doi.org/10.31098/bmss.v4i2.901" TargetMode="External"/><Relationship Id="rId40" Type="http://schemas.openxmlformats.org/officeDocument/2006/relationships/hyperlink" Target="https://jstic.ptit.edu.vn/jstic-ptit/index.php/jstic/article/view/1424" TargetMode="External"/><Relationship Id="rId45" Type="http://schemas.openxmlformats.org/officeDocument/2006/relationships/hyperlink" Target="https://doi.org/10.1515/dema-2022-0007"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yperlink" Target="https://doi.org/10.1006/obhd.1997.2724" TargetMode="External"/><Relationship Id="rId31" Type="http://schemas.openxmlformats.org/officeDocument/2006/relationships/hyperlink" Target="https://doi.org/10.1016/j.jbusres.2016.11.010" TargetMode="External"/><Relationship Id="rId44" Type="http://schemas.openxmlformats.org/officeDocument/2006/relationships/hyperlink" Target="https://doi.org/10.1177/108602669300700305" TargetMode="External"/><Relationship Id="rId52" Type="http://schemas.openxmlformats.org/officeDocument/2006/relationships/hyperlink" Target="https://doi.org/10.1371/journal.pone.0150989"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86/267297" TargetMode="External"/><Relationship Id="rId22" Type="http://schemas.openxmlformats.org/officeDocument/2006/relationships/hyperlink" Target="http://hdl.handle.net/10133/594" TargetMode="External"/><Relationship Id="rId27" Type="http://schemas.openxmlformats.org/officeDocument/2006/relationships/hyperlink" Target="https://knowledge.insead.edu/marketing/when-customers-panic" TargetMode="External"/><Relationship Id="rId30" Type="http://schemas.openxmlformats.org/officeDocument/2006/relationships/hyperlink" Target="https://doi.org/10.1080/1540496X.2018.1528973" TargetMode="External"/><Relationship Id="rId35" Type="http://schemas.openxmlformats.org/officeDocument/2006/relationships/hyperlink" Target="https://doi.org/10.54097/hbem.v20i.12311" TargetMode="External"/><Relationship Id="rId43" Type="http://schemas.openxmlformats.org/officeDocument/2006/relationships/hyperlink" Target="https://doi.org/10.1007/S10551-019-04156-1" TargetMode="External"/><Relationship Id="rId48" Type="http://schemas.openxmlformats.org/officeDocument/2006/relationships/hyperlink" Target="https://doi.org/10.24996/ijs.2022.63.8.36" TargetMode="External"/><Relationship Id="rId8" Type="http://schemas.openxmlformats.org/officeDocument/2006/relationships/header" Target="header1.xml"/><Relationship Id="rId51" Type="http://schemas.openxmlformats.org/officeDocument/2006/relationships/hyperlink" Target="https://doi.org/10.1145/3161603" TargetMode="External"/><Relationship Id="rId3" Type="http://schemas.openxmlformats.org/officeDocument/2006/relationships/settings" Target="settings.xml"/><Relationship Id="rId12" Type="http://schemas.openxmlformats.org/officeDocument/2006/relationships/hyperlink" Target="https://doi.org/10.1016/j.ipm.2019.02.016" TargetMode="External"/><Relationship Id="rId17" Type="http://schemas.openxmlformats.org/officeDocument/2006/relationships/hyperlink" Target="https://doi.org/10.1016/j.irfa.2019.101430" TargetMode="External"/><Relationship Id="rId25" Type="http://schemas.openxmlformats.org/officeDocument/2006/relationships/hyperlink" Target="https://doi.org/10.15622/ia.22.4.3" TargetMode="External"/><Relationship Id="rId33" Type="http://schemas.openxmlformats.org/officeDocument/2006/relationships/hyperlink" Target="https://doi.org/10.1016/s1042-444x(00)00045-1" TargetMode="External"/><Relationship Id="rId38" Type="http://schemas.openxmlformats.org/officeDocument/2006/relationships/hyperlink" Target="https://tienphong.vn/khong-chi-dinh-tin-don-danh-bac-lanh-dao-ngan-hang-bi-vu-bo-tron-cam-xuat-canh-post1706885.tpo" TargetMode="External"/><Relationship Id="rId46" Type="http://schemas.openxmlformats.org/officeDocument/2006/relationships/hyperlink" Target="https://doi.org/10.2753/ree1540-496x500111" TargetMode="External"/><Relationship Id="rId20" Type="http://schemas.openxmlformats.org/officeDocument/2006/relationships/hyperlink" Target="https://doi.org/10.1046/j.1475-679x.2003.00124.x" TargetMode="External"/><Relationship Id="rId41" Type="http://schemas.openxmlformats.org/officeDocument/2006/relationships/hyperlink" Target="https://doi.org/10.1086/220916"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oi.org/10.13106/jafeb.2021.vol8.no3.0845" TargetMode="External"/><Relationship Id="rId23" Type="http://schemas.openxmlformats.org/officeDocument/2006/relationships/hyperlink" Target="https://doi.org/10.1007/s10614-024-10638-w" TargetMode="External"/><Relationship Id="rId28" Type="http://schemas.openxmlformats.org/officeDocument/2006/relationships/hyperlink" Target="https://doi.org/10.2139/ssrn.1920966" TargetMode="External"/><Relationship Id="rId36" Type="http://schemas.openxmlformats.org/officeDocument/2006/relationships/hyperlink" Target="https://doi.org/10.1016/j.frl.2022.103055" TargetMode="External"/><Relationship Id="rId49" Type="http://schemas.openxmlformats.org/officeDocument/2006/relationships/hyperlink" Target="https://doi.org/10.3389/fphy.2022.987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S/2ZS2waWeSKXn0m7owVggtkww==">CgMxLjAyDmguaXA4dzc4eHZrc3czMghoLmdqZGd4czgAciExdFpOdDIwbjVnbnBDdEhwYlhaaUFRSnVGY0h5eTVaUkU=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8762</Words>
  <Characters>49947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58592</CharactersWithSpaces>
  <SharedDoc>false</SharedDoc>
  <HLinks>
    <vt:vector size="234" baseType="variant">
      <vt:variant>
        <vt:i4>4784204</vt:i4>
      </vt:variant>
      <vt:variant>
        <vt:i4>114</vt:i4>
      </vt:variant>
      <vt:variant>
        <vt:i4>0</vt:i4>
      </vt:variant>
      <vt:variant>
        <vt:i4>5</vt:i4>
      </vt:variant>
      <vt:variant>
        <vt:lpwstr>https://doi.org/10.1371/journal.pone.0150989</vt:lpwstr>
      </vt:variant>
      <vt:variant>
        <vt:lpwstr/>
      </vt:variant>
      <vt:variant>
        <vt:i4>2556013</vt:i4>
      </vt:variant>
      <vt:variant>
        <vt:i4>111</vt:i4>
      </vt:variant>
      <vt:variant>
        <vt:i4>0</vt:i4>
      </vt:variant>
      <vt:variant>
        <vt:i4>5</vt:i4>
      </vt:variant>
      <vt:variant>
        <vt:lpwstr>https://doi.org/10.1145/3161603</vt:lpwstr>
      </vt:variant>
      <vt:variant>
        <vt:lpwstr/>
      </vt:variant>
      <vt:variant>
        <vt:i4>4128810</vt:i4>
      </vt:variant>
      <vt:variant>
        <vt:i4>108</vt:i4>
      </vt:variant>
      <vt:variant>
        <vt:i4>0</vt:i4>
      </vt:variant>
      <vt:variant>
        <vt:i4>5</vt:i4>
      </vt:variant>
      <vt:variant>
        <vt:lpwstr>https://doi.org/10.1016/j.cjar.2024.100356</vt:lpwstr>
      </vt:variant>
      <vt:variant>
        <vt:lpwstr/>
      </vt:variant>
      <vt:variant>
        <vt:i4>524357</vt:i4>
      </vt:variant>
      <vt:variant>
        <vt:i4>105</vt:i4>
      </vt:variant>
      <vt:variant>
        <vt:i4>0</vt:i4>
      </vt:variant>
      <vt:variant>
        <vt:i4>5</vt:i4>
      </vt:variant>
      <vt:variant>
        <vt:lpwstr>https://doi.org/10.3389/fphy.2022.987799</vt:lpwstr>
      </vt:variant>
      <vt:variant>
        <vt:lpwstr/>
      </vt:variant>
      <vt:variant>
        <vt:i4>786440</vt:i4>
      </vt:variant>
      <vt:variant>
        <vt:i4>102</vt:i4>
      </vt:variant>
      <vt:variant>
        <vt:i4>0</vt:i4>
      </vt:variant>
      <vt:variant>
        <vt:i4>5</vt:i4>
      </vt:variant>
      <vt:variant>
        <vt:lpwstr>https://doi.org/10.24996/ijs.2022.63.8.36</vt:lpwstr>
      </vt:variant>
      <vt:variant>
        <vt:lpwstr/>
      </vt:variant>
      <vt:variant>
        <vt:i4>8126562</vt:i4>
      </vt:variant>
      <vt:variant>
        <vt:i4>99</vt:i4>
      </vt:variant>
      <vt:variant>
        <vt:i4>0</vt:i4>
      </vt:variant>
      <vt:variant>
        <vt:i4>5</vt:i4>
      </vt:variant>
      <vt:variant>
        <vt:lpwstr>https://api.semanticscholar.org/CorpusID:217188813</vt:lpwstr>
      </vt:variant>
      <vt:variant>
        <vt:lpwstr/>
      </vt:variant>
      <vt:variant>
        <vt:i4>2687098</vt:i4>
      </vt:variant>
      <vt:variant>
        <vt:i4>96</vt:i4>
      </vt:variant>
      <vt:variant>
        <vt:i4>0</vt:i4>
      </vt:variant>
      <vt:variant>
        <vt:i4>5</vt:i4>
      </vt:variant>
      <vt:variant>
        <vt:lpwstr>https://doi.org/10.2753/ree1540-496x500111</vt:lpwstr>
      </vt:variant>
      <vt:variant>
        <vt:lpwstr/>
      </vt:variant>
      <vt:variant>
        <vt:i4>3932284</vt:i4>
      </vt:variant>
      <vt:variant>
        <vt:i4>93</vt:i4>
      </vt:variant>
      <vt:variant>
        <vt:i4>0</vt:i4>
      </vt:variant>
      <vt:variant>
        <vt:i4>5</vt:i4>
      </vt:variant>
      <vt:variant>
        <vt:lpwstr>https://doi.org/10.1515/dema-2022-0007</vt:lpwstr>
      </vt:variant>
      <vt:variant>
        <vt:lpwstr/>
      </vt:variant>
      <vt:variant>
        <vt:i4>2293869</vt:i4>
      </vt:variant>
      <vt:variant>
        <vt:i4>90</vt:i4>
      </vt:variant>
      <vt:variant>
        <vt:i4>0</vt:i4>
      </vt:variant>
      <vt:variant>
        <vt:i4>5</vt:i4>
      </vt:variant>
      <vt:variant>
        <vt:lpwstr>https://doi.org/10.1177/108602669300700305</vt:lpwstr>
      </vt:variant>
      <vt:variant>
        <vt:lpwstr/>
      </vt:variant>
      <vt:variant>
        <vt:i4>2687030</vt:i4>
      </vt:variant>
      <vt:variant>
        <vt:i4>87</vt:i4>
      </vt:variant>
      <vt:variant>
        <vt:i4>0</vt:i4>
      </vt:variant>
      <vt:variant>
        <vt:i4>5</vt:i4>
      </vt:variant>
      <vt:variant>
        <vt:lpwstr>https://doi.org/10.1007/S10551-019-04156-1</vt:lpwstr>
      </vt:variant>
      <vt:variant>
        <vt:lpwstr/>
      </vt:variant>
      <vt:variant>
        <vt:i4>2687030</vt:i4>
      </vt:variant>
      <vt:variant>
        <vt:i4>84</vt:i4>
      </vt:variant>
      <vt:variant>
        <vt:i4>0</vt:i4>
      </vt:variant>
      <vt:variant>
        <vt:i4>5</vt:i4>
      </vt:variant>
      <vt:variant>
        <vt:lpwstr>https://doi.org/10.1007/s10551-019-04156-1</vt:lpwstr>
      </vt:variant>
      <vt:variant>
        <vt:lpwstr/>
      </vt:variant>
      <vt:variant>
        <vt:i4>2490479</vt:i4>
      </vt:variant>
      <vt:variant>
        <vt:i4>81</vt:i4>
      </vt:variant>
      <vt:variant>
        <vt:i4>0</vt:i4>
      </vt:variant>
      <vt:variant>
        <vt:i4>5</vt:i4>
      </vt:variant>
      <vt:variant>
        <vt:lpwstr>https://doi.org/10.1086/220916</vt:lpwstr>
      </vt:variant>
      <vt:variant>
        <vt:lpwstr/>
      </vt:variant>
      <vt:variant>
        <vt:i4>8126583</vt:i4>
      </vt:variant>
      <vt:variant>
        <vt:i4>78</vt:i4>
      </vt:variant>
      <vt:variant>
        <vt:i4>0</vt:i4>
      </vt:variant>
      <vt:variant>
        <vt:i4>5</vt:i4>
      </vt:variant>
      <vt:variant>
        <vt:lpwstr>https://jstic.ptit.edu.vn/jstic-ptit/index.php/jstic/article/view/1424</vt:lpwstr>
      </vt:variant>
      <vt:variant>
        <vt:lpwstr/>
      </vt:variant>
      <vt:variant>
        <vt:i4>3407927</vt:i4>
      </vt:variant>
      <vt:variant>
        <vt:i4>75</vt:i4>
      </vt:variant>
      <vt:variant>
        <vt:i4>0</vt:i4>
      </vt:variant>
      <vt:variant>
        <vt:i4>5</vt:i4>
      </vt:variant>
      <vt:variant>
        <vt:lpwstr>https://doi.org/10.62754/joe.v3i6.4153</vt:lpwstr>
      </vt:variant>
      <vt:variant>
        <vt:lpwstr/>
      </vt:variant>
      <vt:variant>
        <vt:i4>3604578</vt:i4>
      </vt:variant>
      <vt:variant>
        <vt:i4>72</vt:i4>
      </vt:variant>
      <vt:variant>
        <vt:i4>0</vt:i4>
      </vt:variant>
      <vt:variant>
        <vt:i4>5</vt:i4>
      </vt:variant>
      <vt:variant>
        <vt:lpwstr>https://doi.org/10.31098/bmss.v4i2.901</vt:lpwstr>
      </vt:variant>
      <vt:variant>
        <vt:lpwstr/>
      </vt:variant>
      <vt:variant>
        <vt:i4>5570578</vt:i4>
      </vt:variant>
      <vt:variant>
        <vt:i4>69</vt:i4>
      </vt:variant>
      <vt:variant>
        <vt:i4>0</vt:i4>
      </vt:variant>
      <vt:variant>
        <vt:i4>5</vt:i4>
      </vt:variant>
      <vt:variant>
        <vt:lpwstr>https://doi.org/10.1016/j.frl.2022.103055</vt:lpwstr>
      </vt:variant>
      <vt:variant>
        <vt:lpwstr/>
      </vt:variant>
      <vt:variant>
        <vt:i4>4456476</vt:i4>
      </vt:variant>
      <vt:variant>
        <vt:i4>66</vt:i4>
      </vt:variant>
      <vt:variant>
        <vt:i4>0</vt:i4>
      </vt:variant>
      <vt:variant>
        <vt:i4>5</vt:i4>
      </vt:variant>
      <vt:variant>
        <vt:lpwstr>https://doi.org/10.54097/hbem.v20i.12311</vt:lpwstr>
      </vt:variant>
      <vt:variant>
        <vt:lpwstr/>
      </vt:variant>
      <vt:variant>
        <vt:i4>4456457</vt:i4>
      </vt:variant>
      <vt:variant>
        <vt:i4>63</vt:i4>
      </vt:variant>
      <vt:variant>
        <vt:i4>0</vt:i4>
      </vt:variant>
      <vt:variant>
        <vt:i4>5</vt:i4>
      </vt:variant>
      <vt:variant>
        <vt:lpwstr>https://doi.org/10.1016/j.jfs.2020.100817</vt:lpwstr>
      </vt:variant>
      <vt:variant>
        <vt:lpwstr/>
      </vt:variant>
      <vt:variant>
        <vt:i4>4587520</vt:i4>
      </vt:variant>
      <vt:variant>
        <vt:i4>60</vt:i4>
      </vt:variant>
      <vt:variant>
        <vt:i4>0</vt:i4>
      </vt:variant>
      <vt:variant>
        <vt:i4>5</vt:i4>
      </vt:variant>
      <vt:variant>
        <vt:lpwstr>https://doi.org/10.1016/s1042-444x(00)00045-1</vt:lpwstr>
      </vt:variant>
      <vt:variant>
        <vt:lpwstr/>
      </vt:variant>
      <vt:variant>
        <vt:i4>4522044</vt:i4>
      </vt:variant>
      <vt:variant>
        <vt:i4>57</vt:i4>
      </vt:variant>
      <vt:variant>
        <vt:i4>0</vt:i4>
      </vt:variant>
      <vt:variant>
        <vt:i4>5</vt:i4>
      </vt:variant>
      <vt:variant>
        <vt:lpwstr>https://doi.org/10.1207/s15427579jpfm0503_1</vt:lpwstr>
      </vt:variant>
      <vt:variant>
        <vt:lpwstr/>
      </vt:variant>
      <vt:variant>
        <vt:i4>5111812</vt:i4>
      </vt:variant>
      <vt:variant>
        <vt:i4>54</vt:i4>
      </vt:variant>
      <vt:variant>
        <vt:i4>0</vt:i4>
      </vt:variant>
      <vt:variant>
        <vt:i4>5</vt:i4>
      </vt:variant>
      <vt:variant>
        <vt:lpwstr>https://doi.org/10.1016/j.jbusres.2016.11.010</vt:lpwstr>
      </vt:variant>
      <vt:variant>
        <vt:lpwstr/>
      </vt:variant>
      <vt:variant>
        <vt:i4>4718657</vt:i4>
      </vt:variant>
      <vt:variant>
        <vt:i4>51</vt:i4>
      </vt:variant>
      <vt:variant>
        <vt:i4>0</vt:i4>
      </vt:variant>
      <vt:variant>
        <vt:i4>5</vt:i4>
      </vt:variant>
      <vt:variant>
        <vt:lpwstr>https://doi.org/10.1080/1540496X.2018.1528973</vt:lpwstr>
      </vt:variant>
      <vt:variant>
        <vt:lpwstr/>
      </vt:variant>
      <vt:variant>
        <vt:i4>131138</vt:i4>
      </vt:variant>
      <vt:variant>
        <vt:i4>48</vt:i4>
      </vt:variant>
      <vt:variant>
        <vt:i4>0</vt:i4>
      </vt:variant>
      <vt:variant>
        <vt:i4>5</vt:i4>
      </vt:variant>
      <vt:variant>
        <vt:lpwstr>https://doi.org/10.2139/ssrn.1920966</vt:lpwstr>
      </vt:variant>
      <vt:variant>
        <vt:lpwstr/>
      </vt:variant>
      <vt:variant>
        <vt:i4>2818169</vt:i4>
      </vt:variant>
      <vt:variant>
        <vt:i4>45</vt:i4>
      </vt:variant>
      <vt:variant>
        <vt:i4>0</vt:i4>
      </vt:variant>
      <vt:variant>
        <vt:i4>5</vt:i4>
      </vt:variant>
      <vt:variant>
        <vt:lpwstr>https://knowledge.insead.edu/marketing/when-customers-panic</vt:lpwstr>
      </vt:variant>
      <vt:variant>
        <vt:lpwstr/>
      </vt:variant>
      <vt:variant>
        <vt:i4>7995425</vt:i4>
      </vt:variant>
      <vt:variant>
        <vt:i4>42</vt:i4>
      </vt:variant>
      <vt:variant>
        <vt:i4>0</vt:i4>
      </vt:variant>
      <vt:variant>
        <vt:i4>5</vt:i4>
      </vt:variant>
      <vt:variant>
        <vt:lpwstr>https://doi.org/10.15622/ia.22.4.3</vt:lpwstr>
      </vt:variant>
      <vt:variant>
        <vt:lpwstr/>
      </vt:variant>
      <vt:variant>
        <vt:i4>852042</vt:i4>
      </vt:variant>
      <vt:variant>
        <vt:i4>39</vt:i4>
      </vt:variant>
      <vt:variant>
        <vt:i4>0</vt:i4>
      </vt:variant>
      <vt:variant>
        <vt:i4>5</vt:i4>
      </vt:variant>
      <vt:variant>
        <vt:lpwstr>https://doi.org/10.2139/ssrn.2405465</vt:lpwstr>
      </vt:variant>
      <vt:variant>
        <vt:lpwstr/>
      </vt:variant>
      <vt:variant>
        <vt:i4>7077939</vt:i4>
      </vt:variant>
      <vt:variant>
        <vt:i4>36</vt:i4>
      </vt:variant>
      <vt:variant>
        <vt:i4>0</vt:i4>
      </vt:variant>
      <vt:variant>
        <vt:i4>5</vt:i4>
      </vt:variant>
      <vt:variant>
        <vt:lpwstr>https://doi.org/10.1007/s10614-024-10638-w</vt:lpwstr>
      </vt:variant>
      <vt:variant>
        <vt:lpwstr/>
      </vt:variant>
      <vt:variant>
        <vt:i4>3407935</vt:i4>
      </vt:variant>
      <vt:variant>
        <vt:i4>33</vt:i4>
      </vt:variant>
      <vt:variant>
        <vt:i4>0</vt:i4>
      </vt:variant>
      <vt:variant>
        <vt:i4>5</vt:i4>
      </vt:variant>
      <vt:variant>
        <vt:lpwstr>http://hdl.handle.net/10133/594</vt:lpwstr>
      </vt:variant>
      <vt:variant>
        <vt:lpwstr/>
      </vt:variant>
      <vt:variant>
        <vt:i4>6619247</vt:i4>
      </vt:variant>
      <vt:variant>
        <vt:i4>30</vt:i4>
      </vt:variant>
      <vt:variant>
        <vt:i4>0</vt:i4>
      </vt:variant>
      <vt:variant>
        <vt:i4>5</vt:i4>
      </vt:variant>
      <vt:variant>
        <vt:lpwstr>https://doi.org/10.36880/c13.02596</vt:lpwstr>
      </vt:variant>
      <vt:variant>
        <vt:lpwstr/>
      </vt:variant>
      <vt:variant>
        <vt:i4>5701714</vt:i4>
      </vt:variant>
      <vt:variant>
        <vt:i4>27</vt:i4>
      </vt:variant>
      <vt:variant>
        <vt:i4>0</vt:i4>
      </vt:variant>
      <vt:variant>
        <vt:i4>5</vt:i4>
      </vt:variant>
      <vt:variant>
        <vt:lpwstr>https://doi.org/10.1046/j.1475-679x.2003.00124.x</vt:lpwstr>
      </vt:variant>
      <vt:variant>
        <vt:lpwstr/>
      </vt:variant>
      <vt:variant>
        <vt:i4>3145851</vt:i4>
      </vt:variant>
      <vt:variant>
        <vt:i4>24</vt:i4>
      </vt:variant>
      <vt:variant>
        <vt:i4>0</vt:i4>
      </vt:variant>
      <vt:variant>
        <vt:i4>5</vt:i4>
      </vt:variant>
      <vt:variant>
        <vt:lpwstr>https://doi.org/10.1006/obhd.1997.2724</vt:lpwstr>
      </vt:variant>
      <vt:variant>
        <vt:lpwstr/>
      </vt:variant>
      <vt:variant>
        <vt:i4>5242891</vt:i4>
      </vt:variant>
      <vt:variant>
        <vt:i4>21</vt:i4>
      </vt:variant>
      <vt:variant>
        <vt:i4>0</vt:i4>
      </vt:variant>
      <vt:variant>
        <vt:i4>5</vt:i4>
      </vt:variant>
      <vt:variant>
        <vt:lpwstr>https://osuva.uwasa.fi/items/66412ac7-30d2-45b7-80d0-71d34c4a4b65</vt:lpwstr>
      </vt:variant>
      <vt:variant>
        <vt:lpwstr/>
      </vt:variant>
      <vt:variant>
        <vt:i4>3538989</vt:i4>
      </vt:variant>
      <vt:variant>
        <vt:i4>18</vt:i4>
      </vt:variant>
      <vt:variant>
        <vt:i4>0</vt:i4>
      </vt:variant>
      <vt:variant>
        <vt:i4>5</vt:i4>
      </vt:variant>
      <vt:variant>
        <vt:lpwstr>https://doi.org/10.1016/j.irfa.2019.101430</vt:lpwstr>
      </vt:variant>
      <vt:variant>
        <vt:lpwstr/>
      </vt:variant>
      <vt:variant>
        <vt:i4>6160415</vt:i4>
      </vt:variant>
      <vt:variant>
        <vt:i4>15</vt:i4>
      </vt:variant>
      <vt:variant>
        <vt:i4>0</vt:i4>
      </vt:variant>
      <vt:variant>
        <vt:i4>5</vt:i4>
      </vt:variant>
      <vt:variant>
        <vt:lpwstr>https://doi.org/10.1016/j.chb.2018.05.021</vt:lpwstr>
      </vt:variant>
      <vt:variant>
        <vt:lpwstr/>
      </vt:variant>
      <vt:variant>
        <vt:i4>2621536</vt:i4>
      </vt:variant>
      <vt:variant>
        <vt:i4>12</vt:i4>
      </vt:variant>
      <vt:variant>
        <vt:i4>0</vt:i4>
      </vt:variant>
      <vt:variant>
        <vt:i4>5</vt:i4>
      </vt:variant>
      <vt:variant>
        <vt:lpwstr>https://doi.org/10.1086/267297</vt:lpwstr>
      </vt:variant>
      <vt:variant>
        <vt:lpwstr/>
      </vt:variant>
      <vt:variant>
        <vt:i4>5767172</vt:i4>
      </vt:variant>
      <vt:variant>
        <vt:i4>9</vt:i4>
      </vt:variant>
      <vt:variant>
        <vt:i4>0</vt:i4>
      </vt:variant>
      <vt:variant>
        <vt:i4>5</vt:i4>
      </vt:variant>
      <vt:variant>
        <vt:lpwstr>https://doi.org/10.1016/j.ins.2019.05.035</vt:lpwstr>
      </vt:variant>
      <vt:variant>
        <vt:lpwstr/>
      </vt:variant>
      <vt:variant>
        <vt:i4>4456477</vt:i4>
      </vt:variant>
      <vt:variant>
        <vt:i4>6</vt:i4>
      </vt:variant>
      <vt:variant>
        <vt:i4>0</vt:i4>
      </vt:variant>
      <vt:variant>
        <vt:i4>5</vt:i4>
      </vt:variant>
      <vt:variant>
        <vt:lpwstr>https://doi.org/10.1016/j.ipm.2019.02.016</vt:lpwstr>
      </vt:variant>
      <vt:variant>
        <vt:lpwstr/>
      </vt:variant>
      <vt:variant>
        <vt:i4>5374041</vt:i4>
      </vt:variant>
      <vt:variant>
        <vt:i4>3</vt:i4>
      </vt:variant>
      <vt:variant>
        <vt:i4>0</vt:i4>
      </vt:variant>
      <vt:variant>
        <vt:i4>5</vt:i4>
      </vt:variant>
      <vt:variant>
        <vt:lpwstr>https://doi.org/10.1109/mis.2018.2877279</vt:lpwstr>
      </vt:variant>
      <vt:variant>
        <vt:lpwstr/>
      </vt:variant>
      <vt:variant>
        <vt:i4>4980835</vt:i4>
      </vt:variant>
      <vt:variant>
        <vt:i4>0</vt:i4>
      </vt:variant>
      <vt:variant>
        <vt:i4>0</vt:i4>
      </vt:variant>
      <vt:variant>
        <vt:i4>5</vt:i4>
      </vt:variant>
      <vt:variant>
        <vt:lpwstr>mailto:buianhvan17@gmail.com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Anh Van 20213106</dc:creator>
  <cp:keywords/>
  <cp:lastModifiedBy>Hoang Ha Linh 20213068</cp:lastModifiedBy>
  <cp:revision>3</cp:revision>
  <dcterms:created xsi:type="dcterms:W3CDTF">2025-10-02T15:35:00Z</dcterms:created>
  <dcterms:modified xsi:type="dcterms:W3CDTF">2025-10-02T16:19:00Z</dcterms:modified>
</cp:coreProperties>
</file>