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Advancements in Physiotherapy Technology</w:t>
      </w:r>
    </w:p>
    <w:p>
      <w:pPr>
        <w:spacing w:after="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Advancements in Physiotherapy Technology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32"/>
          <w:szCs w:val="32"/>
        </w:rPr>
        <w:t xml:space="preserve">A Comprehensive Review of Emerging Modalities and Clinical Outcomes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  <w:highlight w:val="yellow"/>
          <w:highlightCs w:val="yellow"/>
        </w:rPr>
        <w:t xml:space="preserve">[University Name]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[Submission Date]</w:t>
      </w:r>
    </w:p>
    <w:p>
      <w:pPr>
        <w:spacing w:after="0"/>
      </w:pPr>
      <w:r>
        <w:br w:type="page"/>
      </w:r>
    </w:p>
    <w:p>
      <w:pPr>
        <w:pStyle w:val="Heading1"/>
        <w:spacing w:before="240" w:after="120"/>
      </w:pPr>
      <w:r>
        <w:t xml:space="preserve">Abstract</w:t>
      </w:r>
    </w:p>
    <w:p>
      <w:pPr>
        <w:spacing w:after="0"/>
      </w:pPr>
      <w:r>
        <w:br w:type="page"/>
      </w:r>
    </w:p>
    <w:p>
      <w:pPr>
        <w:pStyle w:val="Normal"/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20"/>
      </w:pPr>
      <w:r>
        <w:rPr>
          <w:i/>
          <w:iCs/>
          <w:color w:val="AAAAAA"/>
          <w:sz w:val="16"/>
          <w:szCs w:val="16"/>
        </w:rPr>
        <w:t xml:space="preserve">§ Abstract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This thesis explores the transformative impact of modern technology on the field of physiotherapy. As the healthcare landscape shifts toward personalized and data-driven care, technologies such as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wearable sensors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virtual reality (VR) rehabilitation</w:t>
      </w:r>
      <w:r>
        <w:rPr>
          <w:rFonts w:ascii="Calibri" w:cs="Calibri" w:eastAsia="Calibri" w:hAnsi="Calibri"/>
          <w:sz w:val="24"/>
          <w:szCs w:val="24"/>
        </w:rPr>
        <w:t xml:space="preserve">, and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robotic-assisted gait training</w:t>
      </w:r>
      <w:r>
        <w:rPr>
          <w:rFonts w:ascii="Calibri" w:cs="Calibri" w:eastAsia="Calibri" w:hAnsi="Calibri"/>
          <w:sz w:val="24"/>
          <w:szCs w:val="24"/>
        </w:rPr>
        <w:t xml:space="preserve"> have emerged as pivotal tools. This study examines the efficacy of these advancements in improving patient compliance, objective measurement of progress, and overall clinical outcomes.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Through a meta-analysis of recent clinical trials and a review of current engineering prototypes, this research identifies the primary barriers to adoption and the future potential for Al-integrated therapeutic protocols. The results suggest that while initial costs remain a factor, the long-term benefits in patient independence and therapist efficiency are substantial.</w:t>
      </w:r>
    </w:p>
    <w:p>
      <w:pPr>
        <w:pStyle w:val="Heading1"/>
        <w:spacing w:before="240" w:after="120"/>
      </w:pPr>
      <w:r>
        <w:t xml:space="preserve">Acknowledgments</w:t>
      </w:r>
    </w:p>
    <w:p>
      <w:pPr>
        <w:pStyle w:val="Normal"/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20"/>
      </w:pPr>
      <w:r>
        <w:rPr>
          <w:i/>
          <w:iCs/>
          <w:color w:val="AAAAAA"/>
          <w:sz w:val="16"/>
          <w:szCs w:val="16"/>
        </w:rPr>
        <w:t xml:space="preserve">§ Acknowledgments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I would like to express my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deepest gratitude</w:t>
      </w:r>
      <w:r>
        <w:rPr>
          <w:rFonts w:ascii="Calibri" w:cs="Calibri" w:eastAsia="Calibri" w:hAnsi="Calibri"/>
          <w:sz w:val="24"/>
          <w:szCs w:val="24"/>
        </w:rPr>
        <w:t xml:space="preserve"> to my supervisor, </w:t>
      </w: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[Supervisor Name]</w:t>
      </w:r>
      <w:r>
        <w:rPr>
          <w:rFonts w:ascii="Calibri" w:cs="Calibri" w:eastAsia="Calibri" w:hAnsi="Calibri"/>
          <w:sz w:val="24"/>
          <w:szCs w:val="24"/>
        </w:rPr>
        <w:t xml:space="preserve">, for their invaluable guidance and support throughout this research journey. Their insights into the intersection of technology and patient care have been instrumental in shaping this thesis.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Special thanks are also due to the faculty members at </w:t>
      </w: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[Your Department]</w:t>
      </w:r>
      <w:r>
        <w:rPr>
          <w:rFonts w:ascii="Calibri" w:cs="Calibri" w:eastAsia="Calibri" w:hAnsi="Calibri"/>
          <w:sz w:val="24"/>
          <w:szCs w:val="24"/>
        </w:rPr>
        <w:t xml:space="preserve"> for providing the resources and environment necessary for this study. Finally, I want to thank my family and friends for their constant encouragement during this academic pursuit.</w:t>
      </w:r>
    </w:p>
    <w:p>
      <w:pPr>
        <w:pStyle w:val="Heading1"/>
        <w:spacing w:before="240" w:after="120"/>
      </w:pPr>
      <w:r>
        <w:t xml:space="preserve">Navigation and Lists</w:t>
      </w:r>
    </w:p>
    <w:p>
      <w:pPr>
        <w:spacing w:after="0"/>
      </w:pPr>
      <w:r>
        <w:br w:type="page"/>
      </w:r>
    </w:p>
    <w:p>
      <w:pPr>
        <w:spacing w:before="200" w:after="160"/>
        <w:jc w:val="left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Table of Contents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A3A6B"/>
          <w:sz w:val="22"/>
          <w:szCs w:val="22"/>
        </w:rPr>
        <w:t xml:space="preserve">1.  Abstract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  .........  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A3A6B"/>
          <w:sz w:val="22"/>
          <w:szCs w:val="22"/>
        </w:rPr>
        <w:t xml:space="preserve">2.  Acknowledgments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  .........  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A3A6B"/>
          <w:sz w:val="22"/>
          <w:szCs w:val="22"/>
        </w:rPr>
        <w:t xml:space="preserve">3.  Navigation and Lists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  .........  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A3A6B"/>
          <w:sz w:val="22"/>
          <w:szCs w:val="22"/>
        </w:rPr>
        <w:t xml:space="preserve">4.  Chapter 1: Introduction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  .........  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A3A6B"/>
          <w:sz w:val="22"/>
          <w:szCs w:val="22"/>
        </w:rPr>
        <w:t xml:space="preserve">5.  Chapter 2: Literature Review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  .........  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A3A6B"/>
          <w:sz w:val="22"/>
          <w:szCs w:val="22"/>
        </w:rPr>
        <w:t xml:space="preserve">6.  Chapter 3: Methodology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  .........  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A3A6B"/>
          <w:sz w:val="22"/>
          <w:szCs w:val="22"/>
        </w:rPr>
        <w:t xml:space="preserve">7.  Chapter 4: Results and Analysis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  .........  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A3A6B"/>
          <w:sz w:val="22"/>
          <w:szCs w:val="22"/>
        </w:rPr>
        <w:t xml:space="preserve">8.  Chapter 5: Conclusion and Bibliography</w:t>
      </w:r>
      <w:r>
        <w:rPr>
          <w:rFonts w:ascii="Calibri" w:cs="Calibri" w:eastAsia="Calibri" w:hAnsi="Calibri"/>
          <w:color w:val="AAAAAA"/>
          <w:sz w:val="18"/>
          <w:szCs w:val="18"/>
        </w:rPr>
        <w:t xml:space="preserve">  .........  </w:t>
      </w:r>
    </w:p>
    <w:p>
      <w:pPr>
        <w:spacing w:after="0"/>
      </w:pPr>
      <w:r>
        <w:br w:type="page"/>
      </w:r>
    </w:p>
    <w:p>
      <w:pPr>
        <w:pStyle w:val="Heading2"/>
        <w:spacing w:before="200" w:after="100"/>
      </w:pPr>
      <w:r>
        <w:t xml:space="preserve">List of Figures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Figure #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Page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Fig 1.1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Architecture of Wearable Biometric Sensors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12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Fig 2.3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VR Immersion vs. Patient Pain Perception Index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24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Fig 4.1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Robotic Exoskeleton Motion Efficiency Chart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45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t xml:space="preserve">List of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Table #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Page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Table 1.1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Comparison of Traditional vs. Tech-Enabled PT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15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Table 3.2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Patient Cohort Demographics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38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Table 4.5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Comparative Efficacy of Robotic Gait Training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52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 xml:space="preserve">Chapter 1: Introduction</w:t>
      </w:r>
    </w:p>
    <w:p>
      <w:pPr>
        <w:spacing w:after="0"/>
      </w:pPr>
      <w:r>
        <w:br w:type="page"/>
      </w:r>
    </w:p>
    <w:p>
      <w:pPr>
        <w:pStyle w:val="Normal"/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20"/>
      </w:pPr>
      <w:r>
        <w:rPr>
          <w:i/>
          <w:iCs/>
          <w:color w:val="AAAAAA"/>
          <w:sz w:val="16"/>
          <w:szCs w:val="16"/>
        </w:rPr>
        <w:t xml:space="preserve">§ Chapter 1: Introduction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Physiotherapy is currently undergoing a digital revolution. For decades, the practice relied heavily on manual techniques and subjective patient reporting. However, the introduction of high-precision sensors and immersive software is redefining the standards of care. This chapter introduces the core research question: how do these technological advancements impact the speed and quality of motor recovery?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scope</w:t>
      </w:r>
      <w:r>
        <w:rPr>
          <w:rFonts w:ascii="Calibri" w:cs="Calibri" w:eastAsia="Calibri" w:hAnsi="Calibri"/>
          <w:sz w:val="24"/>
          <w:szCs w:val="24"/>
        </w:rPr>
        <w:t xml:space="preserve"> of this thesis includes: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Assessment of wearable technology for home-based exercise monitoring.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role of Virtual Reality in neuro-rehabilitation and neuroplasticity.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efficacy of robotic exoskeletons in post-stroke recovery.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The integration of Artificial Intelligence for predictive patient outcomes.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[State your specific research hypothesis here for further development]</w:t>
      </w:r>
    </w:p>
    <w:p>
      <w:pPr>
        <w:pStyle w:val="Heading1"/>
        <w:spacing w:before="240" w:after="120"/>
      </w:pPr>
      <w:r>
        <w:t xml:space="preserve">Chapter 2: Literature Review</w:t>
      </w:r>
    </w:p>
    <w:p>
      <w:pPr>
        <w:pStyle w:val="Normal"/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20"/>
      </w:pPr>
      <w:r>
        <w:rPr>
          <w:i/>
          <w:iCs/>
          <w:color w:val="AAAAAA"/>
          <w:sz w:val="16"/>
          <w:szCs w:val="16"/>
        </w:rPr>
        <w:t xml:space="preserve">§ Chapter 2: Literature Review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Recent literature highlights a significant shift toward 'Telerehabilitation'. Studies by Smith et al. (2022) demonstrate that remote monitoring via IoT-enabled braces can increase patient adherence to home programs by up to 40%. Furthermore, research in the field of biomechanics suggests that the granular data provided by IMU (Inertial Measurement Unit) sensors allows for more precise joint angle analysis than visual observation alone.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Virtual Reality (VR) has also been a focal point of study. Traditional exercises can often feel repetitive and unengaging; however, gamified VR environments provide biofeedback that triggers dopamine responses, aiding in functional recovery and pain modulation.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[Summarize any additional specific papers or researchers you wish to highlight]</w:t>
      </w:r>
    </w:p>
    <w:p>
      <w:pPr>
        <w:pStyle w:val="Heading1"/>
        <w:spacing w:before="240" w:after="120"/>
      </w:pPr>
      <w:r>
        <w:t xml:space="preserve">Chapter 3: Methodology</w:t>
      </w:r>
    </w:p>
    <w:p>
      <w:pPr>
        <w:pStyle w:val="Normal"/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20"/>
      </w:pPr>
      <w:r>
        <w:rPr>
          <w:i/>
          <w:iCs/>
          <w:color w:val="AAAAAA"/>
          <w:sz w:val="16"/>
          <w:szCs w:val="16"/>
        </w:rPr>
        <w:t xml:space="preserve">§ Chapter 3: Methodology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The methodology employed for this research is a mixed-methods approach. It combines quantitative data from clinical device logs with qualitative feedback from patient and therapist interviews. The study was conducted over a </w:t>
      </w: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[Duration]</w:t>
      </w:r>
      <w:r>
        <w:rPr>
          <w:rFonts w:ascii="Calibri" w:cs="Calibri" w:eastAsia="Calibri" w:hAnsi="Calibri"/>
          <w:sz w:val="24"/>
          <w:szCs w:val="24"/>
        </w:rPr>
        <w:t xml:space="preserve"> month period across multiple clinical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Selection of a control group receiving traditional manual therapy.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Selection of an experimental group utilizing robotic and sensor-based modalities.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Bi-weekly assessment of Range of Motion (ROM) and Muscle Strength.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Final exit interviews to gauge patient psychological engagement.</w:t>
      </w:r>
    </w:p>
    <w:p>
      <w:pPr>
        <w:pStyle w:val="Heading1"/>
        <w:spacing w:before="240" w:after="120"/>
      </w:pPr>
      <w:r>
        <w:t xml:space="preserve">Chapter 4: Results and Analysis</w:t>
      </w:r>
    </w:p>
    <w:p>
      <w:pPr>
        <w:pStyle w:val="Normal"/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20"/>
      </w:pPr>
      <w:r>
        <w:rPr>
          <w:i/>
          <w:iCs/>
          <w:color w:val="AAAAAA"/>
          <w:sz w:val="16"/>
          <w:szCs w:val="16"/>
        </w:rPr>
        <w:t xml:space="preserve">§ Chapter 4: Results and Analysis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The following data summarizes the comparative progress between the two cohorts. Metrics focus on the improvement in the 'Functional Independence Measure' (FIM) scores over a 12-week rehabilitation cycle.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4F8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Cohort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4F8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Initial Score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4F8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4F8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4F8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4F8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Progress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4F8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Average Monthly Gain</w:t>
            </w:r>
          </w:p>
        </w:tc>
      </w:tr>
      <w:tr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Traditional Group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5A32"/>
                <w:sz w:val="20"/>
                <w:szCs w:val="20"/>
              </w:rPr>
              <w:t xml:space="preserve">45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20"/>
                <w:szCs w:val="20"/>
              </w:rPr>
              <w:t xml:space="preserve">52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20"/>
                <w:szCs w:val="20"/>
              </w:rPr>
              <w:t xml:space="preserve">58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20"/>
                <w:szCs w:val="20"/>
              </w:rPr>
              <w:t xml:space="preserve">63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218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54.50</w:t>
            </w:r>
          </w:p>
        </w:tc>
      </w:tr>
      <w:tr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Tech-Enabled Group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20"/>
                <w:szCs w:val="20"/>
              </w:rPr>
              <w:t xml:space="preserve">44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5A32"/>
                <w:sz w:val="20"/>
                <w:szCs w:val="20"/>
              </w:rPr>
              <w:t xml:space="preserve">56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5A32"/>
                <w:sz w:val="20"/>
                <w:szCs w:val="20"/>
              </w:rPr>
              <w:t xml:space="preserve">68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5A32"/>
                <w:sz w:val="20"/>
                <w:szCs w:val="20"/>
              </w:rPr>
              <w:t xml:space="preserve">79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247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61.75</w:t>
            </w:r>
          </w:p>
        </w:tc>
      </w:tr>
      <w:tr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4F8F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/ AVG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465</w:t>
            </w:r>
          </w:p>
        </w:tc>
        <w:tc>
          <w:tcPr>
            <w:tcW w:type="pct" w:w="14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58.13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[Your thoughts on the statistical significance of these results]</w:t>
      </w:r>
    </w:p>
    <w:p>
      <w:pPr>
        <w:pStyle w:val="Heading1"/>
        <w:spacing w:before="240" w:after="120"/>
      </w:pPr>
      <w:r>
        <w:t xml:space="preserve">Chapter 5: Conclusion and Bibliography</w:t>
      </w:r>
    </w:p>
    <w:p>
      <w:pPr>
        <w:pStyle w:val="Normal"/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20"/>
      </w:pPr>
      <w:r>
        <w:rPr>
          <w:i/>
          <w:iCs/>
          <w:color w:val="AAAAAA"/>
          <w:sz w:val="16"/>
          <w:szCs w:val="16"/>
        </w:rPr>
        <w:t xml:space="preserve">§ Chapter 5: Conclusion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In conclusion, the integration of advanced technology in physiotherapy is no longer a luxury but a clinical necessity for optimized recovery. While the human element of the therapist remains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indispensable</w:t>
      </w:r>
      <w:r>
        <w:rPr>
          <w:rFonts w:ascii="Calibri" w:cs="Calibri" w:eastAsia="Calibri" w:hAnsi="Calibri"/>
          <w:sz w:val="24"/>
          <w:szCs w:val="24"/>
        </w:rPr>
        <w:t xml:space="preserve">, technology serves as a powerful force multiplier for diagnostics and treatment adherence.</w:t>
      </w:r>
    </w:p>
    <w:p>
      <w:pPr>
        <w:pStyle w:val="Heading2"/>
        <w:spacing w:before="200" w:after="100"/>
      </w:pPr>
      <w:r>
        <w:t xml:space="preserve">Bibliography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Smith, J., &amp; Doe, A. (2022). The Role of IoT in Modern Rehabilitation. Journal of Physiotherapy Tech, 15(2), 102-115.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Miller, R. (2023). Virtual Reality and Neuroplasticity: A Review of Current Protocols. Clinical Neuroscience Annuals, 29(4), 45-60.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Johnson, L. (2021). Robotics in Gait Training: Clinical Outcomes and Efficiency. International Journal of Biomedical Engineering, 12(1), 200-218.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[Add any additional citations here following the same format]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fldSimple w:instr="PAGE"/>
    <w:r>
      <w:rPr>
        <w:rFonts w:ascii="Calibri" w:cs="Calibri" w:eastAsia="Calibri" w:hAnsi="Calibri"/>
        <w:color w:val="888888"/>
        <w:sz w:val="18"/>
        <w:szCs w:val="18"/>
      </w:rPr>
      <w:t xml:space="preserve"> | Advancements_in_Physiotherapy_Technology_Thesis.docx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Thesis: Physiotherapy Technology | {{Student Name}}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2026-03-02T05:46:32.590Z</dcterms:created>
  <dcterms:modified xsi:type="dcterms:W3CDTF">2026-03-02T05:46:32.590Z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