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Market Analysis</w:t>
      </w:r>
    </w:p>
    <w:p>
      <w:pPr>
        <w:pStyle w:val="Heading1"/>
        <w:spacing w:before="240" w:after="120"/>
      </w:pPr>
      <w:r>
        <w:t xml:space="preserve">Competitor Analysis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competitive landscape includes several established players with strong brand recognition and customer loyalty. Key competitors include TechCorp, Innovate Solutions, and Digital Dynamics.</w:t>
      </w:r>
    </w:p>
    <w:p>
      <w:pPr>
        <w:spacing w:before="240" w:after="120"/>
      </w:pPr>
      <w:r>
        <w:rPr>
          <w:b/>
          <w:bCs/>
          <w:color w:val="2F4F8F"/>
          <w:sz w:val="24"/>
          <w:szCs w:val="24"/>
        </w:rPr>
        <w:t xml:space="preserve">📊 Chart: Market Share of Key Competitors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D"/>
          </w:tcPr>
          <w:p>
            <w:r>
              <w:rPr>
                <w:b/>
                <w:bCs/>
                <w:sz w:val="20"/>
                <w:szCs w:val="20"/>
              </w:rPr>
              <w:t xml:space="preserve">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6ED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TechCorp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Innovate Solutions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Digital Dynamics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Others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</w:tbl>
    <w:p>
      <w:pPr>
        <w:spacing w:after="240"/>
      </w:pPr>
    </w:p>
    <w:p>
      <w:pPr>
        <w:pStyle w:val="Heading2"/>
        <w:spacing w:before="200" w:after="100"/>
      </w:pPr>
      <w:r>
        <w:t xml:space="preserve">Target Customer Segments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primary target customer segments include small to medium-sized enterprises (SMEs).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sz w:val="18"/>
        <w:szCs w:val="18"/>
      </w:rPr>
      <w:t xml:space="preserve">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2026-03-14T04:58:54.251Z</dcterms:created>
  <dcterms:modified xsi:type="dcterms:W3CDTF">2026-03-14T04:58:54.411Z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