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jc w:val="center"/>
      </w:pPr>
      <w:r>
        <w:rPr>
          <w:rFonts w:ascii="Calibri" w:cs="Calibri" w:eastAsia="Calibri" w:hAnsi="Calibri"/>
          <w:b/>
          <w:bCs/>
          <w:sz w:val="32"/>
          <w:szCs w:val="32"/>
        </w:rPr>
        <w:t xml:space="preserve">Data Report</w:t>
      </w:r>
    </w:p>
    <w:p>
      <w:pPr>
        <w:pStyle w:val="Heading1"/>
        <w:spacing w:before="240" w:after="120"/>
      </w:pPr>
      <w:r>
        <w:t xml:space="preserve">Summary_TOC</w:t>
      </w:r>
    </w:p>
    <w:p>
      <w:pPr>
        <w:spacing w:after="100"/>
      </w:pPr>
      <w:r>
        <w:rPr>
          <w:rFonts w:ascii="Calibri" w:cs="Calibri" w:eastAsia="Calibri" w:hAnsi="Calibri"/>
          <w:sz w:val="24"/>
          <w:szCs w:val="24"/>
        </w:rPr>
        <w:t xml:space="preserve">Content from Sheet: Summary_TOC</w:t>
      </w:r>
    </w:p>
    <w:p>
      <w:pPr>
        <w:spacing w:after="100"/>
      </w:pPr>
      <w:r>
        <w:rPr>
          <w:rFonts w:ascii="Calibri" w:cs="Calibri" w:eastAsia="Calibri" w:hAnsi="Calibri"/>
          <w:sz w:val="24"/>
          <w:szCs w:val="24"/>
        </w:rPr>
        <w:t xml:space="preserve">1. Executive Summary | Overview and key findings | Summary_TOC</w:t>
      </w:r>
    </w:p>
    <w:p>
      <w:pPr>
        <w:spacing w:after="100"/>
      </w:pPr>
      <w:r>
        <w:rPr>
          <w:rFonts w:ascii="Calibri" w:cs="Calibri" w:eastAsia="Calibri" w:hAnsi="Calibri"/>
          <w:sz w:val="24"/>
          <w:szCs w:val="24"/>
        </w:rPr>
        <w:t xml:space="preserve">2. Market Overview | Global market size and growth projections | MarketOverview</w:t>
      </w:r>
    </w:p>
    <w:p>
      <w:pPr>
        <w:spacing w:after="100"/>
      </w:pPr>
      <w:r>
        <w:rPr>
          <w:rFonts w:ascii="Calibri" w:cs="Calibri" w:eastAsia="Calibri" w:hAnsi="Calibri"/>
          <w:sz w:val="24"/>
          <w:szCs w:val="24"/>
        </w:rPr>
        <w:t xml:space="preserve">3. Key AI Applications | Specific use cases and adoption rates | KeyApplications</w:t>
      </w:r>
    </w:p>
    <w:p>
      <w:pPr>
        <w:spacing w:after="100"/>
      </w:pPr>
      <w:r>
        <w:rPr>
          <w:rFonts w:ascii="Calibri" w:cs="Calibri" w:eastAsia="Calibri" w:hAnsi="Calibri"/>
          <w:sz w:val="24"/>
          <w:szCs w:val="24"/>
        </w:rPr>
        <w:t xml:space="preserve">4. Impact Analysis | Financial, patient outcome, and ethical impacts | ImpactAnalysis</w:t>
      </w:r>
    </w:p>
    <w:p>
      <w:pPr>
        <w:spacing w:after="100"/>
      </w:pPr>
      <w:r>
        <w:rPr>
          <w:rFonts w:ascii="Calibri" w:cs="Calibri" w:eastAsia="Calibri" w:hAnsi="Calibri"/>
          <w:sz w:val="24"/>
          <w:szCs w:val="24"/>
        </w:rPr>
        <w:t xml:space="preserve">5. References | Sources cited in the document | References</w:t>
      </w:r>
    </w:p>
    <w:p>
      <w:pPr>
        <w:spacing w:after="100"/>
      </w:pPr>
      <w:r>
        <w:rPr>
          <w:rFonts w:ascii="Calibri" w:cs="Calibri" w:eastAsia="Calibri" w:hAnsi="Calibri"/>
          <w:sz w:val="24"/>
          <w:szCs w:val="24"/>
        </w:rPr>
        <w:t xml:space="preserve">Executive Summary: | Artificial Intelligence (AI) is rapidly transforming the healthcare landscape, offering unprecedented opportunities for improving diagnosis, treatment, and patient care. This document explores the current market state, key applications, and the broader impact of AI in healthcare, highlighting both benefits and challenges.</w:t>
      </w:r>
    </w:p>
    <w:p>
      <w:pPr>
        <w:pStyle w:val="Heading1"/>
        <w:spacing w:before="240" w:after="120"/>
      </w:pPr>
      <w:r>
        <w:t xml:space="preserve">MarketOverview</w:t>
      </w:r>
    </w:p>
    <w:p>
      <w:pPr>
        <w:spacing w:after="100"/>
      </w:pPr>
      <w:r>
        <w:rPr>
          <w:rFonts w:ascii="Calibri" w:cs="Calibri" w:eastAsia="Calibri" w:hAnsi="Calibri"/>
          <w:sz w:val="24"/>
          <w:szCs w:val="24"/>
        </w:rPr>
        <w:t xml:space="preserve">Content from Sheet: MarketOverview</w:t>
      </w:r>
    </w:p>
    <w:p>
      <w:pPr>
        <w:spacing w:after="100"/>
      </w:pPr>
      <w:r>
        <w:rPr>
          <w:rFonts w:ascii="Calibri" w:cs="Calibri" w:eastAsia="Calibri" w:hAnsi="Calibri"/>
          <w:sz w:val="24"/>
          <w:szCs w:val="24"/>
        </w:rPr>
        <w:t xml:space="preserve">2022 | 15.1 | 38.5% | </w:t>
      </w:r>
    </w:p>
    <w:p>
      <w:pPr>
        <w:spacing w:after="100"/>
      </w:pPr>
      <w:r>
        <w:rPr>
          <w:rFonts w:ascii="Calibri" w:cs="Calibri" w:eastAsia="Calibri" w:hAnsi="Calibri"/>
          <w:sz w:val="24"/>
          <w:szCs w:val="24"/>
        </w:rPr>
        <w:t xml:space="preserve">2023 | 20.9 | 38.5% | </w:t>
      </w:r>
    </w:p>
    <w:p>
      <w:pPr>
        <w:spacing w:after="100"/>
      </w:pPr>
      <w:r>
        <w:rPr>
          <w:rFonts w:ascii="Calibri" w:cs="Calibri" w:eastAsia="Calibri" w:hAnsi="Calibri"/>
          <w:sz w:val="24"/>
          <w:szCs w:val="24"/>
        </w:rPr>
        <w:t xml:space="preserve">2024 | 28.9 | 38.0% | </w:t>
      </w:r>
    </w:p>
    <w:p>
      <w:pPr>
        <w:spacing w:after="100"/>
      </w:pPr>
      <w:r>
        <w:rPr>
          <w:rFonts w:ascii="Calibri" w:cs="Calibri" w:eastAsia="Calibri" w:hAnsi="Calibri"/>
          <w:sz w:val="24"/>
          <w:szCs w:val="24"/>
        </w:rPr>
        <w:t xml:space="preserve">2025 | 40.0 | 38.0% | </w:t>
      </w:r>
    </w:p>
    <w:p>
      <w:pPr>
        <w:spacing w:after="100"/>
      </w:pPr>
      <w:r>
        <w:rPr>
          <w:rFonts w:ascii="Calibri" w:cs="Calibri" w:eastAsia="Calibri" w:hAnsi="Calibri"/>
          <w:sz w:val="24"/>
          <w:szCs w:val="24"/>
        </w:rPr>
        <w:t xml:space="preserve">2026 | 55.2 | 37.8% | </w:t>
      </w:r>
    </w:p>
    <w:p>
      <w:pPr>
        <w:spacing w:after="100"/>
      </w:pPr>
      <w:r>
        <w:rPr>
          <w:rFonts w:ascii="Calibri" w:cs="Calibri" w:eastAsia="Calibri" w:hAnsi="Calibri"/>
          <w:sz w:val="24"/>
          <w:szCs w:val="24"/>
        </w:rPr>
        <w:t xml:space="preserve">2027 | 76.1 | 37.8% | </w:t>
      </w:r>
    </w:p>
    <w:p>
      <w:pPr>
        <w:pStyle w:val="Heading1"/>
        <w:spacing w:before="240" w:after="120"/>
      </w:pPr>
      <w:r>
        <w:t xml:space="preserve">KeyApplications</w:t>
      </w:r>
    </w:p>
    <w:p>
      <w:pPr>
        <w:spacing w:after="100"/>
      </w:pPr>
      <w:r>
        <w:rPr>
          <w:rFonts w:ascii="Calibri" w:cs="Calibri" w:eastAsia="Calibri" w:hAnsi="Calibri"/>
          <w:sz w:val="24"/>
          <w:szCs w:val="24"/>
        </w:rPr>
        <w:t xml:space="preserve">Content from Sheet: KeyApplications</w:t>
      </w:r>
    </w:p>
    <w:p>
      <w:pPr>
        <w:spacing w:after="100"/>
      </w:pPr>
      <w:r>
        <w:rPr>
          <w:rFonts w:ascii="Calibri" w:cs="Calibri" w:eastAsia="Calibri" w:hAnsi="Calibri"/>
          <w:sz w:val="24"/>
          <w:szCs w:val="24"/>
        </w:rPr>
        <w:t xml:space="preserve">Diagnostic Imaging | AI-powered analysis of X-rays, MRIs, CT scans | 25% | 60% | High</w:t>
      </w:r>
    </w:p>
    <w:p>
      <w:pPr>
        <w:spacing w:after="100"/>
      </w:pPr>
      <w:r>
        <w:rPr>
          <w:rFonts w:ascii="Calibri" w:cs="Calibri" w:eastAsia="Calibri" w:hAnsi="Calibri"/>
          <w:sz w:val="24"/>
          <w:szCs w:val="24"/>
        </w:rPr>
        <w:t xml:space="preserve">Drug Discovery | Accelerating drug candidate identification and optimization | 15% | 45% | High</w:t>
      </w:r>
    </w:p>
    <w:p>
      <w:pPr>
        <w:spacing w:after="100"/>
      </w:pPr>
      <w:r>
        <w:rPr>
          <w:rFonts w:ascii="Calibri" w:cs="Calibri" w:eastAsia="Calibri" w:hAnsi="Calibri"/>
          <w:sz w:val="24"/>
          <w:szCs w:val="24"/>
        </w:rPr>
        <w:t xml:space="preserve">Patient Management | Personalized treatment plans and remote monitoring | 30% | 70% | Medium</w:t>
      </w:r>
    </w:p>
    <w:p>
      <w:pPr>
        <w:spacing w:after="100"/>
      </w:pPr>
      <w:r>
        <w:rPr>
          <w:rFonts w:ascii="Calibri" w:cs="Calibri" w:eastAsia="Calibri" w:hAnsi="Calibri"/>
          <w:sz w:val="24"/>
          <w:szCs w:val="24"/>
        </w:rPr>
        <w:t xml:space="preserve">Predictive Analytics | Forecasting disease outbreaks and patient risks | 20% | 55% | High</w:t>
      </w:r>
    </w:p>
    <w:p>
      <w:pPr>
        <w:spacing w:after="100"/>
      </w:pPr>
      <w:r>
        <w:rPr>
          <w:rFonts w:ascii="Calibri" w:cs="Calibri" w:eastAsia="Calibri" w:hAnsi="Calibri"/>
          <w:sz w:val="24"/>
          <w:szCs w:val="24"/>
        </w:rPr>
        <w:t xml:space="preserve">Robotics in Surgery | Assisted precision surgery and automation | 10% | 30% | Medium</w:t>
      </w:r>
    </w:p>
    <w:p>
      <w:pPr>
        <w:pStyle w:val="Heading1"/>
        <w:spacing w:before="240" w:after="120"/>
      </w:pPr>
      <w:r>
        <w:t xml:space="preserve">ImpactAnalysis</w:t>
      </w:r>
    </w:p>
    <w:p>
      <w:pPr>
        <w:spacing w:after="100"/>
      </w:pPr>
      <w:r>
        <w:rPr>
          <w:rFonts w:ascii="Calibri" w:cs="Calibri" w:eastAsia="Calibri" w:hAnsi="Calibri"/>
          <w:sz w:val="24"/>
          <w:szCs w:val="24"/>
        </w:rPr>
        <w:t xml:space="preserve">Content from Sheet: ImpactAnalysis</w:t>
      </w:r>
    </w:p>
    <w:p>
      <w:pPr>
        <w:spacing w:after="100"/>
      </w:pPr>
      <w:r>
        <w:rPr>
          <w:rFonts w:ascii="Calibri" w:cs="Calibri" w:eastAsia="Calibri" w:hAnsi="Calibri"/>
          <w:sz w:val="24"/>
          <w:szCs w:val="24"/>
        </w:rPr>
        <w:t xml:space="preserve">Financial | Operational Costs | 1000000 | 750000 | </w:t>
      </w:r>
    </w:p>
    <w:p>
      <w:pPr>
        <w:spacing w:after="100"/>
      </w:pPr>
      <w:r>
        <w:rPr>
          <w:rFonts w:ascii="Calibri" w:cs="Calibri" w:eastAsia="Calibri" w:hAnsi="Calibri"/>
          <w:sz w:val="24"/>
          <w:szCs w:val="24"/>
        </w:rPr>
        <w:t xml:space="preserve">Financial | Revenue Growth | 5% | 15% | </w:t>
      </w:r>
    </w:p>
    <w:p>
      <w:pPr>
        <w:spacing w:after="100"/>
      </w:pPr>
      <w:r>
        <w:rPr>
          <w:rFonts w:ascii="Calibri" w:cs="Calibri" w:eastAsia="Calibri" w:hAnsi="Calibri"/>
          <w:sz w:val="24"/>
          <w:szCs w:val="24"/>
        </w:rPr>
        <w:t xml:space="preserve">Patient Outcomes | Diagnosis Accuracy | 80% | 95% | </w:t>
      </w:r>
    </w:p>
    <w:p>
      <w:pPr>
        <w:spacing w:after="100"/>
      </w:pPr>
      <w:r>
        <w:rPr>
          <w:rFonts w:ascii="Calibri" w:cs="Calibri" w:eastAsia="Calibri" w:hAnsi="Calibri"/>
          <w:sz w:val="24"/>
          <w:szCs w:val="24"/>
        </w:rPr>
        <w:t xml:space="preserve">Patient Outcomes | Treatment Efficacy | 70% | 85% | </w:t>
      </w:r>
    </w:p>
    <w:p>
      <w:pPr>
        <w:spacing w:after="100"/>
      </w:pPr>
      <w:r>
        <w:rPr>
          <w:rFonts w:ascii="Calibri" w:cs="Calibri" w:eastAsia="Calibri" w:hAnsi="Calibri"/>
          <w:sz w:val="24"/>
          <w:szCs w:val="24"/>
        </w:rPr>
        <w:t xml:space="preserve">Efficiency | Time to Diagnosis | 48 | 12 | </w:t>
      </w:r>
    </w:p>
    <w:p>
      <w:pPr>
        <w:spacing w:after="100"/>
      </w:pPr>
      <w:r>
        <w:rPr>
          <w:rFonts w:ascii="Calibri" w:cs="Calibri" w:eastAsia="Calibri" w:hAnsi="Calibri"/>
          <w:sz w:val="24"/>
          <w:szCs w:val="24"/>
        </w:rPr>
        <w:t xml:space="preserve">Ethical | Data Privacy Risks (1-10) | 3 | 5 | </w:t>
      </w:r>
    </w:p>
    <w:p>
      <w:pPr>
        <w:pStyle w:val="Heading1"/>
        <w:spacing w:before="240" w:after="120"/>
      </w:pPr>
      <w:r>
        <w:t xml:space="preserve">References</w:t>
      </w:r>
    </w:p>
    <w:p>
      <w:pPr>
        <w:spacing w:after="100"/>
      </w:pPr>
      <w:r>
        <w:rPr>
          <w:rFonts w:ascii="Calibri" w:cs="Calibri" w:eastAsia="Calibri" w:hAnsi="Calibri"/>
          <w:sz w:val="24"/>
          <w:szCs w:val="24"/>
        </w:rPr>
        <w:t xml:space="preserve">Content from Sheet: References</w:t>
      </w:r>
    </w:p>
    <w:p>
      <w:pPr>
        <w:spacing w:after="100"/>
      </w:pPr>
      <w:r>
        <w:rPr>
          <w:rFonts w:ascii="Calibri" w:cs="Calibri" w:eastAsia="Calibri" w:hAnsi="Calibri"/>
          <w:sz w:val="24"/>
          <w:szCs w:val="24"/>
        </w:rPr>
        <w:t xml:space="preserve">Grand View Research | N/A | 2023 | https://www.grandviewresearch.com/industry-analysis/artificial-intelligence-ai-healthcare-market</w:t>
      </w:r>
    </w:p>
    <w:p>
      <w:pPr>
        <w:spacing w:after="100"/>
      </w:pPr>
      <w:r>
        <w:rPr>
          <w:rFonts w:ascii="Calibri" w:cs="Calibri" w:eastAsia="Calibri" w:hAnsi="Calibri"/>
          <w:sz w:val="24"/>
          <w:szCs w:val="24"/>
        </w:rPr>
        <w:t xml:space="preserve">IBM Institute for Business Value | IBM | 2022 | https://www.ibm.com/thought-leadership/institute-business-value/report/ai-healthcare</w:t>
      </w:r>
    </w:p>
    <w:p>
      <w:pPr>
        <w:spacing w:after="100"/>
      </w:pPr>
      <w:r>
        <w:rPr>
          <w:rFonts w:ascii="Calibri" w:cs="Calibri" w:eastAsia="Calibri" w:hAnsi="Calibri"/>
          <w:sz w:val="24"/>
          <w:szCs w:val="24"/>
        </w:rPr>
        <w:t xml:space="preserve">Nature Medicine | Topol, E. J. | 2019 | 10.1038/s41591-019-0307-5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2026-02-25T16:28:13.448Z</dcterms:created>
  <dcterms:modified xsi:type="dcterms:W3CDTF">2026-02-25T16:28:13.448Z</dcterms:modified>
</cp:coreProperties>
</file>

<file path=docProps/custom.xml><?xml version="1.0" encoding="utf-8"?>
<Properties xmlns="http://schemas.openxmlformats.org/officeDocument/2006/custom-properties" xmlns:vt="http://schemas.openxmlformats.org/officeDocument/2006/docPropsVTypes"/>
</file>