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pPr>
      <w:r>
        <w:t xml:space="preserve"/>
      </w:r>
    </w:p>
    <w:p>
      <w:pPr>
        <w:spacing w:before="0" w:after="80"/>
        <w:jc w:val="center"/>
      </w:pPr>
      <w:r>
        <w:rPr>
          <w:rFonts w:ascii="Calibri" w:cs="Calibri" w:eastAsia="Calibri" w:hAnsi="Calibri"/>
          <w:b/>
          <w:bCs/>
          <w:caps/>
          <w:color w:val="1A3C6B"/>
          <w:sz w:val="48"/>
          <w:szCs w:val="48"/>
        </w:rPr>
        <w:t xml:space="preserve">SYNOPSIS</w:t>
      </w:r>
    </w:p>
    <w:p>
      <w:pPr>
        <w:spacing w:before="0" w:after="60"/>
        <w:jc w:val="center"/>
      </w:pPr>
      <w:r>
        <w:rPr>
          <w:rFonts w:ascii="Calibri" w:cs="Calibri" w:eastAsia="Calibri" w:hAnsi="Calibri"/>
          <w:i/>
          <w:iCs/>
          <w:color w:val="555555"/>
          <w:sz w:val="26"/>
          <w:szCs w:val="26"/>
        </w:rPr>
        <w:t xml:space="preserve">Mini Project</w:t>
      </w:r>
    </w:p>
    <w:p>
      <w:pPr>
        <w:pBdr>
          <w:top w:val="single" w:color="2563A8" w:sz="4" w:space="6"/>
          <w:bottom w:val="single" w:color="2563A8" w:sz="4" w:space="6"/>
        </w:pBdr>
        <w:spacing w:before="180" w:after="60"/>
        <w:jc w:val="center"/>
      </w:pPr>
      <w:r>
        <w:rPr>
          <w:sz w:val="8"/>
          <w:szCs w:val="8"/>
        </w:rPr>
        <w:t xml:space="preserve">
</w:t>
      </w:r>
    </w:p>
    <w:p>
      <w:pPr>
        <w:spacing w:before="200" w:after="200"/>
        <w:jc w:val="center"/>
      </w:pPr>
      <w:r>
        <w:rPr>
          <w:rFonts w:ascii="Calibri" w:cs="Calibri" w:eastAsia="Calibri" w:hAnsi="Calibri"/>
          <w:b/>
          <w:bCs/>
          <w:color w:val="1A3C6B"/>
          <w:sz w:val="36"/>
          <w:szCs w:val="36"/>
        </w:rPr>
        <w:t xml:space="preserve">AI-Driven Fraud Detection in Financial Transactions</w:t>
      </w:r>
    </w:p>
    <w:p>
      <w:pPr>
        <w:spacing w:before="0" w:after="40"/>
        <w:jc w:val="center"/>
      </w:pPr>
      <w:r>
        <w:rPr>
          <w:rFonts w:ascii="Calibri" w:cs="Calibri" w:eastAsia="Calibri" w:hAnsi="Calibri"/>
          <w:color w:val="666666"/>
          <w:sz w:val="22"/>
          <w:szCs w:val="22"/>
        </w:rPr>
        <w:t xml:space="preserve">Academic Year 2024–25</w:t>
      </w:r>
    </w:p>
    <w:p>
      <w:pPr>
        <w:spacing w:before="0" w:after="40"/>
        <w:jc w:val="center"/>
      </w:pPr>
      <w:r>
        <w:rPr>
          <w:rFonts w:ascii="Calibri" w:cs="Calibri" w:eastAsia="Calibri" w:hAnsi="Calibri"/>
          <w:color w:val="666666"/>
          <w:sz w:val="22"/>
          <w:szCs w:val="22"/>
        </w:rPr>
        <w:t xml:space="preserve">Department of Data Science and Engineering — Section B</w:t>
      </w:r>
    </w:p>
    <w:p>
      <w:pPr>
        <w:spacing w:before="60" w:after="60"/>
      </w:pPr>
      <w:r>
        <w:t xml:space="preserve"/>
      </w:r>
    </w:p>
    <w:p>
      <w:pPr>
        <w:pBdr>
          <w:bottom w:val="single" w:color="2563A8" w:sz="8" w:space="1"/>
        </w:pBdr>
        <w:spacing w:before="0" w:after="200"/>
      </w:pPr>
      <w:r>
        <w:t xml:space="preserve"/>
      </w:r>
    </w:p>
    <w:p>
      <w:pPr>
        <w:pStyle w:val="Heading1"/>
        <w:spacing w:before="360" w:after="120"/>
      </w:pPr>
      <w:r>
        <w:rPr>
          <w:rFonts w:ascii="Calibri" w:cs="Calibri" w:eastAsia="Calibri" w:hAnsi="Calibri"/>
          <w:b/>
          <w:bCs/>
          <w:color w:val="1A3C6B"/>
          <w:sz w:val="28"/>
          <w:szCs w:val="28"/>
        </w:rPr>
        <w:t xml:space="preserve">Team Members</w:t>
      </w:r>
    </w:p>
    <w:p>
      <w:pPr>
        <w:spacing w:before="4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400"/>
        <w:gridCol w:w="1400"/>
        <w:gridCol w:w="826"/>
      </w:tblGrid>
      <w:tr>
        <w:trPr>
          <w:tblHeader/>
        </w:trPr>
        <w:tc>
          <w:tcPr>
            <w:tcW w:type="dxa" w:w="2800"/>
            <w:tcBorders>
              <w:top w:val="single" w:color="1A3C6B" w:sz="1"/>
              <w:left w:val="single" w:color="1A3C6B" w:sz="1"/>
              <w:bottom w:val="single" w:color="1A3C6B" w:sz="1"/>
              <w:right w:val="single" w:color="1A3C6B" w:sz="1"/>
            </w:tcBorders>
            <w:shd w:fill="1A3C6B"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Name</w:t>
            </w:r>
          </w:p>
        </w:tc>
        <w:tc>
          <w:tcPr>
            <w:tcW w:type="dxa" w:w="1600"/>
            <w:tcBorders>
              <w:top w:val="single" w:color="1A3C6B" w:sz="1"/>
              <w:left w:val="single" w:color="1A3C6B" w:sz="1"/>
              <w:bottom w:val="single" w:color="1A3C6B" w:sz="1"/>
              <w:right w:val="single" w:color="1A3C6B" w:sz="1"/>
            </w:tcBorders>
            <w:shd w:fill="1A3C6B"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Section</w:t>
            </w:r>
          </w:p>
        </w:tc>
        <w:tc>
          <w:tcPr>
            <w:tcW w:type="dxa" w:w="2400"/>
            <w:tcBorders>
              <w:top w:val="single" w:color="1A3C6B" w:sz="1"/>
              <w:left w:val="single" w:color="1A3C6B" w:sz="1"/>
              <w:bottom w:val="single" w:color="1A3C6B" w:sz="1"/>
              <w:right w:val="single" w:color="1A3C6B" w:sz="1"/>
            </w:tcBorders>
            <w:shd w:fill="1A3C6B"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Registration No.</w:t>
            </w:r>
          </w:p>
        </w:tc>
        <w:tc>
          <w:tcPr>
            <w:tcW w:type="dxa" w:w="1400"/>
            <w:tcBorders>
              <w:top w:val="single" w:color="1A3C6B" w:sz="1"/>
              <w:left w:val="single" w:color="1A3C6B" w:sz="1"/>
              <w:bottom w:val="single" w:color="1A3C6B" w:sz="1"/>
              <w:right w:val="single" w:color="1A3C6B" w:sz="1"/>
            </w:tcBorders>
            <w:shd w:fill="1A3C6B"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Roll No.</w:t>
            </w:r>
          </w:p>
        </w:tc>
        <w:tc>
          <w:tcPr>
            <w:tcW w:type="dxa" w:w="826"/>
            <w:tcBorders>
              <w:top w:val="single" w:color="1A3C6B" w:sz="1"/>
              <w:left w:val="single" w:color="1A3C6B" w:sz="1"/>
              <w:bottom w:val="single" w:color="1A3C6B" w:sz="1"/>
              <w:right w:val="single" w:color="1A3C6B" w:sz="1"/>
            </w:tcBorders>
            <w:shd w:fill="1A3C6B"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Signature</w:t>
            </w:r>
          </w:p>
        </w:tc>
      </w:tr>
      <w:tr>
        <w:tc>
          <w:tcPr>
            <w:tcW w:type="dxa" w:w="2800"/>
            <w:tcBorders>
              <w:top w:val="single" w:color="BFBFBF" w:sz="1"/>
              <w:left w:val="single" w:color="BFBFBF" w:sz="1"/>
              <w:bottom w:val="single" w:color="BFBFBF" w:sz="1"/>
              <w:right w:val="single" w:color="BFBFBF" w:sz="1"/>
            </w:tcBorders>
            <w:shd w:fill="F5F8FC"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Khushi Agarwal</w:t>
            </w:r>
          </w:p>
        </w:tc>
        <w:tc>
          <w:tcPr>
            <w:tcW w:type="dxa" w:w="1600"/>
            <w:tcBorders>
              <w:top w:val="single" w:color="BFBFBF" w:sz="1"/>
              <w:left w:val="single" w:color="BFBFBF" w:sz="1"/>
              <w:bottom w:val="single" w:color="BFBFBF" w:sz="1"/>
              <w:right w:val="single" w:color="BFBFBF" w:sz="1"/>
            </w:tcBorders>
            <w:shd w:fill="F5F8FC" w:val="clear"/>
            <w:tcMar>
              <w:top w:type="dxa" w:w="80"/>
              <w:left w:type="dxa" w:w="140"/>
              <w:bottom w:type="dxa" w:w="80"/>
              <w:right w:type="dxa" w:w="140"/>
            </w:tcMar>
            <w:vAlign w:val="center"/>
          </w:tcPr>
          <w:p>
            <w:pPr>
              <w:jc w:val="center"/>
            </w:pPr>
            <w:r>
              <w:rPr>
                <w:rFonts w:ascii="Calibri" w:cs="Calibri" w:eastAsia="Calibri" w:hAnsi="Calibri"/>
                <w:b w:val="false"/>
                <w:bCs w:val="false"/>
                <w:color w:val="1A1A1A"/>
                <w:sz w:val="20"/>
                <w:szCs w:val="20"/>
              </w:rPr>
              <w:t xml:space="preserve">DSE B</w:t>
            </w:r>
          </w:p>
        </w:tc>
        <w:tc>
          <w:tcPr>
            <w:tcW w:type="dxa" w:w="2400"/>
            <w:tcBorders>
              <w:top w:val="single" w:color="BFBFBF" w:sz="1"/>
              <w:left w:val="single" w:color="BFBFBF" w:sz="1"/>
              <w:bottom w:val="single" w:color="BFBFBF" w:sz="1"/>
              <w:right w:val="single" w:color="BFBFBF" w:sz="1"/>
            </w:tcBorders>
            <w:shd w:fill="F5F8FC" w:val="clear"/>
            <w:tcMar>
              <w:top w:type="dxa" w:w="80"/>
              <w:left w:type="dxa" w:w="140"/>
              <w:bottom w:type="dxa" w:w="80"/>
              <w:right w:type="dxa" w:w="140"/>
            </w:tcMar>
            <w:vAlign w:val="center"/>
          </w:tcPr>
          <w:p>
            <w:pPr>
              <w:jc w:val="center"/>
            </w:pPr>
            <w:r>
              <w:rPr>
                <w:rFonts w:ascii="Calibri" w:cs="Calibri" w:eastAsia="Calibri" w:hAnsi="Calibri"/>
                <w:b w:val="false"/>
                <w:bCs w:val="false"/>
                <w:color w:val="1A1A1A"/>
                <w:sz w:val="20"/>
                <w:szCs w:val="20"/>
              </w:rPr>
              <w:t xml:space="preserve">240968264</w:t>
            </w:r>
          </w:p>
        </w:tc>
        <w:tc>
          <w:tcPr>
            <w:tcW w:type="dxa" w:w="1400"/>
            <w:tcBorders>
              <w:top w:val="single" w:color="BFBFBF" w:sz="1"/>
              <w:left w:val="single" w:color="BFBFBF" w:sz="1"/>
              <w:bottom w:val="single" w:color="BFBFBF" w:sz="1"/>
              <w:right w:val="single" w:color="BFBFBF" w:sz="1"/>
            </w:tcBorders>
            <w:shd w:fill="F5F8FC" w:val="clear"/>
            <w:tcMar>
              <w:top w:type="dxa" w:w="80"/>
              <w:left w:type="dxa" w:w="140"/>
              <w:bottom w:type="dxa" w:w="80"/>
              <w:right w:type="dxa" w:w="140"/>
            </w:tcMar>
            <w:vAlign w:val="center"/>
          </w:tcPr>
          <w:p>
            <w:pPr>
              <w:jc w:val="center"/>
            </w:pPr>
            <w:r>
              <w:rPr>
                <w:rFonts w:ascii="Calibri" w:cs="Calibri" w:eastAsia="Calibri" w:hAnsi="Calibri"/>
                <w:b w:val="false"/>
                <w:bCs w:val="false"/>
                <w:color w:val="1A1A1A"/>
                <w:sz w:val="20"/>
                <w:szCs w:val="20"/>
              </w:rPr>
              <w:t xml:space="preserve">28</w:t>
            </w:r>
          </w:p>
        </w:tc>
        <w:tc>
          <w:tcPr>
            <w:tcW w:type="dxa" w:w="826"/>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t xml:space="preserve"/>
            </w:r>
          </w:p>
        </w:tc>
      </w:tr>
      <w:tr>
        <w:tc>
          <w:tcPr>
            <w:tcW w:type="dxa" w:w="2800"/>
            <w:tcBorders>
              <w:top w:val="single" w:color="BFBFBF" w:sz="1"/>
              <w:left w:val="single" w:color="BFBFBF" w:sz="1"/>
              <w:bottom w:val="single" w:color="BFBFBF" w:sz="1"/>
              <w:right w:val="single" w:color="BFBFBF" w:sz="1"/>
            </w:tcBorders>
            <w:shd w:fill="F5F8FC"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Avantika Bhattacharya</w:t>
            </w:r>
          </w:p>
        </w:tc>
        <w:tc>
          <w:tcPr>
            <w:tcW w:type="dxa" w:w="1600"/>
            <w:tcBorders>
              <w:top w:val="single" w:color="BFBFBF" w:sz="1"/>
              <w:left w:val="single" w:color="BFBFBF" w:sz="1"/>
              <w:bottom w:val="single" w:color="BFBFBF" w:sz="1"/>
              <w:right w:val="single" w:color="BFBFBF" w:sz="1"/>
            </w:tcBorders>
            <w:shd w:fill="F5F8FC" w:val="clear"/>
            <w:tcMar>
              <w:top w:type="dxa" w:w="80"/>
              <w:left w:type="dxa" w:w="140"/>
              <w:bottom w:type="dxa" w:w="80"/>
              <w:right w:type="dxa" w:w="140"/>
            </w:tcMar>
            <w:vAlign w:val="center"/>
          </w:tcPr>
          <w:p>
            <w:pPr>
              <w:jc w:val="center"/>
            </w:pPr>
            <w:r>
              <w:rPr>
                <w:rFonts w:ascii="Calibri" w:cs="Calibri" w:eastAsia="Calibri" w:hAnsi="Calibri"/>
                <w:b w:val="false"/>
                <w:bCs w:val="false"/>
                <w:color w:val="1A1A1A"/>
                <w:sz w:val="20"/>
                <w:szCs w:val="20"/>
              </w:rPr>
              <w:t xml:space="preserve">DSE B</w:t>
            </w:r>
          </w:p>
        </w:tc>
        <w:tc>
          <w:tcPr>
            <w:tcW w:type="dxa" w:w="2400"/>
            <w:tcBorders>
              <w:top w:val="single" w:color="BFBFBF" w:sz="1"/>
              <w:left w:val="single" w:color="BFBFBF" w:sz="1"/>
              <w:bottom w:val="single" w:color="BFBFBF" w:sz="1"/>
              <w:right w:val="single" w:color="BFBFBF" w:sz="1"/>
            </w:tcBorders>
            <w:shd w:fill="F5F8FC" w:val="clear"/>
            <w:tcMar>
              <w:top w:type="dxa" w:w="80"/>
              <w:left w:type="dxa" w:w="140"/>
              <w:bottom w:type="dxa" w:w="80"/>
              <w:right w:type="dxa" w:w="140"/>
            </w:tcMar>
            <w:vAlign w:val="center"/>
          </w:tcPr>
          <w:p>
            <w:pPr>
              <w:jc w:val="center"/>
            </w:pPr>
            <w:r>
              <w:rPr>
                <w:rFonts w:ascii="Calibri" w:cs="Calibri" w:eastAsia="Calibri" w:hAnsi="Calibri"/>
                <w:b w:val="false"/>
                <w:bCs w:val="false"/>
                <w:color w:val="1A1A1A"/>
                <w:sz w:val="20"/>
                <w:szCs w:val="20"/>
              </w:rPr>
              <w:t xml:space="preserve">240968258</w:t>
            </w:r>
          </w:p>
        </w:tc>
        <w:tc>
          <w:tcPr>
            <w:tcW w:type="dxa" w:w="1400"/>
            <w:tcBorders>
              <w:top w:val="single" w:color="BFBFBF" w:sz="1"/>
              <w:left w:val="single" w:color="BFBFBF" w:sz="1"/>
              <w:bottom w:val="single" w:color="BFBFBF" w:sz="1"/>
              <w:right w:val="single" w:color="BFBFBF" w:sz="1"/>
            </w:tcBorders>
            <w:shd w:fill="F5F8FC" w:val="clear"/>
            <w:tcMar>
              <w:top w:type="dxa" w:w="80"/>
              <w:left w:type="dxa" w:w="140"/>
              <w:bottom w:type="dxa" w:w="80"/>
              <w:right w:type="dxa" w:w="140"/>
            </w:tcMar>
            <w:vAlign w:val="center"/>
          </w:tcPr>
          <w:p>
            <w:pPr>
              <w:jc w:val="center"/>
            </w:pPr>
            <w:r>
              <w:rPr>
                <w:rFonts w:ascii="Calibri" w:cs="Calibri" w:eastAsia="Calibri" w:hAnsi="Calibri"/>
                <w:b w:val="false"/>
                <w:bCs w:val="false"/>
                <w:color w:val="1A1A1A"/>
                <w:sz w:val="20"/>
                <w:szCs w:val="20"/>
              </w:rPr>
              <w:t xml:space="preserve">26</w:t>
            </w:r>
          </w:p>
        </w:tc>
        <w:tc>
          <w:tcPr>
            <w:tcW w:type="dxa" w:w="826"/>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t xml:space="preserve"/>
            </w:r>
          </w:p>
        </w:tc>
      </w:tr>
      <w:tr>
        <w:tc>
          <w:tcPr>
            <w:tcW w:type="dxa" w:w="2800"/>
            <w:tcBorders>
              <w:top w:val="single" w:color="BFBFBF" w:sz="1"/>
              <w:left w:val="single" w:color="BFBFBF" w:sz="1"/>
              <w:bottom w:val="single" w:color="BFBFBF" w:sz="1"/>
              <w:right w:val="single" w:color="BFBFBF" w:sz="1"/>
            </w:tcBorders>
            <w:shd w:fill="F5F8FC"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Shreyas Sanjay Birje</w:t>
            </w:r>
          </w:p>
        </w:tc>
        <w:tc>
          <w:tcPr>
            <w:tcW w:type="dxa" w:w="1600"/>
            <w:tcBorders>
              <w:top w:val="single" w:color="BFBFBF" w:sz="1"/>
              <w:left w:val="single" w:color="BFBFBF" w:sz="1"/>
              <w:bottom w:val="single" w:color="BFBFBF" w:sz="1"/>
              <w:right w:val="single" w:color="BFBFBF" w:sz="1"/>
            </w:tcBorders>
            <w:shd w:fill="F5F8FC" w:val="clear"/>
            <w:tcMar>
              <w:top w:type="dxa" w:w="80"/>
              <w:left w:type="dxa" w:w="140"/>
              <w:bottom w:type="dxa" w:w="80"/>
              <w:right w:type="dxa" w:w="140"/>
            </w:tcMar>
            <w:vAlign w:val="center"/>
          </w:tcPr>
          <w:p>
            <w:pPr>
              <w:jc w:val="center"/>
            </w:pPr>
            <w:r>
              <w:rPr>
                <w:rFonts w:ascii="Calibri" w:cs="Calibri" w:eastAsia="Calibri" w:hAnsi="Calibri"/>
                <w:b w:val="false"/>
                <w:bCs w:val="false"/>
                <w:color w:val="1A1A1A"/>
                <w:sz w:val="20"/>
                <w:szCs w:val="20"/>
              </w:rPr>
              <w:t xml:space="preserve">DSE B</w:t>
            </w:r>
          </w:p>
        </w:tc>
        <w:tc>
          <w:tcPr>
            <w:tcW w:type="dxa" w:w="2400"/>
            <w:tcBorders>
              <w:top w:val="single" w:color="BFBFBF" w:sz="1"/>
              <w:left w:val="single" w:color="BFBFBF" w:sz="1"/>
              <w:bottom w:val="single" w:color="BFBFBF" w:sz="1"/>
              <w:right w:val="single" w:color="BFBFBF" w:sz="1"/>
            </w:tcBorders>
            <w:shd w:fill="F5F8FC" w:val="clear"/>
            <w:tcMar>
              <w:top w:type="dxa" w:w="80"/>
              <w:left w:type="dxa" w:w="140"/>
              <w:bottom w:type="dxa" w:w="80"/>
              <w:right w:type="dxa" w:w="140"/>
            </w:tcMar>
            <w:vAlign w:val="center"/>
          </w:tcPr>
          <w:p>
            <w:pPr>
              <w:jc w:val="center"/>
            </w:pPr>
            <w:r>
              <w:rPr>
                <w:rFonts w:ascii="Calibri" w:cs="Calibri" w:eastAsia="Calibri" w:hAnsi="Calibri"/>
                <w:b w:val="false"/>
                <w:bCs w:val="false"/>
                <w:color w:val="1A1A1A"/>
                <w:sz w:val="20"/>
                <w:szCs w:val="20"/>
              </w:rPr>
              <w:t xml:space="preserve">240968049</w:t>
            </w:r>
          </w:p>
        </w:tc>
        <w:tc>
          <w:tcPr>
            <w:tcW w:type="dxa" w:w="1400"/>
            <w:tcBorders>
              <w:top w:val="single" w:color="BFBFBF" w:sz="1"/>
              <w:left w:val="single" w:color="BFBFBF" w:sz="1"/>
              <w:bottom w:val="single" w:color="BFBFBF" w:sz="1"/>
              <w:right w:val="single" w:color="BFBFBF" w:sz="1"/>
            </w:tcBorders>
            <w:shd w:fill="F5F8FC" w:val="clear"/>
            <w:tcMar>
              <w:top w:type="dxa" w:w="80"/>
              <w:left w:type="dxa" w:w="140"/>
              <w:bottom w:type="dxa" w:w="80"/>
              <w:right w:type="dxa" w:w="140"/>
            </w:tcMar>
            <w:vAlign w:val="center"/>
          </w:tcPr>
          <w:p>
            <w:pPr>
              <w:jc w:val="center"/>
            </w:pPr>
            <w:r>
              <w:rPr>
                <w:rFonts w:ascii="Calibri" w:cs="Calibri" w:eastAsia="Calibri" w:hAnsi="Calibri"/>
                <w:b w:val="false"/>
                <w:bCs w:val="false"/>
                <w:color w:val="1A1A1A"/>
                <w:sz w:val="20"/>
                <w:szCs w:val="20"/>
              </w:rPr>
              <w:t xml:space="preserve">10</w:t>
            </w:r>
          </w:p>
        </w:tc>
        <w:tc>
          <w:tcPr>
            <w:tcW w:type="dxa" w:w="826"/>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t xml:space="preserve"/>
            </w:r>
          </w:p>
        </w:tc>
      </w:tr>
      <w:tr>
        <w:tc>
          <w:tcPr>
            <w:tcW w:type="dxa" w:w="2800"/>
            <w:tcBorders>
              <w:top w:val="single" w:color="BFBFBF" w:sz="1"/>
              <w:left w:val="single" w:color="BFBFBF" w:sz="1"/>
              <w:bottom w:val="single" w:color="BFBFBF" w:sz="1"/>
              <w:right w:val="single" w:color="BFBFBF" w:sz="1"/>
            </w:tcBorders>
            <w:shd w:fill="F5F8FC"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Meenakshi S Nair</w:t>
            </w:r>
          </w:p>
        </w:tc>
        <w:tc>
          <w:tcPr>
            <w:tcW w:type="dxa" w:w="1600"/>
            <w:tcBorders>
              <w:top w:val="single" w:color="BFBFBF" w:sz="1"/>
              <w:left w:val="single" w:color="BFBFBF" w:sz="1"/>
              <w:bottom w:val="single" w:color="BFBFBF" w:sz="1"/>
              <w:right w:val="single" w:color="BFBFBF" w:sz="1"/>
            </w:tcBorders>
            <w:shd w:fill="F5F8FC" w:val="clear"/>
            <w:tcMar>
              <w:top w:type="dxa" w:w="80"/>
              <w:left w:type="dxa" w:w="140"/>
              <w:bottom w:type="dxa" w:w="80"/>
              <w:right w:type="dxa" w:w="140"/>
            </w:tcMar>
            <w:vAlign w:val="center"/>
          </w:tcPr>
          <w:p>
            <w:pPr>
              <w:jc w:val="center"/>
            </w:pPr>
            <w:r>
              <w:rPr>
                <w:rFonts w:ascii="Calibri" w:cs="Calibri" w:eastAsia="Calibri" w:hAnsi="Calibri"/>
                <w:b w:val="false"/>
                <w:bCs w:val="false"/>
                <w:color w:val="1A1A1A"/>
                <w:sz w:val="20"/>
                <w:szCs w:val="20"/>
              </w:rPr>
              <w:t xml:space="preserve">DSE B</w:t>
            </w:r>
          </w:p>
        </w:tc>
        <w:tc>
          <w:tcPr>
            <w:tcW w:type="dxa" w:w="2400"/>
            <w:tcBorders>
              <w:top w:val="single" w:color="BFBFBF" w:sz="1"/>
              <w:left w:val="single" w:color="BFBFBF" w:sz="1"/>
              <w:bottom w:val="single" w:color="BFBFBF" w:sz="1"/>
              <w:right w:val="single" w:color="BFBFBF" w:sz="1"/>
            </w:tcBorders>
            <w:shd w:fill="F5F8FC" w:val="clear"/>
            <w:tcMar>
              <w:top w:type="dxa" w:w="80"/>
              <w:left w:type="dxa" w:w="140"/>
              <w:bottom w:type="dxa" w:w="80"/>
              <w:right w:type="dxa" w:w="140"/>
            </w:tcMar>
            <w:vAlign w:val="center"/>
          </w:tcPr>
          <w:p>
            <w:pPr>
              <w:jc w:val="center"/>
            </w:pPr>
            <w:r>
              <w:rPr>
                <w:rFonts w:ascii="Calibri" w:cs="Calibri" w:eastAsia="Calibri" w:hAnsi="Calibri"/>
                <w:b w:val="false"/>
                <w:bCs w:val="false"/>
                <w:color w:val="1A1A1A"/>
                <w:sz w:val="20"/>
                <w:szCs w:val="20"/>
              </w:rPr>
              <w:t xml:space="preserve">240968476</w:t>
            </w:r>
          </w:p>
        </w:tc>
        <w:tc>
          <w:tcPr>
            <w:tcW w:type="dxa" w:w="1400"/>
            <w:tcBorders>
              <w:top w:val="single" w:color="BFBFBF" w:sz="1"/>
              <w:left w:val="single" w:color="BFBFBF" w:sz="1"/>
              <w:bottom w:val="single" w:color="BFBFBF" w:sz="1"/>
              <w:right w:val="single" w:color="BFBFBF" w:sz="1"/>
            </w:tcBorders>
            <w:shd w:fill="F5F8FC" w:val="clear"/>
            <w:tcMar>
              <w:top w:type="dxa" w:w="80"/>
              <w:left w:type="dxa" w:w="140"/>
              <w:bottom w:type="dxa" w:w="80"/>
              <w:right w:type="dxa" w:w="140"/>
            </w:tcMar>
            <w:vAlign w:val="center"/>
          </w:tcPr>
          <w:p>
            <w:pPr>
              <w:jc w:val="center"/>
            </w:pPr>
            <w:r>
              <w:rPr>
                <w:rFonts w:ascii="Calibri" w:cs="Calibri" w:eastAsia="Calibri" w:hAnsi="Calibri"/>
                <w:b w:val="false"/>
                <w:bCs w:val="false"/>
                <w:color w:val="1A1A1A"/>
                <w:sz w:val="20"/>
                <w:szCs w:val="20"/>
              </w:rPr>
              <w:t xml:space="preserve">49</w:t>
            </w:r>
          </w:p>
        </w:tc>
        <w:tc>
          <w:tcPr>
            <w:tcW w:type="dxa" w:w="826"/>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t xml:space="preserve"/>
            </w:r>
          </w:p>
        </w:tc>
      </w:tr>
      <w:tr>
        <w:tc>
          <w:tcPr>
            <w:tcW w:type="dxa" w:w="2800"/>
            <w:tcBorders>
              <w:top w:val="single" w:color="BFBFBF" w:sz="1"/>
              <w:left w:val="single" w:color="BFBFBF" w:sz="1"/>
              <w:bottom w:val="single" w:color="BFBFBF" w:sz="1"/>
              <w:right w:val="single" w:color="BFBFBF" w:sz="1"/>
            </w:tcBorders>
            <w:shd w:fill="F5F8FC"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Saketh Kallakuri</w:t>
            </w:r>
          </w:p>
        </w:tc>
        <w:tc>
          <w:tcPr>
            <w:tcW w:type="dxa" w:w="1600"/>
            <w:tcBorders>
              <w:top w:val="single" w:color="BFBFBF" w:sz="1"/>
              <w:left w:val="single" w:color="BFBFBF" w:sz="1"/>
              <w:bottom w:val="single" w:color="BFBFBF" w:sz="1"/>
              <w:right w:val="single" w:color="BFBFBF" w:sz="1"/>
            </w:tcBorders>
            <w:shd w:fill="F5F8FC" w:val="clear"/>
            <w:tcMar>
              <w:top w:type="dxa" w:w="80"/>
              <w:left w:type="dxa" w:w="140"/>
              <w:bottom w:type="dxa" w:w="80"/>
              <w:right w:type="dxa" w:w="140"/>
            </w:tcMar>
            <w:vAlign w:val="center"/>
          </w:tcPr>
          <w:p>
            <w:pPr>
              <w:jc w:val="center"/>
            </w:pPr>
            <w:r>
              <w:rPr>
                <w:rFonts w:ascii="Calibri" w:cs="Calibri" w:eastAsia="Calibri" w:hAnsi="Calibri"/>
                <w:b w:val="false"/>
                <w:bCs w:val="false"/>
                <w:color w:val="1A1A1A"/>
                <w:sz w:val="20"/>
                <w:szCs w:val="20"/>
              </w:rPr>
              <w:t xml:space="preserve">DSE B</w:t>
            </w:r>
          </w:p>
        </w:tc>
        <w:tc>
          <w:tcPr>
            <w:tcW w:type="dxa" w:w="2400"/>
            <w:tcBorders>
              <w:top w:val="single" w:color="BFBFBF" w:sz="1"/>
              <w:left w:val="single" w:color="BFBFBF" w:sz="1"/>
              <w:bottom w:val="single" w:color="BFBFBF" w:sz="1"/>
              <w:right w:val="single" w:color="BFBFBF" w:sz="1"/>
            </w:tcBorders>
            <w:shd w:fill="F5F8FC" w:val="clear"/>
            <w:tcMar>
              <w:top w:type="dxa" w:w="80"/>
              <w:left w:type="dxa" w:w="140"/>
              <w:bottom w:type="dxa" w:w="80"/>
              <w:right w:type="dxa" w:w="140"/>
            </w:tcMar>
            <w:vAlign w:val="center"/>
          </w:tcPr>
          <w:p>
            <w:pPr>
              <w:jc w:val="center"/>
            </w:pPr>
            <w:r>
              <w:rPr>
                <w:rFonts w:ascii="Calibri" w:cs="Calibri" w:eastAsia="Calibri" w:hAnsi="Calibri"/>
                <w:b w:val="false"/>
                <w:bCs w:val="false"/>
                <w:color w:val="1A1A1A"/>
                <w:sz w:val="20"/>
                <w:szCs w:val="20"/>
              </w:rPr>
              <w:t xml:space="preserve">240968007</w:t>
            </w:r>
          </w:p>
        </w:tc>
        <w:tc>
          <w:tcPr>
            <w:tcW w:type="dxa" w:w="1400"/>
            <w:tcBorders>
              <w:top w:val="single" w:color="BFBFBF" w:sz="1"/>
              <w:left w:val="single" w:color="BFBFBF" w:sz="1"/>
              <w:bottom w:val="single" w:color="BFBFBF" w:sz="1"/>
              <w:right w:val="single" w:color="BFBFBF" w:sz="1"/>
            </w:tcBorders>
            <w:shd w:fill="F5F8FC" w:val="clear"/>
            <w:tcMar>
              <w:top w:type="dxa" w:w="80"/>
              <w:left w:type="dxa" w:w="140"/>
              <w:bottom w:type="dxa" w:w="80"/>
              <w:right w:type="dxa" w:w="140"/>
            </w:tcMar>
            <w:vAlign w:val="center"/>
          </w:tcPr>
          <w:p>
            <w:pPr>
              <w:jc w:val="center"/>
            </w:pPr>
            <w:r>
              <w:rPr>
                <w:rFonts w:ascii="Calibri" w:cs="Calibri" w:eastAsia="Calibri" w:hAnsi="Calibri"/>
                <w:b w:val="false"/>
                <w:bCs w:val="false"/>
                <w:color w:val="1A1A1A"/>
                <w:sz w:val="20"/>
                <w:szCs w:val="20"/>
              </w:rPr>
              <w:t xml:space="preserve">03</w:t>
            </w:r>
          </w:p>
        </w:tc>
        <w:tc>
          <w:tcPr>
            <w:tcW w:type="dxa" w:w="826"/>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t xml:space="preserve"/>
            </w:r>
          </w:p>
        </w:tc>
      </w:tr>
      <w:tr>
        <w:tc>
          <w:tcPr>
            <w:tcW w:type="dxa" w:w="2800"/>
            <w:tcBorders>
              <w:top w:val="single" w:color="BFBFBF" w:sz="1"/>
              <w:left w:val="single" w:color="BFBFBF" w:sz="1"/>
              <w:bottom w:val="single" w:color="BFBFBF" w:sz="1"/>
              <w:right w:val="single" w:color="BFBFBF" w:sz="1"/>
            </w:tcBorders>
            <w:shd w:fill="F5F8FC"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Shreyansh Bhaik</w:t>
            </w:r>
          </w:p>
        </w:tc>
        <w:tc>
          <w:tcPr>
            <w:tcW w:type="dxa" w:w="1600"/>
            <w:tcBorders>
              <w:top w:val="single" w:color="BFBFBF" w:sz="1"/>
              <w:left w:val="single" w:color="BFBFBF" w:sz="1"/>
              <w:bottom w:val="single" w:color="BFBFBF" w:sz="1"/>
              <w:right w:val="single" w:color="BFBFBF" w:sz="1"/>
            </w:tcBorders>
            <w:shd w:fill="F5F8FC" w:val="clear"/>
            <w:tcMar>
              <w:top w:type="dxa" w:w="80"/>
              <w:left w:type="dxa" w:w="140"/>
              <w:bottom w:type="dxa" w:w="80"/>
              <w:right w:type="dxa" w:w="140"/>
            </w:tcMar>
            <w:vAlign w:val="center"/>
          </w:tcPr>
          <w:p>
            <w:pPr>
              <w:jc w:val="center"/>
            </w:pPr>
            <w:r>
              <w:rPr>
                <w:rFonts w:ascii="Calibri" w:cs="Calibri" w:eastAsia="Calibri" w:hAnsi="Calibri"/>
                <w:b w:val="false"/>
                <w:bCs w:val="false"/>
                <w:color w:val="1A1A1A"/>
                <w:sz w:val="20"/>
                <w:szCs w:val="20"/>
              </w:rPr>
              <w:t xml:space="preserve">DSE B</w:t>
            </w:r>
          </w:p>
        </w:tc>
        <w:tc>
          <w:tcPr>
            <w:tcW w:type="dxa" w:w="2400"/>
            <w:tcBorders>
              <w:top w:val="single" w:color="BFBFBF" w:sz="1"/>
              <w:left w:val="single" w:color="BFBFBF" w:sz="1"/>
              <w:bottom w:val="single" w:color="BFBFBF" w:sz="1"/>
              <w:right w:val="single" w:color="BFBFBF" w:sz="1"/>
            </w:tcBorders>
            <w:shd w:fill="F5F8FC" w:val="clear"/>
            <w:tcMar>
              <w:top w:type="dxa" w:w="80"/>
              <w:left w:type="dxa" w:w="140"/>
              <w:bottom w:type="dxa" w:w="80"/>
              <w:right w:type="dxa" w:w="140"/>
            </w:tcMar>
            <w:vAlign w:val="center"/>
          </w:tcPr>
          <w:p>
            <w:pPr>
              <w:jc w:val="center"/>
            </w:pPr>
            <w:r>
              <w:rPr>
                <w:rFonts w:ascii="Calibri" w:cs="Calibri" w:eastAsia="Calibri" w:hAnsi="Calibri"/>
                <w:b w:val="false"/>
                <w:bCs w:val="false"/>
                <w:color w:val="1A1A1A"/>
                <w:sz w:val="20"/>
                <w:szCs w:val="20"/>
              </w:rPr>
              <w:t xml:space="preserve">240968046</w:t>
            </w:r>
          </w:p>
        </w:tc>
        <w:tc>
          <w:tcPr>
            <w:tcW w:type="dxa" w:w="1400"/>
            <w:tcBorders>
              <w:top w:val="single" w:color="BFBFBF" w:sz="1"/>
              <w:left w:val="single" w:color="BFBFBF" w:sz="1"/>
              <w:bottom w:val="single" w:color="BFBFBF" w:sz="1"/>
              <w:right w:val="single" w:color="BFBFBF" w:sz="1"/>
            </w:tcBorders>
            <w:shd w:fill="F5F8FC" w:val="clear"/>
            <w:tcMar>
              <w:top w:type="dxa" w:w="80"/>
              <w:left w:type="dxa" w:w="140"/>
              <w:bottom w:type="dxa" w:w="80"/>
              <w:right w:type="dxa" w:w="140"/>
            </w:tcMar>
            <w:vAlign w:val="center"/>
          </w:tcPr>
          <w:p>
            <w:pPr>
              <w:jc w:val="center"/>
            </w:pPr>
            <w:r>
              <w:rPr>
                <w:rFonts w:ascii="Calibri" w:cs="Calibri" w:eastAsia="Calibri" w:hAnsi="Calibri"/>
                <w:b w:val="false"/>
                <w:bCs w:val="false"/>
                <w:color w:val="1A1A1A"/>
                <w:sz w:val="20"/>
                <w:szCs w:val="20"/>
              </w:rPr>
              <w:t xml:space="preserve">09</w:t>
            </w:r>
          </w:p>
        </w:tc>
        <w:tc>
          <w:tcPr>
            <w:tcW w:type="dxa" w:w="826"/>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t xml:space="preserve"/>
            </w:r>
          </w:p>
        </w:tc>
      </w:tr>
    </w:tbl>
    <w:p>
      <w:pPr>
        <w:spacing w:before="60" w:after="40"/>
      </w:pPr>
      <w:r>
        <w:t xml:space="preserve"/>
      </w:r>
    </w:p>
    <w:p>
      <w:pPr>
        <w:pBdr>
          <w:bottom w:val="single" w:color="2563A8" w:sz="8" w:space="1"/>
        </w:pBdr>
        <w:spacing w:before="0" w:after="200"/>
      </w:pPr>
      <w:r>
        <w:t xml:space="preserve"/>
      </w:r>
    </w:p>
    <w:p>
      <w:pPr>
        <w:pStyle w:val="Heading1"/>
        <w:spacing w:before="360" w:after="120"/>
      </w:pPr>
      <w:r>
        <w:rPr>
          <w:rFonts w:ascii="Calibri" w:cs="Calibri" w:eastAsia="Calibri" w:hAnsi="Calibri"/>
          <w:b/>
          <w:bCs/>
          <w:color w:val="1A3C6B"/>
          <w:sz w:val="28"/>
          <w:szCs w:val="28"/>
        </w:rPr>
        <w:t xml:space="preserve">1. Problem Statement</w:t>
      </w:r>
    </w:p>
    <w:p>
      <w:pPr>
        <w:spacing w:before="80" w:after="100" w:line="340"/>
        <w:jc w:val="both"/>
      </w:pPr>
      <w:r>
        <w:rPr>
          <w:rFonts w:ascii="Calibri" w:cs="Calibri" w:eastAsia="Calibri" w:hAnsi="Calibri"/>
          <w:color w:val="1A1A1A"/>
          <w:sz w:val="22"/>
          <w:szCs w:val="22"/>
        </w:rPr>
        <w:t xml:space="preserve">The rapid growth of digital payment systems and online financial services has contributed to a significant rise in fraudulent transactions. Financial institutions process a massive volume of transactions daily, making manual inspection entirely impractical. Conventional, rule-based fraud detection systems depend on fixed thresholds and predefined conditions, which limits their ability to adapt to new and evolving fraud patterns. Additionally, such systems frequently produce false positives — incorrectly flagging legitimate transactions — which diminishes customer trust and experience.</w:t>
      </w:r>
    </w:p>
    <w:p>
      <w:pPr>
        <w:spacing w:before="60" w:after="60"/>
      </w:pPr>
      <w:r>
        <w:t xml:space="preserve"/>
      </w:r>
    </w:p>
    <w:p>
      <w:pPr>
        <w:spacing w:before="80" w:after="100" w:line="340"/>
        <w:jc w:val="both"/>
      </w:pPr>
      <w:r>
        <w:rPr>
          <w:rFonts w:ascii="Calibri" w:cs="Calibri" w:eastAsia="Calibri" w:hAnsi="Calibri"/>
          <w:color w:val="1A1A1A"/>
          <w:sz w:val="22"/>
          <w:szCs w:val="22"/>
        </w:rPr>
        <w:t xml:space="preserve">A further complication arises from the inherent imbalance in fraud detection datasets: fraudulent transactions constitute only a very small fraction of all recorded activity. This disproportion makes standard classification approaches prone to bias toward the majority (legitimate) class, reducing their practical effectiveness. Consequently, there is a clear need for an artificial intelligence-based solution capable of learning patterns from historical transaction data and identifying fraudulent activity with greater precision and reliability.</w:t>
      </w:r>
    </w:p>
    <w:p>
      <w:pPr>
        <w:spacing w:before="60" w:after="60"/>
      </w:pPr>
      <w:r>
        <w:t xml:space="preserve"/>
      </w:r>
    </w:p>
    <w:p>
      <w:pPr>
        <w:pBdr>
          <w:bottom w:val="single" w:color="2563A8" w:sz="8" w:space="1"/>
        </w:pBdr>
        <w:spacing w:before="0" w:after="200"/>
      </w:pPr>
      <w:r>
        <w:t xml:space="preserve"/>
      </w:r>
    </w:p>
    <w:p>
      <w:pPr>
        <w:pStyle w:val="Heading1"/>
        <w:spacing w:before="360" w:after="120"/>
      </w:pPr>
      <w:r>
        <w:rPr>
          <w:rFonts w:ascii="Calibri" w:cs="Calibri" w:eastAsia="Calibri" w:hAnsi="Calibri"/>
          <w:b/>
          <w:bCs/>
          <w:color w:val="1A3C6B"/>
          <w:sz w:val="28"/>
          <w:szCs w:val="28"/>
        </w:rPr>
        <w:t xml:space="preserve">2. Objective</w:t>
      </w:r>
    </w:p>
    <w:p>
      <w:pPr>
        <w:spacing w:before="80" w:after="100" w:line="340"/>
        <w:jc w:val="both"/>
      </w:pPr>
      <w:r>
        <w:rPr>
          <w:rFonts w:ascii="Calibri" w:cs="Calibri" w:eastAsia="Calibri" w:hAnsi="Calibri"/>
          <w:color w:val="1A1A1A"/>
          <w:sz w:val="22"/>
          <w:szCs w:val="22"/>
        </w:rPr>
        <w:t xml:space="preserve">The primary objective of this mini project is to design, implement, and evaluate an AI-based fraud detection system using supervised machine learning techniques. The specific objectives are:</w:t>
      </w:r>
    </w:p>
    <w:p>
      <w:pPr>
        <w:spacing w:before="60" w:after="40"/>
      </w:pPr>
      <w:r>
        <w:t xml:space="preserve"/>
      </w:r>
    </w:p>
    <w:p>
      <w:pPr>
        <w:pStyle w:val="ListParagraph"/>
        <w:numPr>
          <w:ilvl w:val="0"/>
          <w:numId w:val="2"/>
        </w:numPr>
        <w:spacing w:before="60" w:after="70" w:line="320"/>
      </w:pPr>
      <w:r>
        <w:rPr>
          <w:rFonts w:ascii="Calibri" w:cs="Calibri" w:eastAsia="Calibri" w:hAnsi="Calibri"/>
          <w:color w:val="1A1A1A"/>
          <w:sz w:val="22"/>
          <w:szCs w:val="22"/>
        </w:rPr>
        <w:t xml:space="preserve">To develop a machine learning model capable of classifying financial transactions as either fraudulent or legitimate.</w:t>
      </w:r>
    </w:p>
    <w:p>
      <w:pPr>
        <w:pStyle w:val="ListParagraph"/>
        <w:numPr>
          <w:ilvl w:val="0"/>
          <w:numId w:val="2"/>
        </w:numPr>
        <w:spacing w:before="60" w:after="70" w:line="320"/>
      </w:pPr>
      <w:r>
        <w:rPr>
          <w:rFonts w:ascii="Calibri" w:cs="Calibri" w:eastAsia="Calibri" w:hAnsi="Calibri"/>
          <w:color w:val="1A1A1A"/>
          <w:sz w:val="22"/>
          <w:szCs w:val="22"/>
        </w:rPr>
        <w:t xml:space="preserve">To address the class imbalance problem inherent in real-world fraud detection datasets.</w:t>
      </w:r>
    </w:p>
    <w:p>
      <w:pPr>
        <w:pStyle w:val="ListParagraph"/>
        <w:numPr>
          <w:ilvl w:val="0"/>
          <w:numId w:val="2"/>
        </w:numPr>
        <w:spacing w:before="60" w:after="70" w:line="320"/>
      </w:pPr>
      <w:r>
        <w:rPr>
          <w:rFonts w:ascii="Calibri" w:cs="Calibri" w:eastAsia="Calibri" w:hAnsi="Calibri"/>
          <w:color w:val="1A1A1A"/>
          <w:sz w:val="22"/>
          <w:szCs w:val="22"/>
        </w:rPr>
        <w:t xml:space="preserve">To evaluate model performance using metrics appropriate for highly imbalanced data.</w:t>
      </w:r>
    </w:p>
    <w:p>
      <w:pPr>
        <w:pStyle w:val="ListParagraph"/>
        <w:numPr>
          <w:ilvl w:val="0"/>
          <w:numId w:val="2"/>
        </w:numPr>
        <w:spacing w:before="60" w:after="70" w:line="320"/>
      </w:pPr>
      <w:r>
        <w:rPr>
          <w:rFonts w:ascii="Calibri" w:cs="Calibri" w:eastAsia="Calibri" w:hAnsi="Calibri"/>
          <w:color w:val="1A1A1A"/>
          <w:sz w:val="22"/>
          <w:szCs w:val="22"/>
        </w:rPr>
        <w:t xml:space="preserve">To demonstrate the practical applicability of artificial intelligence in financial fraud detection.</w:t>
      </w:r>
    </w:p>
    <w:p>
      <w:pPr>
        <w:spacing w:before="60" w:after="60"/>
      </w:pPr>
      <w:r>
        <w:t xml:space="preserve"/>
      </w:r>
    </w:p>
    <w:p>
      <w:pPr>
        <w:pBdr>
          <w:bottom w:val="single" w:color="2563A8" w:sz="8" w:space="1"/>
        </w:pBdr>
        <w:spacing w:before="0" w:after="200"/>
      </w:pPr>
      <w:r>
        <w:t xml:space="preserve"/>
      </w:r>
    </w:p>
    <w:p>
      <w:pPr>
        <w:pStyle w:val="Heading1"/>
        <w:spacing w:before="360" w:after="120"/>
      </w:pPr>
      <w:r>
        <w:rPr>
          <w:rFonts w:ascii="Calibri" w:cs="Calibri" w:eastAsia="Calibri" w:hAnsi="Calibri"/>
          <w:b/>
          <w:bCs/>
          <w:color w:val="1A3C6B"/>
          <w:sz w:val="28"/>
          <w:szCs w:val="28"/>
        </w:rPr>
        <w:t xml:space="preserve">3. Methodology</w:t>
      </w:r>
    </w:p>
    <w:p>
      <w:pPr>
        <w:spacing w:before="80" w:after="100" w:line="340"/>
        <w:jc w:val="both"/>
      </w:pPr>
      <w:r>
        <w:rPr>
          <w:rFonts w:ascii="Calibri" w:cs="Calibri" w:eastAsia="Calibri" w:hAnsi="Calibri"/>
          <w:color w:val="1A1A1A"/>
          <w:sz w:val="22"/>
          <w:szCs w:val="22"/>
        </w:rPr>
        <w:t xml:space="preserve">The proposed system follows a structured machine learning pipeline comprising the following phases:</w:t>
      </w:r>
    </w:p>
    <w:p>
      <w:pPr>
        <w:spacing w:before="40" w:after="40"/>
      </w:pPr>
      <w:r>
        <w:t xml:space="preserve"/>
      </w:r>
    </w:p>
    <w:p>
      <w:pPr>
        <w:pStyle w:val="Heading2"/>
        <w:spacing w:before="220" w:after="100"/>
      </w:pPr>
      <w:r>
        <w:rPr>
          <w:rFonts w:ascii="Calibri" w:cs="Calibri" w:eastAsia="Calibri" w:hAnsi="Calibri"/>
          <w:b/>
          <w:bCs/>
          <w:color w:val="2563A8"/>
          <w:sz w:val="24"/>
          <w:szCs w:val="24"/>
        </w:rPr>
        <w:t xml:space="preserve">3.1 Data Collection</w:t>
      </w:r>
    </w:p>
    <w:p>
      <w:pPr>
        <w:spacing w:before="80" w:after="100" w:line="340"/>
        <w:jc w:val="both"/>
      </w:pPr>
      <w:r>
        <w:rPr>
          <w:rFonts w:ascii="Calibri" w:cs="Calibri" w:eastAsia="Calibri" w:hAnsi="Calibri"/>
          <w:color w:val="1A1A1A"/>
          <w:sz w:val="22"/>
          <w:szCs w:val="22"/>
        </w:rPr>
        <w:t xml:space="preserve">A publicly available, anonymized credit card transaction dataset will be used as the primary data source. The dataset contains numerical transaction features derived through PCA transformation (to protect cardholder confidentiality), along with a binary class label indicating whether each transaction is fraudulent or legitimate. This data forms the basis for model training, validation, and testing.</w:t>
      </w:r>
    </w:p>
    <w:p>
      <w:pPr>
        <w:spacing w:before="60" w:after="60"/>
      </w:pPr>
      <w:r>
        <w:t xml:space="preserve"/>
      </w:r>
    </w:p>
    <w:p>
      <w:pPr>
        <w:pStyle w:val="Heading2"/>
        <w:spacing w:before="220" w:after="100"/>
      </w:pPr>
      <w:r>
        <w:rPr>
          <w:rFonts w:ascii="Calibri" w:cs="Calibri" w:eastAsia="Calibri" w:hAnsi="Calibri"/>
          <w:b/>
          <w:bCs/>
          <w:color w:val="2563A8"/>
          <w:sz w:val="24"/>
          <w:szCs w:val="24"/>
        </w:rPr>
        <w:t xml:space="preserve">3.2 Data Preprocessing</w:t>
      </w:r>
    </w:p>
    <w:p>
      <w:pPr>
        <w:spacing w:before="80" w:after="100" w:line="340"/>
        <w:jc w:val="both"/>
      </w:pPr>
      <w:r>
        <w:rPr>
          <w:rFonts w:ascii="Calibri" w:cs="Calibri" w:eastAsia="Calibri" w:hAnsi="Calibri"/>
          <w:color w:val="1A1A1A"/>
          <w:sz w:val="22"/>
          <w:szCs w:val="22"/>
        </w:rPr>
        <w:t xml:space="preserve">The raw dataset will be cleaned and prepared through the following steps:</w:t>
      </w:r>
    </w:p>
    <w:p>
      <w:pPr>
        <w:pStyle w:val="ListParagraph"/>
        <w:numPr>
          <w:ilvl w:val="0"/>
          <w:numId w:val="3"/>
        </w:numPr>
        <w:spacing w:before="60" w:after="70" w:line="320"/>
      </w:pPr>
      <w:r>
        <w:rPr>
          <w:rFonts w:ascii="Calibri" w:cs="Calibri" w:eastAsia="Calibri" w:hAnsi="Calibri"/>
          <w:color w:val="1A1A1A"/>
          <w:sz w:val="22"/>
          <w:szCs w:val="22"/>
        </w:rPr>
        <w:t xml:space="preserve">Identification and removal of noisy, duplicate, or inconsistent records.</w:t>
      </w:r>
    </w:p>
    <w:p>
      <w:pPr>
        <w:pStyle w:val="ListParagraph"/>
        <w:numPr>
          <w:ilvl w:val="0"/>
          <w:numId w:val="3"/>
        </w:numPr>
        <w:spacing w:before="60" w:after="70" w:line="320"/>
      </w:pPr>
      <w:r>
        <w:rPr>
          <w:rFonts w:ascii="Calibri" w:cs="Calibri" w:eastAsia="Calibri" w:hAnsi="Calibri"/>
          <w:color w:val="1A1A1A"/>
          <w:sz w:val="22"/>
          <w:szCs w:val="22"/>
        </w:rPr>
        <w:t xml:space="preserve">Feature scaling and normalization of numerical attributes to ensure all variables contribute proportionally during model training.</w:t>
      </w:r>
    </w:p>
    <w:p>
      <w:pPr>
        <w:pStyle w:val="ListParagraph"/>
        <w:numPr>
          <w:ilvl w:val="0"/>
          <w:numId w:val="3"/>
        </w:numPr>
        <w:spacing w:before="60" w:after="70" w:line="320"/>
      </w:pPr>
      <w:r>
        <w:rPr>
          <w:rFonts w:ascii="Calibri" w:cs="Calibri" w:eastAsia="Calibri" w:hAnsi="Calibri"/>
          <w:color w:val="1A1A1A"/>
          <w:sz w:val="22"/>
          <w:szCs w:val="22"/>
        </w:rPr>
        <w:t xml:space="preserve">Exploratory Data Analysis (EDA) to examine feature distributions, detect outliers, and quantify the degree of class imbalance.</w:t>
      </w:r>
    </w:p>
    <w:p>
      <w:pPr>
        <w:spacing w:before="60" w:after="60"/>
      </w:pPr>
      <w:r>
        <w:t xml:space="preserve"/>
      </w:r>
    </w:p>
    <w:p>
      <w:pPr>
        <w:pStyle w:val="Heading2"/>
        <w:spacing w:before="220" w:after="100"/>
      </w:pPr>
      <w:r>
        <w:rPr>
          <w:rFonts w:ascii="Calibri" w:cs="Calibri" w:eastAsia="Calibri" w:hAnsi="Calibri"/>
          <w:b/>
          <w:bCs/>
          <w:color w:val="2563A8"/>
          <w:sz w:val="24"/>
          <w:szCs w:val="24"/>
        </w:rPr>
        <w:t xml:space="preserve">3.3 Handling Class Imbalance</w:t>
      </w:r>
    </w:p>
    <w:p>
      <w:pPr>
        <w:spacing w:before="80" w:after="100" w:line="340"/>
        <w:jc w:val="both"/>
      </w:pPr>
      <w:r>
        <w:rPr>
          <w:rFonts w:ascii="Calibri" w:cs="Calibri" w:eastAsia="Calibri" w:hAnsi="Calibri"/>
          <w:color w:val="1A1A1A"/>
          <w:sz w:val="22"/>
          <w:szCs w:val="22"/>
        </w:rPr>
        <w:t xml:space="preserve">Since fraudulent transactions are inherently rare events, the dataset exhibits a severe class imbalance. To prevent the model from developing a bias towards the majority (legitimate) class, the following techniques will be applied:</w:t>
      </w:r>
    </w:p>
    <w:p>
      <w:pPr>
        <w:pStyle w:val="ListParagraph"/>
        <w:numPr>
          <w:ilvl w:val="0"/>
          <w:numId w:val="3"/>
        </w:numPr>
        <w:spacing w:before="60" w:after="70" w:line="320"/>
      </w:pPr>
      <w:r>
        <w:rPr>
          <w:rFonts w:ascii="Calibri" w:cs="Calibri" w:eastAsia="Calibri" w:hAnsi="Calibri"/>
          <w:b/>
          <w:bCs/>
          <w:color w:val="1A1A1A"/>
          <w:sz w:val="22"/>
          <w:szCs w:val="22"/>
        </w:rPr>
        <w:t xml:space="preserve">Class Weighting:</w:t>
      </w:r>
      <w:r>
        <w:rPr>
          <w:rFonts w:ascii="Calibri" w:cs="Calibri" w:eastAsia="Calibri" w:hAnsi="Calibri"/>
          <w:color w:val="1A1A1A"/>
          <w:sz w:val="22"/>
          <w:szCs w:val="22"/>
        </w:rPr>
        <w:t xml:space="preserve"> Assigning higher misclassification penalties to fraud-class samples during model training, thereby increasing sensitivity to minority-class instances.</w:t>
      </w:r>
    </w:p>
    <w:p>
      <w:pPr>
        <w:pStyle w:val="ListParagraph"/>
        <w:numPr>
          <w:ilvl w:val="0"/>
          <w:numId w:val="3"/>
        </w:numPr>
        <w:spacing w:before="60" w:after="70" w:line="320"/>
      </w:pPr>
      <w:r>
        <w:rPr>
          <w:rFonts w:ascii="Calibri" w:cs="Calibri" w:eastAsia="Calibri" w:hAnsi="Calibri"/>
          <w:b/>
          <w:bCs/>
          <w:color w:val="1A1A1A"/>
          <w:sz w:val="22"/>
          <w:szCs w:val="22"/>
        </w:rPr>
        <w:t xml:space="preserve">SMOTE (Synthetic Minority Over-sampling Technique):</w:t>
      </w:r>
      <w:r>
        <w:rPr>
          <w:rFonts w:ascii="Calibri" w:cs="Calibri" w:eastAsia="Calibri" w:hAnsi="Calibri"/>
          <w:color w:val="1A1A1A"/>
          <w:sz w:val="22"/>
          <w:szCs w:val="22"/>
        </w:rPr>
        <w:t xml:space="preserve"> Generating synthetic samples for the minority (fraud) class using interpolation between existing instances, producing a more balanced training distribution.</w:t>
      </w:r>
    </w:p>
    <w:p>
      <w:pPr>
        <w:spacing w:before="60" w:after="60"/>
      </w:pPr>
      <w:r>
        <w:t xml:space="preserve"/>
      </w:r>
    </w:p>
    <w:p>
      <w:pPr>
        <w:pStyle w:val="Heading2"/>
        <w:spacing w:before="220" w:after="100"/>
      </w:pPr>
      <w:r>
        <w:rPr>
          <w:rFonts w:ascii="Calibri" w:cs="Calibri" w:eastAsia="Calibri" w:hAnsi="Calibri"/>
          <w:b/>
          <w:bCs/>
          <w:color w:val="2563A8"/>
          <w:sz w:val="24"/>
          <w:szCs w:val="24"/>
        </w:rPr>
        <w:t xml:space="preserve">3.4 Model Development</w:t>
      </w:r>
    </w:p>
    <w:p>
      <w:pPr>
        <w:spacing w:before="80" w:after="100" w:line="340"/>
        <w:jc w:val="both"/>
      </w:pPr>
      <w:r>
        <w:rPr>
          <w:rFonts w:ascii="Calibri" w:cs="Calibri" w:eastAsia="Calibri" w:hAnsi="Calibri"/>
          <w:color w:val="1A1A1A"/>
          <w:sz w:val="22"/>
          <w:szCs w:val="22"/>
        </w:rPr>
        <w:t xml:space="preserve">The following supervised machine learning algorithms will be implemented and compared:</w:t>
      </w:r>
    </w:p>
    <w:p>
      <w:pPr>
        <w:pStyle w:val="ListParagraph"/>
        <w:numPr>
          <w:ilvl w:val="0"/>
          <w:numId w:val="3"/>
        </w:numPr>
        <w:spacing w:before="60" w:after="70" w:line="320"/>
      </w:pPr>
      <w:r>
        <w:rPr>
          <w:rFonts w:ascii="Calibri" w:cs="Calibri" w:eastAsia="Calibri" w:hAnsi="Calibri"/>
          <w:b/>
          <w:bCs/>
          <w:color w:val="1A1A1A"/>
          <w:sz w:val="22"/>
          <w:szCs w:val="22"/>
        </w:rPr>
        <w:t xml:space="preserve">Logistic Regression:</w:t>
      </w:r>
      <w:r>
        <w:rPr>
          <w:rFonts w:ascii="Calibri" w:cs="Calibri" w:eastAsia="Calibri" w:hAnsi="Calibri"/>
          <w:color w:val="1A1A1A"/>
          <w:sz w:val="22"/>
          <w:szCs w:val="22"/>
        </w:rPr>
        <w:t xml:space="preserve"> A baseline linear classifier selected for its simplicity, computational efficiency, and interpretability — making it a standard reference point in binary classification tasks.</w:t>
      </w:r>
    </w:p>
    <w:p>
      <w:pPr>
        <w:pStyle w:val="ListParagraph"/>
        <w:numPr>
          <w:ilvl w:val="0"/>
          <w:numId w:val="3"/>
        </w:numPr>
        <w:spacing w:before="60" w:after="70" w:line="320"/>
      </w:pPr>
      <w:r>
        <w:rPr>
          <w:rFonts w:ascii="Calibri" w:cs="Calibri" w:eastAsia="Calibri" w:hAnsi="Calibri"/>
          <w:b/>
          <w:bCs/>
          <w:color w:val="1A1A1A"/>
          <w:sz w:val="22"/>
          <w:szCs w:val="22"/>
        </w:rPr>
        <w:t xml:space="preserve">Random Forest:</w:t>
      </w:r>
      <w:r>
        <w:rPr>
          <w:rFonts w:ascii="Calibri" w:cs="Calibri" w:eastAsia="Calibri" w:hAnsi="Calibri"/>
          <w:color w:val="1A1A1A"/>
          <w:sz w:val="22"/>
          <w:szCs w:val="22"/>
        </w:rPr>
        <w:t xml:space="preserve"> An ensemble tree-based model chosen for its robustness to noise, capacity to capture non-linear feature interactions, and established performance on imbalanced classification problems.</w:t>
      </w:r>
    </w:p>
    <w:p>
      <w:pPr>
        <w:spacing w:before="60" w:after="60"/>
      </w:pPr>
      <w:r>
        <w:t xml:space="preserve"/>
      </w:r>
    </w:p>
    <w:p>
      <w:pPr>
        <w:pStyle w:val="Heading2"/>
        <w:spacing w:before="220" w:after="100"/>
      </w:pPr>
      <w:r>
        <w:rPr>
          <w:rFonts w:ascii="Calibri" w:cs="Calibri" w:eastAsia="Calibri" w:hAnsi="Calibri"/>
          <w:b/>
          <w:bCs/>
          <w:color w:val="2563A8"/>
          <w:sz w:val="24"/>
          <w:szCs w:val="24"/>
        </w:rPr>
        <w:t xml:space="preserve">3.5 Model Evaluation</w:t>
      </w:r>
    </w:p>
    <w:p>
      <w:pPr>
        <w:spacing w:before="80" w:after="100" w:line="340"/>
        <w:jc w:val="both"/>
      </w:pPr>
      <w:r>
        <w:rPr>
          <w:rFonts w:ascii="Calibri" w:cs="Calibri" w:eastAsia="Calibri" w:hAnsi="Calibri"/>
          <w:color w:val="1A1A1A"/>
          <w:sz w:val="22"/>
          <w:szCs w:val="22"/>
        </w:rPr>
        <w:t xml:space="preserve">Given the severe class imbalance, accuracy is an inadequate standalone metric. The following evaluation measures will be employed:</w:t>
      </w:r>
    </w:p>
    <w:p>
      <w:pPr>
        <w:pStyle w:val="ListParagraph"/>
        <w:numPr>
          <w:ilvl w:val="0"/>
          <w:numId w:val="3"/>
        </w:numPr>
        <w:spacing w:before="60" w:after="70" w:line="320"/>
      </w:pPr>
      <w:r>
        <w:rPr>
          <w:rFonts w:ascii="Calibri" w:cs="Calibri" w:eastAsia="Calibri" w:hAnsi="Calibri"/>
          <w:b/>
          <w:bCs/>
          <w:color w:val="1A1A1A"/>
          <w:sz w:val="22"/>
          <w:szCs w:val="22"/>
        </w:rPr>
        <w:t xml:space="preserve">Precision: </w:t>
      </w:r>
      <w:r>
        <w:rPr>
          <w:rFonts w:ascii="Calibri" w:cs="Calibri" w:eastAsia="Calibri" w:hAnsi="Calibri"/>
          <w:color w:val="1A1A1A"/>
          <w:sz w:val="22"/>
          <w:szCs w:val="22"/>
        </w:rPr>
        <w:t xml:space="preserve">Proportion of predicted fraudulent transactions that are genuinely fraudulent.</w:t>
      </w:r>
    </w:p>
    <w:p>
      <w:pPr>
        <w:pStyle w:val="ListParagraph"/>
        <w:numPr>
          <w:ilvl w:val="0"/>
          <w:numId w:val="3"/>
        </w:numPr>
        <w:spacing w:before="60" w:after="70" w:line="320"/>
      </w:pPr>
      <w:r>
        <w:rPr>
          <w:rFonts w:ascii="Calibri" w:cs="Calibri" w:eastAsia="Calibri" w:hAnsi="Calibri"/>
          <w:b/>
          <w:bCs/>
          <w:color w:val="1A1A1A"/>
          <w:sz w:val="22"/>
          <w:szCs w:val="22"/>
        </w:rPr>
        <w:t xml:space="preserve">Recall: </w:t>
      </w:r>
      <w:r>
        <w:rPr>
          <w:rFonts w:ascii="Calibri" w:cs="Calibri" w:eastAsia="Calibri" w:hAnsi="Calibri"/>
          <w:color w:val="1A1A1A"/>
          <w:sz w:val="22"/>
          <w:szCs w:val="22"/>
        </w:rPr>
        <w:t xml:space="preserve">Proportion of actual fraudulent transactions that are correctly identified by the model.</w:t>
      </w:r>
    </w:p>
    <w:p>
      <w:pPr>
        <w:pStyle w:val="ListParagraph"/>
        <w:numPr>
          <w:ilvl w:val="0"/>
          <w:numId w:val="3"/>
        </w:numPr>
        <w:spacing w:before="60" w:after="70" w:line="320"/>
      </w:pPr>
      <w:r>
        <w:rPr>
          <w:rFonts w:ascii="Calibri" w:cs="Calibri" w:eastAsia="Calibri" w:hAnsi="Calibri"/>
          <w:b/>
          <w:bCs/>
          <w:color w:val="1A1A1A"/>
          <w:sz w:val="22"/>
          <w:szCs w:val="22"/>
        </w:rPr>
        <w:t xml:space="preserve">F1-Score: </w:t>
      </w:r>
      <w:r>
        <w:rPr>
          <w:rFonts w:ascii="Calibri" w:cs="Calibri" w:eastAsia="Calibri" w:hAnsi="Calibri"/>
          <w:color w:val="1A1A1A"/>
          <w:sz w:val="22"/>
          <w:szCs w:val="22"/>
        </w:rPr>
        <w:t xml:space="preserve">Harmonic mean of Precision and Recall, providing a single balanced performance indicator.</w:t>
      </w:r>
    </w:p>
    <w:p>
      <w:pPr>
        <w:pStyle w:val="ListParagraph"/>
        <w:numPr>
          <w:ilvl w:val="0"/>
          <w:numId w:val="3"/>
        </w:numPr>
        <w:spacing w:before="60" w:after="70" w:line="320"/>
      </w:pPr>
      <w:r>
        <w:rPr>
          <w:rFonts w:ascii="Calibri" w:cs="Calibri" w:eastAsia="Calibri" w:hAnsi="Calibri"/>
          <w:b/>
          <w:bCs/>
          <w:color w:val="1A1A1A"/>
          <w:sz w:val="22"/>
          <w:szCs w:val="22"/>
        </w:rPr>
        <w:t xml:space="preserve">Confusion Matrix: </w:t>
      </w:r>
      <w:r>
        <w:rPr>
          <w:rFonts w:ascii="Calibri" w:cs="Calibri" w:eastAsia="Calibri" w:hAnsi="Calibri"/>
          <w:color w:val="1A1A1A"/>
          <w:sz w:val="22"/>
          <w:szCs w:val="22"/>
        </w:rPr>
        <w:t xml:space="preserve">A tabular summary of true positives, false positives, true negatives, and false negatives for each model.</w:t>
      </w:r>
    </w:p>
    <w:p>
      <w:pPr>
        <w:spacing w:before="60" w:after="60"/>
      </w:pPr>
      <w:r>
        <w:t xml:space="preserve"/>
      </w:r>
    </w:p>
    <w:p>
      <w:pPr>
        <w:pStyle w:val="Heading2"/>
        <w:spacing w:before="220" w:after="100"/>
      </w:pPr>
      <w:r>
        <w:rPr>
          <w:rFonts w:ascii="Calibri" w:cs="Calibri" w:eastAsia="Calibri" w:hAnsi="Calibri"/>
          <w:b/>
          <w:bCs/>
          <w:color w:val="2563A8"/>
          <w:sz w:val="24"/>
          <w:szCs w:val="24"/>
        </w:rPr>
        <w:t xml:space="preserve">3.6 Result Analysis</w:t>
      </w:r>
    </w:p>
    <w:p>
      <w:pPr>
        <w:spacing w:before="80" w:after="100" w:line="340"/>
        <w:jc w:val="both"/>
      </w:pPr>
      <w:r>
        <w:rPr>
          <w:rFonts w:ascii="Calibri" w:cs="Calibri" w:eastAsia="Calibri" w:hAnsi="Calibri"/>
          <w:color w:val="1A1A1A"/>
          <w:sz w:val="22"/>
          <w:szCs w:val="22"/>
        </w:rPr>
        <w:t xml:space="preserve">The performance results across all models will be systematically compared to identify the most effective approach for detecting fraudulent transactions. Findings will also be used to derive insights for potential improvements and real-world deployment considerations.</w:t>
      </w:r>
    </w:p>
    <w:p>
      <w:pPr>
        <w:spacing w:before="60" w:after="60"/>
      </w:pPr>
      <w:r>
        <w:t xml:space="preserve"/>
      </w:r>
    </w:p>
    <w:p>
      <w:pPr>
        <w:pBdr>
          <w:bottom w:val="single" w:color="2563A8" w:sz="8" w:space="1"/>
        </w:pBdr>
        <w:spacing w:before="0" w:after="200"/>
      </w:pPr>
      <w:r>
        <w:t xml:space="preserve"/>
      </w:r>
    </w:p>
    <w:p>
      <w:pPr>
        <w:pStyle w:val="Heading1"/>
        <w:spacing w:before="360" w:after="120"/>
      </w:pPr>
      <w:r>
        <w:rPr>
          <w:rFonts w:ascii="Calibri" w:cs="Calibri" w:eastAsia="Calibri" w:hAnsi="Calibri"/>
          <w:b/>
          <w:bCs/>
          <w:color w:val="1A3C6B"/>
          <w:sz w:val="28"/>
          <w:szCs w:val="28"/>
        </w:rPr>
        <w:t xml:space="preserve">4. Expected Outcomes</w:t>
      </w:r>
    </w:p>
    <w:p>
      <w:pPr>
        <w:spacing w:before="80" w:after="100" w:line="340"/>
        <w:jc w:val="both"/>
      </w:pPr>
      <w:r>
        <w:rPr>
          <w:rFonts w:ascii="Calibri" w:cs="Calibri" w:eastAsia="Calibri" w:hAnsi="Calibri"/>
          <w:color w:val="1A1A1A"/>
          <w:sz w:val="22"/>
          <w:szCs w:val="22"/>
        </w:rPr>
        <w:t xml:space="preserve">Successful completion of this project is expected to yield the following outcomes:</w:t>
      </w:r>
    </w:p>
    <w:p>
      <w:pPr>
        <w:spacing w:before="60" w:after="40"/>
      </w:pPr>
      <w:r>
        <w:t xml:space="preserve"/>
      </w:r>
    </w:p>
    <w:p>
      <w:pPr>
        <w:pStyle w:val="ListParagraph"/>
        <w:numPr>
          <w:ilvl w:val="0"/>
          <w:numId w:val="3"/>
        </w:numPr>
        <w:spacing w:before="60" w:after="70" w:line="320"/>
      </w:pPr>
      <w:r>
        <w:rPr>
          <w:rFonts w:ascii="Calibri" w:cs="Calibri" w:eastAsia="Calibri" w:hAnsi="Calibri"/>
          <w:color w:val="1A1A1A"/>
          <w:sz w:val="22"/>
          <w:szCs w:val="22"/>
        </w:rPr>
        <w:t xml:space="preserve">A functional AI-based fraud detection system capable of identifying fraudulent transactions with reasonable accuracy.</w:t>
      </w:r>
    </w:p>
    <w:p>
      <w:pPr>
        <w:pStyle w:val="ListParagraph"/>
        <w:numPr>
          <w:ilvl w:val="0"/>
          <w:numId w:val="3"/>
        </w:numPr>
        <w:spacing w:before="60" w:after="70" w:line="320"/>
      </w:pPr>
      <w:r>
        <w:rPr>
          <w:rFonts w:ascii="Calibri" w:cs="Calibri" w:eastAsia="Calibri" w:hAnsi="Calibri"/>
          <w:color w:val="1A1A1A"/>
          <w:sz w:val="22"/>
          <w:szCs w:val="22"/>
        </w:rPr>
        <w:t xml:space="preserve">A structured comparative analysis of the performance of Logistic Regression and Random Forest models in the fraud detection context.</w:t>
      </w:r>
    </w:p>
    <w:p>
      <w:pPr>
        <w:pStyle w:val="ListParagraph"/>
        <w:numPr>
          <w:ilvl w:val="0"/>
          <w:numId w:val="3"/>
        </w:numPr>
        <w:spacing w:before="60" w:after="70" w:line="320"/>
      </w:pPr>
      <w:r>
        <w:rPr>
          <w:rFonts w:ascii="Calibri" w:cs="Calibri" w:eastAsia="Calibri" w:hAnsi="Calibri"/>
          <w:color w:val="1A1A1A"/>
          <w:sz w:val="22"/>
          <w:szCs w:val="22"/>
        </w:rPr>
        <w:t xml:space="preserve">Enhanced understanding of the effect of class imbalance on model performance, and the practical efficacy of mitigation strategies such as SMOTE and class weighting.</w:t>
      </w:r>
    </w:p>
    <w:p>
      <w:pPr>
        <w:pStyle w:val="ListParagraph"/>
        <w:numPr>
          <w:ilvl w:val="0"/>
          <w:numId w:val="3"/>
        </w:numPr>
        <w:spacing w:before="60" w:after="70" w:line="320"/>
      </w:pPr>
      <w:r>
        <w:rPr>
          <w:rFonts w:ascii="Calibri" w:cs="Calibri" w:eastAsia="Calibri" w:hAnsi="Calibri"/>
          <w:color w:val="1A1A1A"/>
          <w:sz w:val="22"/>
          <w:szCs w:val="22"/>
        </w:rPr>
        <w:t xml:space="preserve">Hands-on experience in applying machine learning and AI techniques to a real-world financial security problem.</w:t>
      </w:r>
    </w:p>
    <w:p>
      <w:pPr>
        <w:spacing w:before="60" w:after="60"/>
      </w:pPr>
      <w:r>
        <w:t xml:space="preserve"/>
      </w:r>
    </w:p>
    <w:p>
      <w:pPr>
        <w:pBdr>
          <w:bottom w:val="single" w:color="2563A8" w:sz="8" w:space="1"/>
        </w:pBdr>
        <w:spacing w:before="0" w:after="200"/>
      </w:pPr>
      <w:r>
        <w:t xml:space="preserve"/>
      </w:r>
    </w:p>
    <w:p>
      <w:pPr>
        <w:pStyle w:val="Heading1"/>
        <w:spacing w:before="360" w:after="120"/>
      </w:pPr>
      <w:r>
        <w:rPr>
          <w:rFonts w:ascii="Calibri" w:cs="Calibri" w:eastAsia="Calibri" w:hAnsi="Calibri"/>
          <w:b/>
          <w:bCs/>
          <w:color w:val="1A3C6B"/>
          <w:sz w:val="28"/>
          <w:szCs w:val="28"/>
        </w:rPr>
        <w:t xml:space="preserve">5. References</w:t>
      </w:r>
    </w:p>
    <w:p>
      <w:pPr>
        <w:spacing w:before="40" w:after="40"/>
      </w:pPr>
      <w:r>
        <w:t xml:space="preserve"/>
      </w:r>
    </w:p>
    <w:p>
      <w:pPr>
        <w:pStyle w:val="ListParagraph"/>
        <w:numPr>
          <w:ilvl w:val="0"/>
          <w:numId w:val="4"/>
        </w:numPr>
        <w:spacing w:before="80" w:after="80" w:line="320"/>
      </w:pPr>
      <w:r>
        <w:rPr>
          <w:rFonts w:ascii="Calibri" w:cs="Calibri" w:eastAsia="Calibri" w:hAnsi="Calibri"/>
          <w:sz w:val="22"/>
          <w:szCs w:val="22"/>
        </w:rPr>
        <w:t xml:space="preserve">Clifton Phua, Vincent Lee, Kate Smith-Miles, and Ross Gayler, </w:t>
      </w:r>
      <w:r>
        <w:rPr>
          <w:rFonts w:ascii="Calibri" w:cs="Calibri" w:eastAsia="Calibri" w:hAnsi="Calibri"/>
          <w:i/>
          <w:iCs/>
          <w:sz w:val="22"/>
          <w:szCs w:val="22"/>
        </w:rPr>
        <w:t xml:space="preserve">A Comprehensive Survey of Data Mining-based Fraud Detection Research</w:t>
      </w:r>
      <w:r>
        <w:rPr>
          <w:rFonts w:ascii="Calibri" w:cs="Calibri" w:eastAsia="Calibri" w:hAnsi="Calibri"/>
          <w:sz w:val="22"/>
          <w:szCs w:val="22"/>
        </w:rPr>
        <w:t xml:space="preserve"> — provides a broad overview of fraud detection methodologies and challenges in financial data.</w:t>
      </w:r>
    </w:p>
    <w:p>
      <w:pPr>
        <w:pStyle w:val="ListParagraph"/>
        <w:numPr>
          <w:ilvl w:val="0"/>
          <w:numId w:val="4"/>
        </w:numPr>
        <w:spacing w:before="80" w:after="80" w:line="320"/>
      </w:pPr>
      <w:r>
        <w:rPr>
          <w:rFonts w:ascii="Calibri" w:cs="Calibri" w:eastAsia="Calibri" w:hAnsi="Calibri"/>
          <w:sz w:val="22"/>
          <w:szCs w:val="22"/>
        </w:rPr>
        <w:t xml:space="preserve">Andrea Dal Pozzolo, Giacomo Boracchi, Olivier Caelen, Cesare Alippi, and Gianluca Bontempi, </w:t>
      </w:r>
      <w:r>
        <w:rPr>
          <w:rFonts w:ascii="Calibri" w:cs="Calibri" w:eastAsia="Calibri" w:hAnsi="Calibri"/>
          <w:i/>
          <w:iCs/>
          <w:sz w:val="22"/>
          <w:szCs w:val="22"/>
        </w:rPr>
        <w:t xml:space="preserve">Credit Card Fraud Detection: A Realistic Modeling and a Novel Learning Strategy</w:t>
      </w:r>
      <w:r>
        <w:rPr>
          <w:rFonts w:ascii="Calibri" w:cs="Calibri" w:eastAsia="Calibri" w:hAnsi="Calibri"/>
          <w:sz w:val="22"/>
          <w:szCs w:val="22"/>
        </w:rPr>
        <w:t xml:space="preserve"> — focuses on realistic evaluation frameworks and class-imbalance handling strategies in fraud detection systems.</w:t>
      </w:r>
    </w:p>
    <w:p>
      <w:pPr>
        <w:spacing w:before="120" w:after="40"/>
      </w:pPr>
      <w:r>
        <w:t xml:space="preserve"/>
      </w:r>
    </w:p>
    <w:p>
      <w:pPr>
        <w:pBdr>
          <w:bottom w:val="single" w:color="BFBFBF" w:sz="8" w:space="1"/>
        </w:pBdr>
        <w:spacing w:before="0" w:after="200"/>
      </w:pPr>
      <w:r>
        <w:t xml:space="preserve"/>
      </w:r>
    </w:p>
    <w:p>
      <w:pPr>
        <w:spacing w:before="160" w:after="60"/>
        <w:jc w:val="left"/>
      </w:pPr>
      <w:r>
        <w:rPr>
          <w:rFonts w:ascii="Calibri" w:cs="Calibri" w:eastAsia="Calibri" w:hAnsi="Calibri"/>
          <w:b/>
          <w:bCs/>
          <w:color w:val="555555"/>
          <w:sz w:val="20"/>
          <w:szCs w:val="20"/>
        </w:rPr>
        <w:t xml:space="preserve">Project Guide / Faculty Approval</w:t>
      </w:r>
    </w:p>
    <w:p>
      <w:pPr>
        <w:spacing w:before="40" w:after="40"/>
        <w:jc w:val="left"/>
      </w:pPr>
      <w:r>
        <w:rPr>
          <w:rFonts w:ascii="Calibri" w:cs="Calibri" w:eastAsia="Calibri" w:hAnsi="Calibri"/>
          <w:color w:val="888888"/>
          <w:sz w:val="20"/>
          <w:szCs w:val="20"/>
        </w:rPr>
        <w:t xml:space="preserve">Name: ______________________________          Signature: ______________________________          Date: ________________</w:t>
      </w:r>
    </w:p>
    <w:p>
      <w:pPr>
        <w:spacing w:before="40" w:after="40"/>
      </w:pPr>
      <w:r>
        <w:t xml:space="preserve"/>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6B" w:sz="8" w:space="1"/>
      </w:pBdr>
      <w:spacing w:before="100"/>
      <w:jc w:val="center"/>
    </w:pPr>
    <w:r>
      <w:rPr>
        <w:rFonts w:ascii="Calibri" w:cs="Calibri" w:eastAsia="Calibri" w:hAnsi="Calibri"/>
        <w:color w:val="555555"/>
        <w:sz w:val="17"/>
        <w:szCs w:val="17"/>
      </w:rPr>
      <w:t xml:space="preserve">Department of Data Science and Engineering  |  Page </w:t>
    </w:r>
    <w:r>
      <w:rPr>
        <w:rFonts w:ascii="Calibri" w:cs="Calibri" w:eastAsia="Calibri" w:hAnsi="Calibri"/>
        <w:color w:val="555555"/>
        <w:sz w:val="17"/>
        <w:szCs w:val="17"/>
      </w:rPr>
      <w:fldChar w:fldCharType="begin"/>
      <w:instrText xml:space="preserve">PAGE</w:instrText>
      <w:fldChar w:fldCharType="separate"/>
      <w:fldChar w:fldCharType="end"/>
    </w:r>
    <w:r>
      <w:rPr>
        <w:rFonts w:ascii="Calibri" w:cs="Calibri" w:eastAsia="Calibri" w:hAnsi="Calibri"/>
        <w:color w:val="555555"/>
        <w:sz w:val="17"/>
        <w:szCs w:val="17"/>
      </w:rPr>
      <w:t xml:space="preserve"> of </w:t>
    </w:r>
    <w:r>
      <w:rPr>
        <w:rFonts w:ascii="Calibri" w:cs="Calibri" w:eastAsia="Calibri" w:hAnsi="Calibri"/>
        <w:color w:val="555555"/>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6B" w:sz="8" w:space="1"/>
      </w:pBdr>
      <w:spacing w:after="100"/>
      <w:jc w:val="center"/>
    </w:pPr>
    <w:r>
      <w:rPr>
        <w:rFonts w:ascii="Calibri" w:cs="Calibri" w:eastAsia="Calibri" w:hAnsi="Calibri"/>
        <w:i/>
        <w:iCs/>
        <w:color w:val="555555"/>
        <w:sz w:val="17"/>
        <w:szCs w:val="17"/>
      </w:rPr>
      <w:t xml:space="preserve">Mini Project Synopsis  —  AI-Driven Fraud Detection in Financial Transactions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800" w:hanging="400"/>
      </w:pPr>
    </w:lvl>
  </w:abstractNum>
  <w:abstractNum w:abstractNumId="3" w15:restartNumberingAfterBreak="0">
    <w:multiLevelType w:val="hybridMultilevel"/>
    <w:lvl w:ilvl="0" w15:tentative="1">
      <w:start w:val="1"/>
      <w:numFmt w:val="decimal"/>
      <w:lvlText w:val="%1."/>
      <w:lvlJc w:val="left"/>
      <w:pPr>
        <w:ind w:left="800" w:hanging="400"/>
      </w:pPr>
    </w:lvl>
  </w:abstractNum>
  <w:abstractNum w:abstractNumId="4" w15:restartNumberingAfterBreak="0">
    <w:multiLevelType w:val="hybridMultilevel"/>
    <w:lvl w:ilvl="0" w15:tentative="1">
      <w:start w:val="1"/>
      <w:numFmt w:val="decimal"/>
      <w:lvlText w:val="[%1]"/>
      <w:lvlJc w:val="left"/>
      <w:pPr>
        <w:ind w:left="800" w:hanging="4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Calibri" w:cs="Calibri" w:eastAsia="Calibri" w:hAnsi="Calibri"/>
      <w:b/>
      <w:bCs/>
      <w:color w:val="1A3C6B"/>
      <w:sz w:val="28"/>
      <w:szCs w:val="28"/>
    </w:rPr>
  </w:style>
  <w:style w:type="paragraph" w:styleId="Heading2">
    <w:name w:val="Heading 2"/>
    <w:basedOn w:val="Normal"/>
    <w:next w:val="Normal"/>
    <w:qFormat/>
    <w:pPr>
      <w:spacing w:before="220" w:after="100"/>
      <w:outlineLvl w:val="1"/>
    </w:pPr>
    <w:rPr>
      <w:rFonts w:ascii="Calibri" w:cs="Calibri" w:eastAsia="Calibri" w:hAnsi="Calibri"/>
      <w:b/>
      <w:bCs/>
      <w:color w:val="2563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2026-03-22T10:54:42.418Z</dcterms:created>
  <dcterms:modified xsi:type="dcterms:W3CDTF">2026-03-22T10:54:42.419Z</dcterms:modified>
</cp:coreProperties>
</file>

<file path=docProps/custom.xml><?xml version="1.0" encoding="utf-8"?>
<Properties xmlns="http://schemas.openxmlformats.org/officeDocument/2006/custom-properties" xmlns:vt="http://schemas.openxmlformats.org/officeDocument/2006/docPropsVTypes"/>
</file>