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555555"/>
          <w:sz w:val="20"/>
          <w:szCs w:val="20"/>
        </w:rPr>
        <w:t xml:space="preserve">Team RAD — Hack for Humanity, Hartford</w:t>
      </w:r>
    </w:p>
    <w:p>
      <w:pPr>
        <w:spacing w:after="80"/>
      </w:pPr>
      <w:r>
        <w:rPr>
          <w:b/>
          <w:bCs/>
          <w:color w:val="1F3D2B"/>
          <w:sz w:val="40"/>
          <w:szCs w:val="40"/>
        </w:rPr>
        <w:t xml:space="preserve">Challenge 2: The Last Mile of Food Access</w:t>
      </w:r>
    </w:p>
    <w:p>
      <w:pPr>
        <w:spacing w:after="40"/>
      </w:pPr>
      <w:r>
        <w:rPr>
          <w:i/>
          <w:iCs/>
          <w:color w:val="555555"/>
          <w:sz w:val="20"/>
          <w:szCs w:val="20"/>
        </w:rPr>
        <w:t xml:space="preserve">Solution brainstorm &amp; analysis — Claude (Sonnet 5) — September 30, 2026</w:t>
      </w:r>
    </w:p>
    <w:p>
      <w:pPr>
        <w:spacing w:after="40"/>
      </w:pPr>
      <w:r>
        <w:rPr>
          <w:i/>
          <w:iCs/>
          <w:color w:val="555555"/>
          <w:sz w:val="20"/>
          <w:szCs w:val="20"/>
        </w:rPr>
        <w:t xml:space="preserve">Purpose: one of three independent AI-model brainstorms to compare before writing the app design spec.</w:t>
      </w:r>
    </w:p>
    <w:p>
      <w:pPr>
        <w:pBdr>
          <w:bottom w:val="single" w:color="CCCCCC" w:sz="6" w:space="1"/>
        </w:pBdr>
        <w:spacing w:after="240" w:before="120"/>
      </w:pPr>
    </w:p>
    <w:p>
      <w:pPr>
        <w:pStyle w:val="Heading1"/>
        <w:spacing w:after="160" w:before="400"/>
      </w:pPr>
      <w:r>
        <w:rPr>
          <w:b/>
          <w:bCs/>
          <w:color w:val="1F3D2B"/>
          <w:sz w:val="30"/>
          <w:szCs w:val="30"/>
        </w:rPr>
        <w:t xml:space="preserve">1. Challenge Summary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Food insecurity in Connecticut is well documented (Feeding America/Foodshare service area data, USDA food desert maps), but the practical barrier for many families is proximity and transit, not just availability of food resources.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The ask: build a tool that helps a resident or caseworker find the nearest realistic food resource (pantry, mobile market, SNAP-accepting grocer) — accounting for whether they have a car, rely on public transit, or are walking distance. Bonus: match hours of operation to a person's schedule.</w:t>
      </w:r>
    </w:p>
    <w:p>
      <w:pPr>
        <w:spacing w:after="160"/>
      </w:pPr>
      <w:r>
        <w:rPr>
          <w:b/>
          <w:bCs/>
          <w:color w:val="2E7D4F"/>
          <w:sz w:val="22"/>
          <w:szCs w:val="22"/>
        </w:rPr>
        <w:t xml:space="preserve">Suggested data sources: 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Feeding America/Foodshare service-area data, USDA Food Access Research Atlas, CTtransit public GTFS route data, public pantry directories.</w:t>
      </w:r>
    </w:p>
    <w:p>
      <w:pPr>
        <w:spacing w:after="160"/>
      </w:pPr>
      <w:r>
        <w:rPr>
          <w:b/>
          <w:bCs/>
          <w:color w:val="2E7D4F"/>
          <w:sz w:val="22"/>
          <w:szCs w:val="22"/>
        </w:rPr>
        <w:t xml:space="preserve">AI angle called out in the brief: 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natural-language input (“I don’t have a car, I’m near X”), AI-generated plain-language directions/summary, or predictive “likely to be open/stocked” scoring where hours data is inconsistent.</w:t>
      </w:r>
    </w:p>
    <w:p>
      <w:pPr>
        <w:spacing w:after="160"/>
      </w:pPr>
      <w:r>
        <w:rPr>
          <w:b/>
          <w:bCs/>
          <w:color w:val="2E7D4F"/>
          <w:sz w:val="22"/>
          <w:szCs w:val="22"/>
        </w:rPr>
        <w:t xml:space="preserve">Team decisions already locked: 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interface will be an AI chat assistant, not a map/list UI. Tech stack and data-sourcing approach are deliberately deferred until after this brainstorm.</w:t>
      </w:r>
    </w:p>
    <w:p>
      <w:pPr>
        <w:pStyle w:val="Heading1"/>
        <w:spacing w:after="160" w:before="400"/>
      </w:pPr>
      <w:r>
        <w:rPr>
          <w:b/>
          <w:bCs/>
          <w:color w:val="1F3D2B"/>
          <w:sz w:val="30"/>
          <w:szCs w:val="30"/>
        </w:rPr>
        <w:t xml:space="preserve">2. Framing Call: Resident, Not Caseworker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Primary user is the resident, not the caseworker. The brief's own example line — “I don’t have a car, I’m near X” — is written in first person, and a resident-facing chat is a cleaner, more emotionally resonant demo than a caseworker dashboard: no login, no multi-client state, judges understand it in ten seconds.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A caseworker mode is a good bolt-on (see Concept D below), not the core. This is a call worth the team revisiting explicitly if it doesn't match the group's instinct — it changes tone and scope significantly.</w:t>
      </w:r>
    </w:p>
    <w:p>
      <w:pPr>
        <w:pStyle w:val="Heading1"/>
        <w:spacing w:after="160" w:before="400"/>
      </w:pPr>
      <w:r>
        <w:rPr>
          <w:b/>
          <w:bCs/>
          <w:color w:val="1F3D2B"/>
          <w:sz w:val="30"/>
          <w:szCs w:val="30"/>
        </w:rPr>
        <w:t xml:space="preserve">3. The Real Shape of the Problem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The chat interface is just the front door. The thing that actually answers the brief — “realistic,” not just “nearest” — is a reachability engine underneath it. A naive build sorts pantries by straight-line distance and puts a chatbot on top; that fails the brief's whole premise. The reachability logic is where the actual points are, and where a well-designed chat layer earns its keep by surfacing the right constraints conversationally.</w:t>
      </w:r>
    </w:p>
    <w:p>
      <w:pPr>
        <w:pStyle w:val="Heading1"/>
        <w:spacing w:after="160" w:before="400"/>
      </w:pPr>
      <w:r>
        <w:rPr>
          <w:b/>
          <w:bCs/>
          <w:color w:val="1F3D2B"/>
          <w:sz w:val="30"/>
          <w:szCs w:val="30"/>
        </w:rPr>
        <w:t xml:space="preserve">4. Four Solution Concepts</w:t>
      </w:r>
    </w:p>
    <w:p>
      <w:pPr>
        <w:spacing w:after="160" w:line="300"/>
      </w:pPr>
      <w:r>
        <w:rPr>
          <w:b w:val="false"/>
          <w:bCs w:val="false"/>
          <w:i/>
          <w:iCs/>
          <w:sz w:val="22"/>
          <w:szCs w:val="22"/>
        </w:rPr>
        <w:t xml:space="preserve">Ordered by how load-bearing each is to a winning submission.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shd w:fill="EAF3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D2B"/>
                <w:sz w:val="20"/>
                <w:szCs w:val="20"/>
              </w:rPr>
              <w:t xml:space="preserve">A — Reachability-first ranking
(mandatory core)</w:t>
            </w:r>
          </w:p>
        </w:tc>
        <w:tc>
          <w:tcPr>
            <w:tcW w:type="dxa" w:w="6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Score each location by real accounting for transport mode: walk time on foot, transit feasibility if bus-dependent (does it need a transfer? is there a stop within reasonable walking distance of both ends?), drive time by car. Filter out anything not realistically reachable in the time the person actually has. This isn't optional — it's the whole ask in the brief. Everything else below is a layer on top of this.</w:t>
            </w:r>
          </w:p>
        </w:tc>
      </w:tr>
      <w:tr>
        <w:tc>
          <w:tcPr>
            <w:tcW w:type="dxa" w:w="2400"/>
            <w:shd w:fill="EAF3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D2B"/>
                <w:sz w:val="20"/>
                <w:szCs w:val="20"/>
              </w:rPr>
              <w:t xml:space="preserve">C — “Will it actually be open” confidence scoring
(cheap, high-leverage differentiator)</w:t>
            </w:r>
          </w:p>
        </w:tc>
        <w:tc>
          <w:tcPr>
            <w:tcW w:type="dxa" w:w="6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Explicitly called out as a bonus AI angle, and it targets a real, judge-resonant pain point: showing up to a pantry that's “open” on paper but closed in practice. Doesn't require real crowd-sourced data to sell — a plausible heuristic (last-verified date, volunteer-run vs. staffed grocer, day-of-week pattern) plus honest confidence language (“high confidence — SNAP grocer, standard retail hours” vs. “lower confidence — pantry hours last confirmed 3 weeks ago”) is cheap to build and reads as sophisticated on stage.</w:t>
            </w:r>
          </w:p>
        </w:tc>
      </w:tr>
      <w:tr>
        <w:tc>
          <w:tcPr>
            <w:tcW w:type="dxa" w:w="2400"/>
            <w:shd w:fill="EAF3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D2B"/>
                <w:sz w:val="20"/>
                <w:szCs w:val="20"/>
              </w:rPr>
              <w:t xml:space="preserve">D — Caseworker hand-off mode
(bolt-on, not core)</w:t>
            </w:r>
          </w:p>
        </w:tc>
        <w:tc>
          <w:tcPr>
            <w:tcW w:type="dxa" w:w="6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Same underlying engine, adds a mode to generate a plain-language text/handout a caseworker can send a client, or to compare options across multiple household members with different constraints. Real value, but it's added scope — only worth pursuing once A and C are solid with build time to spare.</w:t>
            </w:r>
          </w:p>
        </w:tc>
      </w:tr>
      <w:tr>
        <w:tc>
          <w:tcPr>
            <w:tcW w:type="dxa" w:w="2400"/>
            <w:shd w:fill="EAF3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D2B"/>
                <w:sz w:val="20"/>
                <w:szCs w:val="20"/>
              </w:rPr>
              <w:t xml:space="preserve">B — Trip-chaining
(high-risk stretch)</w:t>
            </w:r>
          </w:p>
        </w:tc>
        <w:tc>
          <w:tcPr>
            <w:tcW w:type="dxa" w:w="6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“Catch the 60 bus, get off near X, walk to Y grocer, catch the return bus at 4:45.” The most impressive possible demo beat and the biggest trap: live GTFS trip-planning in a 6-hour build is a rabbit hole, and routing edge cases can break live on stage. If attempted, fake it with a static precomputed lookup (nearest stop → walk time, hand-built for the demo locations) rather than integrating a real routing engine — and treat it strictly as a bonus beat, never the headline feature.</w:t>
            </w:r>
          </w:p>
        </w:tc>
      </w:tr>
    </w:tbl>
    <w:p>
      <w:pPr>
        <w:pStyle w:val="Heading1"/>
        <w:spacing w:after="160" w:before="400"/>
      </w:pPr>
      <w:r>
        <w:rPr>
          <w:b/>
          <w:bCs/>
          <w:color w:val="1F3D2B"/>
          <w:sz w:val="30"/>
          <w:szCs w:val="30"/>
        </w:rPr>
        <w:t xml:space="preserve">5. Provocation: Constraints Aren't Binary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The brief frames the constraint as car / transit / walking. Real constraints compound: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  <w:i w:val="false"/>
          <w:iCs w:val="false"/>
          <w:sz w:val="22"/>
          <w:szCs w:val="22"/>
        </w:rPr>
        <w:t xml:space="preserve">Time window — 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works until 6pm, but most pantries close at 5pm.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  <w:i w:val="false"/>
          <w:iCs w:val="false"/>
          <w:sz w:val="22"/>
          <w:szCs w:val="22"/>
        </w:rPr>
        <w:t xml:space="preserve">Carrying capacity — 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can't bus-and-walk a mile home with groceries and two kids in tow.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  <w:i w:val="false"/>
          <w:iCs w:val="false"/>
          <w:sz w:val="22"/>
          <w:szCs w:val="22"/>
        </w:rPr>
        <w:t xml:space="preserve">Mobility — 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walking distance means something very different for an elderly or disabled resident than the general case.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A natural-language chat is actually well-suited to surfacing this (“I get off at 6 and have my kids with me”) in a way a rigid form isn't — which is a legitimate argument for the chat-assistant choice the team already made, beyond just “AI is trendy.”</w:t>
      </w:r>
    </w:p>
    <w:p>
      <w:pPr>
        <w:pStyle w:val="Heading1"/>
        <w:spacing w:after="160" w:before="400"/>
      </w:pPr>
      <w:r>
        <w:rPr>
          <w:b/>
          <w:bCs/>
          <w:color w:val="1F3D2B"/>
          <w:sz w:val="30"/>
          <w:szCs w:val="30"/>
        </w:rPr>
        <w:t xml:space="preserve">6. Data Strategy: Go Hyper-Local, Not Statewide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Pick one real Hartford neighborhood (e.g., Asylum Hill or Frog Hollow — walkable from UConn Business School) and hand-curate 15–25 real, verified locations with real hours. A shallow “we cover all of Connecticut” mock dataset is less convincing live than “we deeply solved this for one real neighborhood,” and it is far less data work under a 6-hour clock. The chat should say upfront it currently covers that area rather than implying statewide coverage it can't back up.</w:t>
      </w:r>
    </w:p>
    <w:p>
      <w:pPr>
        <w:pStyle w:val="Heading1"/>
        <w:spacing w:after="160" w:before="400"/>
      </w:pPr>
      <w:r>
        <w:rPr>
          <w:b/>
          <w:bCs/>
          <w:color w:val="1F3D2B"/>
          <w:sz w:val="30"/>
          <w:szCs w:val="30"/>
        </w:rPr>
        <w:t xml:space="preserve">7. Riskiest Assumption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That the team can hand-build a small real dataset good enough that the ranking logic gives correct, defensible answers for whatever scenario comes up live — not just plausible-sounding ones. If a judge asks “what about someone near X” and the answer is visibly wrong, the “we solved reachability” pitch collapses on the spot.</w:t>
      </w:r>
    </w:p>
    <w:p>
      <w:pPr>
        <w:pStyle w:val="Heading1"/>
        <w:spacing w:after="160" w:before="400"/>
      </w:pPr>
      <w:r>
        <w:rPr>
          <w:b/>
          <w:bCs/>
          <w:color w:val="1F3D2B"/>
          <w:sz w:val="30"/>
          <w:szCs w:val="30"/>
        </w:rPr>
        <w:t xml:space="preserve">8. Recommended Next Step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Before writing the full design spec, nail two things in plain language: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The reachability scoring rule, in pseudocode.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The specific neighborhood and demo scenario the team will actually show live.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Those two decisions constrain data-collection scope and should be settled before reconciling this brainstorm against the other two AI models' output — otherwise the team ends up reconciling three different demo scenarios instead of three takes on the same one.</w:t>
      </w:r>
    </w:p>
    <w:p>
      <w:pPr>
        <w:pBdr>
          <w:bottom w:val="single" w:color="CCCCCC" w:sz="6" w:space="1"/>
        </w:pBdr>
        <w:spacing w:after="240" w:before="120"/>
      </w:pPr>
    </w:p>
    <w:p>
      <w:pPr>
        <w:spacing w:after="40"/>
      </w:pPr>
      <w:r>
        <w:rPr>
          <w:i/>
          <w:iCs/>
          <w:color w:val="555555"/>
          <w:sz w:val="20"/>
          <w:szCs w:val="20"/>
        </w:rPr>
        <w:t xml:space="preserve">Generated by Claude (Sonnet 5) as one of three parallel model brainstorms for Team RAD. To be synthesized with the other two into a single app design specification.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60"/>
      </w:pPr>
    </w:lvl>
    <w:lvl w:ilvl="1" w:tentative="1">
      <w:start w:val="1"/>
      <w:numFmt w:val="bullet"/>
      <w:lvlText w:val="–"/>
      <w:lvlJc w:val="left"/>
      <w:pPr>
        <w:ind w:left="7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2026-09-30T15:13:53.025Z</dcterms:created>
  <dcterms:modified xsi:type="dcterms:W3CDTF">2026-09-30T15:13:53.026Z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