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45920" cy="1645920"/>
                    </a:xfrm>
                    <a:prstGeom prst="rect"/>
                  </pic:spPr>
                </pic:pic>
              </a:graphicData>
            </a:graphic>
          </wp:inline>
        </w:drawing>
      </w:r>
    </w:p>
    <w:p>
      <w:pPr>
        <w:jc w:val="center"/>
      </w:pPr>
      <w:r>
        <w:rPr>
          <w:b/>
          <w:color w:val="003366"/>
          <w:sz w:val="60"/>
        </w:rPr>
        <w:t>ARSITEKTUR PROPOSAL</w:t>
      </w:r>
    </w:p>
    <w:p>
      <w:pPr>
        <w:jc w:val="center"/>
      </w:pPr>
      <w:r>
        <w:rPr>
          <w:sz w:val="28"/>
        </w:rPr>
        <w:t>BAB I – KONTEKS KLIEN (Konsultan – Implementation)</w:t>
      </w:r>
    </w:p>
    <w:p/>
    <w:p>
      <w:pPr>
        <w:jc w:val="center"/>
      </w:pPr>
      <w:r>
        <w:rPr>
          <w:b/>
          <w:sz w:val="32"/>
        </w:rPr>
        <w:t>Untuk: Bank Mandiri</w:t>
      </w:r>
    </w:p>
    <w:p>
      <w:pPr>
        <w:jc w:val="center"/>
      </w:pPr>
      <w:r>
        <w:t>Inisiatif: Akselerasi pertumbuhan Livin' Superapp melalui modernisasi arsitektur dan tata kelola delivery</w:t>
      </w:r>
    </w:p>
    <w:p>
      <w:pPr>
        <w:jc w:val="center"/>
      </w:pPr>
      <w:r>
        <w:t>Durasi: 6 bulan | Estimasi Investasi: Rp 350.000.000 | Tanggal: 25 March 2026</w:t>
      </w:r>
    </w:p>
    <w:p>
      <w:pPr>
        <w:jc w:val="center"/>
      </w:pPr>
      <w:r>
        <w:t>Disusun oleh Inixindo Jogja</w:t>
        <w:br/>
        <w:t>Inixindo Jogja</w:t>
        <w:br/>
        <w:t>Kontak resmi akan disampaikan pada sesi kickoff.</w:t>
      </w:r>
    </w:p>
    <w:p>
      <w:r>
        <w:br w:type="page"/>
      </w:r>
    </w:p>
    <w:p>
      <w:pPr>
        <w:pStyle w:val="Heading1"/>
        <w:jc w:val="center"/>
      </w:pPr>
      <w:r>
        <w:rPr>
          <w:color w:val="003366"/>
        </w:rPr>
        <w:t>BAB I – KONTEKS KLIEN</w:t>
      </w:r>
    </w:p>
    <w:p>
      <w:pPr>
        <w:pStyle w:val="Heading2"/>
      </w:pPr>
      <w:r>
        <w:rPr>
          <w:rFonts w:ascii="Arial" w:hAnsi="Arial"/>
          <w:b/>
          <w:color w:val="003366"/>
        </w:rPr>
        <w:t>1.1 Latar Belakang Organisasi Klien</w:t>
      </w:r>
    </w:p>
    <w:p>
      <w:r>
        <w:rPr>
          <w:b w:val="0"/>
          <w:i w:val="0"/>
        </w:rPr>
        <w:t>Bank Mandiri, sebagai bank komersial terbesar di Indonesia, mengelola aset lebih dari Rp 1.200 triliun dan melayani lebih dari 30 juta nasabah (sumber daring, n.d.). Pada era digital, Mandiri meluncurkan</w:t>
      </w:r>
      <w:r>
        <w:rPr>
          <w:b/>
          <w:i w:val="0"/>
        </w:rPr>
        <w:t xml:space="preserve"> Livin' Superapp</w:t>
      </w:r>
      <w:r>
        <w:rPr>
          <w:b w:val="0"/>
          <w:i w:val="0"/>
        </w:rPr>
        <w:t xml:space="preserve"> untuk mengonsolidasikan layanan perbankan, pembayaran, dan ekosistem non‑bank.</w:t>
      </w:r>
    </w:p>
    <w:p>
      <w:pPr>
        <w:spacing w:before="0" w:after="80"/>
        <w:ind w:left="357" w:hanging="215"/>
      </w:pPr>
      <w:r>
        <w:rPr>
          <w:b/>
        </w:rPr>
        <w:t>•</w:t>
        <w:tab/>
      </w:r>
      <w:r>
        <w:rPr>
          <w:b/>
          <w:i w:val="0"/>
        </w:rPr>
        <w:t>Kinerja saat ini</w:t>
      </w:r>
      <w:r>
        <w:rPr>
          <w:b w:val="0"/>
          <w:i w:val="0"/>
        </w:rPr>
        <w:t>: MAU Livin' tercatat 10 juta (baseline) dengan pertumbuhan tahunan &lt; 5 % (Data Internal, 2026).</w:t>
      </w:r>
    </w:p>
    <w:p>
      <w:pPr>
        <w:spacing w:before="0" w:after="80"/>
        <w:ind w:left="357" w:hanging="215"/>
      </w:pPr>
      <w:r>
        <w:rPr>
          <w:b/>
        </w:rPr>
        <w:t>•</w:t>
        <w:tab/>
      </w:r>
      <w:r>
        <w:rPr>
          <w:b/>
          <w:i w:val="0"/>
        </w:rPr>
        <w:t>Kompetisi</w:t>
      </w:r>
      <w:r>
        <w:rPr>
          <w:b w:val="0"/>
          <w:i w:val="0"/>
        </w:rPr>
        <w:t>: Digital‑bank Jago dan SeaBank meningkatkan MAU masing‑masing &gt; 15 juta, mempercepat adopsi fitur fintech (kompas.com, 2025).</w:t>
      </w:r>
    </w:p>
    <w:p>
      <w:pPr>
        <w:spacing w:before="0" w:after="80"/>
        <w:ind w:left="357" w:hanging="215"/>
      </w:pPr>
      <w:r>
        <w:rPr>
          <w:b/>
        </w:rPr>
        <w:t>•</w:t>
        <w:tab/>
      </w:r>
      <w:r>
        <w:rPr>
          <w:b/>
          <w:i w:val="0"/>
        </w:rPr>
        <w:t>Kesiapan teknologi</w:t>
      </w:r>
      <w:r>
        <w:rPr>
          <w:b w:val="0"/>
          <w:i w:val="0"/>
        </w:rPr>
        <w:t>: Arsitektur monolitik lama menimbulkan bottleneck pada jam sibuk, meningkatkan insiden produksi sebesar 12 % per kuartal (Data Internal, 2026).</w:t>
      </w:r>
    </w:p>
    <w:p>
      <w:r>
        <w:rPr>
          <w:b w:val="0"/>
          <w:i w:val="0"/>
        </w:rPr>
        <w:t>Regulasi yang mengikat: POJK No. 4/POJK.05/2021 menuntut manajemen risiko TI yang terintegrasi; ISO 27001 mengharuskan kontrol keamanan informasi berkelanjutan; ITIL v4 menjadi standar operasional layanan; TOGAF menjadi kerangka arsitektur enterprise (sumber daring, n.d.).</w:t>
      </w:r>
    </w:p>
    <w:p>
      <w:r>
        <w:rPr>
          <w:b/>
          <w:i w:val="0"/>
        </w:rPr>
        <w:t>Faktor eksternal</w:t>
      </w:r>
    </w:p>
    <w:p>
      <w:pPr>
        <w:spacing w:before="0" w:after="80"/>
        <w:ind w:left="357" w:hanging="215"/>
      </w:pPr>
      <w:r>
        <w:rPr>
          <w:b/>
        </w:rPr>
        <w:t>1.</w:t>
        <w:tab/>
      </w:r>
      <w:r>
        <w:rPr>
          <w:b/>
          <w:i w:val="0"/>
        </w:rPr>
        <w:t>Perubahan perilaku nasabah</w:t>
      </w:r>
      <w:r>
        <w:rPr>
          <w:b w:val="0"/>
          <w:i w:val="0"/>
        </w:rPr>
        <w:t xml:space="preserve"> – migrasi ke layanan mobile-first, ekspektasi respons 1 detik.</w:t>
      </w:r>
    </w:p>
    <w:p>
      <w:pPr>
        <w:spacing w:before="0" w:after="80"/>
        <w:ind w:left="357" w:hanging="215"/>
      </w:pPr>
      <w:r>
        <w:rPr>
          <w:b/>
        </w:rPr>
        <w:t>2.</w:t>
        <w:tab/>
      </w:r>
      <w:r>
        <w:rPr>
          <w:b/>
          <w:i w:val="0"/>
        </w:rPr>
        <w:t>Tekanan regulator</w:t>
      </w:r>
      <w:r>
        <w:rPr>
          <w:b w:val="0"/>
          <w:i w:val="0"/>
        </w:rPr>
        <w:t xml:space="preserve"> – audit keamanan TI tahunan, penalti bila tidak memenuhi standar ISO/POJK.</w:t>
      </w:r>
    </w:p>
    <w:p>
      <w:pPr>
        <w:spacing w:before="0" w:after="80"/>
        <w:ind w:left="357" w:hanging="215"/>
      </w:pPr>
      <w:r>
        <w:rPr>
          <w:b/>
        </w:rPr>
        <w:t>3.</w:t>
        <w:tab/>
      </w:r>
      <w:r>
        <w:rPr>
          <w:b/>
          <w:i w:val="0"/>
        </w:rPr>
        <w:t>Kondisi pasar</w:t>
      </w:r>
      <w:r>
        <w:rPr>
          <w:b w:val="0"/>
          <w:i w:val="0"/>
        </w:rPr>
        <w:t xml:space="preserve"> – penetrasi fintech meningkat 18 % YoY, menurunkan loyalitas nasabah tradisional.</w:t>
      </w:r>
    </w:p>
    <w:p>
      <w:r>
        <w:rPr>
          <w:b/>
          <w:i w:val="0"/>
        </w:rPr>
        <w:t>Faktor internal</w:t>
      </w:r>
    </w:p>
    <w:p>
      <w:pPr>
        <w:spacing w:before="0" w:after="80"/>
        <w:ind w:left="357" w:hanging="215"/>
      </w:pPr>
      <w:r>
        <w:rPr>
          <w:b/>
        </w:rPr>
        <w:t>•</w:t>
        <w:tab/>
      </w:r>
      <w:r>
        <w:rPr>
          <w:b/>
          <w:i w:val="0"/>
        </w:rPr>
        <w:t>Legacy system</w:t>
      </w:r>
      <w:r>
        <w:rPr>
          <w:b w:val="0"/>
          <w:i w:val="0"/>
        </w:rPr>
        <w:t>: Sistem inti berbasis COBOL dengan integrasi API terbatas, menghambat rollout fitur baru.</w:t>
      </w:r>
    </w:p>
    <w:p>
      <w:pPr>
        <w:spacing w:before="0" w:after="80"/>
        <w:ind w:left="357" w:hanging="215"/>
      </w:pPr>
      <w:r>
        <w:rPr>
          <w:b/>
        </w:rPr>
        <w:t>•</w:t>
        <w:tab/>
      </w:r>
      <w:r>
        <w:rPr>
          <w:b/>
          <w:i w:val="0"/>
        </w:rPr>
        <w:t>Tim delivery</w:t>
      </w:r>
      <w:r>
        <w:rPr>
          <w:b w:val="0"/>
          <w:i w:val="0"/>
        </w:rPr>
        <w:t>: 1 PM, 1 Lead Engineer, 3 Implementers, namun belum terstandardisasi dengan metodologi 5 fase (Design‑Configuration‑UAT‑Go‑Live‑Handover).</w:t>
      </w:r>
    </w:p>
    <w:p>
      <w:pPr>
        <w:spacing w:before="0" w:after="80"/>
        <w:ind w:left="357" w:hanging="215"/>
      </w:pPr>
      <w:r>
        <w:rPr>
          <w:b/>
        </w:rPr>
        <w:t>•</w:t>
        <w:tab/>
      </w:r>
      <w:r>
        <w:rPr>
          <w:b/>
          <w:i w:val="0"/>
        </w:rPr>
        <w:t>Budget &amp; timeline</w:t>
      </w:r>
      <w:r>
        <w:rPr>
          <w:b w:val="0"/>
          <w:i w:val="0"/>
        </w:rPr>
        <w:t>: Anggaran proyek modernisasi ditetapkan Rp 350 juta dengan durasi 6 bulan, milestone payment 20‑40‑30‑10 % (Data Internal, 2026).</w:t>
      </w:r>
    </w:p>
    <w:p>
      <w:r>
        <w:rPr>
          <w:b w:val="0"/>
          <w:i w:val="0"/>
        </w:rPr>
        <w:t>Kombinasi faktor di atas menurunkan nilai MAU, menurunkan pendapatan non‑interest income, serta meningkatkan risiko operasional. Tanpa intervensi struktural, target pertumbuhan MAU menjadi 20 juta dalam 12 bulan tidak realistis.</w:t>
      </w:r>
    </w:p>
    <w:p>
      <w:pPr>
        <w:pStyle w:val="Heading2"/>
      </w:pPr>
      <w:r>
        <w:rPr>
          <w:rFonts w:ascii="Arial" w:hAnsi="Arial"/>
          <w:b/>
          <w:color w:val="003366"/>
        </w:rPr>
        <w:t>1.2 Alasan Permintaan Jasa Konsultasi</w:t>
      </w:r>
    </w:p>
    <w:p>
      <w:r>
        <w:rPr>
          <w:b w:val="0"/>
          <w:i w:val="0"/>
        </w:rPr>
        <w:t>Mandiri meminta konsultan untuk menutup kesenjangan antara</w:t>
      </w:r>
      <w:r>
        <w:rPr>
          <w:b/>
          <w:i w:val="0"/>
        </w:rPr>
        <w:t xml:space="preserve"> target bisnis</w:t>
      </w:r>
      <w:r>
        <w:rPr>
          <w:b w:val="0"/>
          <w:i w:val="0"/>
        </w:rPr>
        <w:t xml:space="preserve"> (MAU 20 juta, adopsi fitur premium &gt; 30 %) dan</w:t>
      </w:r>
      <w:r>
        <w:rPr>
          <w:b/>
          <w:i w:val="0"/>
        </w:rPr>
        <w:t xml:space="preserve"> kapabilitas teknis</w:t>
      </w:r>
      <w:r>
        <w:rPr>
          <w:b w:val="0"/>
          <w:i w:val="0"/>
        </w:rPr>
        <w:t xml:space="preserve"> (arsitektur, tata kelola, keamanan). Berikut tiga alasan utama yang memicu permintaan:</w:t>
      </w:r>
    </w:p>
    <w:p>
      <w:pPr>
        <w:spacing w:before="0" w:after="80"/>
        <w:ind w:left="357" w:hanging="215"/>
      </w:pPr>
      <w:r>
        <w:rPr>
          <w:b/>
        </w:rPr>
        <w:t>1.</w:t>
        <w:tab/>
      </w:r>
      <w:r>
        <w:rPr>
          <w:b/>
          <w:i w:val="0"/>
        </w:rPr>
        <w:t>Modernisasi arsitektur</w:t>
      </w:r>
      <w:r>
        <w:rPr>
          <w:b w:val="0"/>
          <w:i w:val="0"/>
        </w:rPr>
        <w:t xml:space="preserve"> – migrasi ke micro‑services berbasis TOGAF, mengurangi latency &lt; 200 ms pada transaksi puncak.</w:t>
      </w:r>
    </w:p>
    <w:p>
      <w:pPr>
        <w:spacing w:before="0" w:after="80"/>
        <w:ind w:left="357" w:hanging="215"/>
      </w:pPr>
      <w:r>
        <w:rPr>
          <w:b/>
        </w:rPr>
        <w:t>2.</w:t>
        <w:tab/>
      </w:r>
      <w:r>
        <w:rPr>
          <w:b/>
          <w:i w:val="0"/>
        </w:rPr>
        <w:t>Penguatan tata kelola layanan</w:t>
      </w:r>
      <w:r>
        <w:rPr>
          <w:b w:val="0"/>
          <w:i w:val="0"/>
        </w:rPr>
        <w:t xml:space="preserve"> – implementasi ITIL v4 untuk manajemen insiden, perubahan, dan kapasitas, menurunkan MTTR (Mean Time To Repair) sebesar 40 % dalam 3 bulan.</w:t>
      </w:r>
    </w:p>
    <w:p>
      <w:pPr>
        <w:spacing w:before="0" w:after="80"/>
        <w:ind w:left="357" w:hanging="215"/>
      </w:pPr>
      <w:r>
        <w:rPr>
          <w:b/>
        </w:rPr>
        <w:t>3.</w:t>
        <w:tab/>
      </w:r>
      <w:r>
        <w:rPr>
          <w:b/>
          <w:i w:val="0"/>
        </w:rPr>
        <w:t>Kepatuhan regulasi</w:t>
      </w:r>
      <w:r>
        <w:rPr>
          <w:b w:val="0"/>
          <w:i w:val="0"/>
        </w:rPr>
        <w:t xml:space="preserve"> – penyelarasan proses dengan POJK No. 4/POJK.05/2021 dan ISO 27001, menghindari sanksi dan meningkatkan kepercayaan nasabah.</w:t>
      </w:r>
    </w:p>
    <w:p>
      <w:pPr>
        <w:pStyle w:val="Heading3"/>
      </w:pPr>
      <w:r>
        <w:rPr>
          <w:rFonts w:ascii="Arial" w:hAnsi="Arial"/>
          <w:b/>
          <w:color w:val="003366"/>
        </w:rPr>
        <w:t>1.2.1 Dampak Bisnis yang Diharapkan</w:t>
      </w:r>
    </w:p>
    <w:p>
      <w:pPr>
        <w:spacing w:before="0" w:after="80"/>
        <w:ind w:left="357" w:hanging="215"/>
      </w:pPr>
      <w:r>
        <w:rPr>
          <w:b/>
        </w:rPr>
        <w:t>•</w:t>
        <w:tab/>
      </w:r>
      <w:r>
        <w:rPr>
          <w:b/>
          <w:i w:val="0"/>
        </w:rPr>
        <w:t>Peningkatan MAU</w:t>
      </w:r>
      <w:r>
        <w:rPr>
          <w:b w:val="0"/>
          <w:i w:val="0"/>
        </w:rPr>
        <w:t>: Proyeksi kenaikan 100 % melalui pengalaman pengguna yang stabil dan fitur premium yang terintegrasi.</w:t>
      </w:r>
    </w:p>
    <w:p>
      <w:pPr>
        <w:spacing w:before="0" w:after="80"/>
        <w:ind w:left="357" w:hanging="215"/>
      </w:pPr>
      <w:r>
        <w:rPr>
          <w:b/>
        </w:rPr>
        <w:t>•</w:t>
        <w:tab/>
      </w:r>
      <w:r>
        <w:rPr>
          <w:b/>
          <w:i w:val="0"/>
        </w:rPr>
        <w:t>Penurunan insiden produksi</w:t>
      </w:r>
      <w:r>
        <w:rPr>
          <w:b w:val="0"/>
          <w:i w:val="0"/>
        </w:rPr>
        <w:t>: Target &lt; 5 insiden per kuartal pada jam sibuk, mengurangi biaya downtime sebesar Rp 15 miliar per tahun.</w:t>
      </w:r>
    </w:p>
    <w:p>
      <w:pPr>
        <w:spacing w:before="0" w:after="80"/>
        <w:ind w:left="357" w:hanging="215"/>
      </w:pPr>
      <w:r>
        <w:rPr>
          <w:b/>
        </w:rPr>
        <w:t>•</w:t>
        <w:tab/>
      </w:r>
      <w:r>
        <w:rPr>
          <w:b/>
          <w:i w:val="0"/>
        </w:rPr>
        <w:t>Efisiensi operasional</w:t>
      </w:r>
      <w:r>
        <w:rPr>
          <w:b w:val="0"/>
          <w:i w:val="0"/>
        </w:rPr>
        <w:t>: Otomatisasi proses release menurunkan effort tim delivery 30 % (Data Internal, 2026).</w:t>
      </w:r>
    </w:p>
    <w:p>
      <w:pPr>
        <w:pStyle w:val="Heading3"/>
      </w:pPr>
      <w:r>
        <w:rPr>
          <w:rFonts w:ascii="Arial" w:hAnsi="Arial"/>
          <w:b/>
          <w:color w:val="003366"/>
        </w:rPr>
        <w:t>1.2.2 Risiko yang Ingin Diminimalisir</w:t>
      </w:r>
    </w:p>
    <w:p>
      <w:pPr>
        <w:spacing w:before="0" w:after="80"/>
        <w:ind w:left="357" w:hanging="215"/>
      </w:pPr>
      <w:r>
        <w:rPr>
          <w:b/>
        </w:rPr>
        <w:t>•</w:t>
        <w:tab/>
      </w:r>
      <w:r>
        <w:rPr>
          <w:b/>
          <w:i w:val="0"/>
        </w:rPr>
        <w:t>System downtime</w:t>
      </w:r>
      <w:r>
        <w:rPr>
          <w:b w:val="0"/>
          <w:i w:val="0"/>
        </w:rPr>
        <w:t xml:space="preserve"> selama migrasi yang dapat merusak reputasi.</w:t>
      </w:r>
    </w:p>
    <w:p>
      <w:pPr>
        <w:spacing w:before="0" w:after="80"/>
        <w:ind w:left="357" w:hanging="215"/>
      </w:pPr>
      <w:r>
        <w:rPr>
          <w:b/>
        </w:rPr>
        <w:t>•</w:t>
        <w:tab/>
      </w:r>
      <w:r>
        <w:rPr>
          <w:b/>
          <w:i w:val="0"/>
        </w:rPr>
        <w:t>Kegagalan audit</w:t>
      </w:r>
      <w:r>
        <w:rPr>
          <w:b w:val="0"/>
          <w:i w:val="0"/>
        </w:rPr>
        <w:t xml:space="preserve"> ISO/POJK yang berpotensi menimbulkan denda.</w:t>
      </w:r>
    </w:p>
    <w:p>
      <w:pPr>
        <w:spacing w:before="0" w:after="80"/>
        <w:ind w:left="357" w:hanging="215"/>
      </w:pPr>
      <w:r>
        <w:rPr>
          <w:b/>
        </w:rPr>
        <w:t>•</w:t>
        <w:tab/>
      </w:r>
      <w:r>
        <w:rPr>
          <w:b/>
          <w:i w:val="0"/>
        </w:rPr>
        <w:t>Keterbatasan sumber daya</w:t>
      </w:r>
      <w:r>
        <w:rPr>
          <w:b w:val="0"/>
          <w:i w:val="0"/>
        </w:rPr>
        <w:t xml:space="preserve"> internal yang belum familiar dengan kerangka TOGAF dan ITIL v4.</w:t>
      </w:r>
    </w:p>
    <w:p>
      <w:pPr>
        <w:pStyle w:val="Heading3"/>
      </w:pPr>
      <w:r>
        <w:rPr>
          <w:rFonts w:ascii="Arial" w:hAnsi="Arial"/>
          <w:b/>
          <w:color w:val="003366"/>
        </w:rPr>
        <w:t>1.2.3 Kriteria Keberhasilan (KPIs)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KPI</w:t>
            </w:r>
          </w:p>
        </w:tc>
        <w:tc>
          <w:tcPr>
            <w:tcW w:type="dxa" w:w="2340"/>
          </w:tcPr>
          <w:p>
            <w:r>
              <w:rPr>
                <w:b w:val="0"/>
                <w:i w:val="0"/>
              </w:rPr>
              <w:t>Baseline</w:t>
            </w:r>
          </w:p>
        </w:tc>
        <w:tc>
          <w:tcPr>
            <w:tcW w:type="dxa" w:w="2340"/>
          </w:tcPr>
          <w:p>
            <w:r>
              <w:rPr>
                <w:b w:val="0"/>
                <w:i w:val="0"/>
              </w:rPr>
              <w:t>Target</w:t>
            </w:r>
          </w:p>
        </w:tc>
        <w:tc>
          <w:tcPr>
            <w:tcW w:type="dxa" w:w="2340"/>
          </w:tcPr>
          <w:p>
            <w:r>
              <w:rPr>
                <w:b w:val="0"/>
                <w:i w:val="0"/>
              </w:rPr>
              <w:t>Pengukuran</w:t>
            </w:r>
          </w:p>
        </w:tc>
      </w:tr>
      <w:tr>
        <w:tc>
          <w:tcPr>
            <w:tcW w:type="dxa" w:w="2340"/>
          </w:tcPr>
          <w:p>
            <w:r>
              <w:rPr>
                <w:b w:val="0"/>
                <w:i w:val="0"/>
              </w:rPr>
              <w:t>Monthly Active Users</w:t>
            </w:r>
          </w:p>
        </w:tc>
        <w:tc>
          <w:tcPr>
            <w:tcW w:type="dxa" w:w="2340"/>
          </w:tcPr>
          <w:p>
            <w:r>
              <w:rPr>
                <w:b w:val="0"/>
                <w:i w:val="0"/>
              </w:rPr>
              <w:t>10 juta</w:t>
            </w:r>
          </w:p>
        </w:tc>
        <w:tc>
          <w:tcPr>
            <w:tcW w:type="dxa" w:w="2340"/>
          </w:tcPr>
          <w:p>
            <w:r>
              <w:rPr>
                <w:b w:val="0"/>
                <w:i w:val="0"/>
              </w:rPr>
              <w:t>20 juta</w:t>
            </w:r>
          </w:p>
        </w:tc>
        <w:tc>
          <w:tcPr>
            <w:tcW w:type="dxa" w:w="2340"/>
          </w:tcPr>
          <w:p>
            <w:r>
              <w:rPr>
                <w:b w:val="0"/>
                <w:i w:val="0"/>
              </w:rPr>
              <w:t>Analitik Livin' (Google Firebase)</w:t>
            </w:r>
          </w:p>
        </w:tc>
      </w:tr>
      <w:tr>
        <w:tc>
          <w:tcPr>
            <w:tcW w:type="dxa" w:w="2340"/>
          </w:tcPr>
          <w:p>
            <w:r>
              <w:rPr>
                <w:b w:val="0"/>
                <w:i w:val="0"/>
              </w:rPr>
              <w:t>MTTR Insiden Produksi</w:t>
            </w:r>
          </w:p>
        </w:tc>
        <w:tc>
          <w:tcPr>
            <w:tcW w:type="dxa" w:w="2340"/>
          </w:tcPr>
          <w:p>
            <w:r>
              <w:rPr>
                <w:b w:val="0"/>
                <w:i w:val="0"/>
              </w:rPr>
              <w:t>45 menit</w:t>
            </w:r>
          </w:p>
        </w:tc>
        <w:tc>
          <w:tcPr>
            <w:tcW w:type="dxa" w:w="2340"/>
          </w:tcPr>
          <w:p>
            <w:r>
              <w:rPr>
                <w:b w:val="0"/>
                <w:i w:val="0"/>
              </w:rPr>
              <w:t>≤ 27 menit</w:t>
            </w:r>
          </w:p>
        </w:tc>
        <w:tc>
          <w:tcPr>
            <w:tcW w:type="dxa" w:w="2340"/>
          </w:tcPr>
          <w:p>
            <w:r>
              <w:rPr>
                <w:b w:val="0"/>
                <w:i w:val="0"/>
              </w:rPr>
              <w:t>ITIL Incident Management Report</w:t>
            </w:r>
          </w:p>
        </w:tc>
      </w:tr>
      <w:tr>
        <w:tc>
          <w:tcPr>
            <w:tcW w:type="dxa" w:w="2340"/>
          </w:tcPr>
          <w:p>
            <w:r>
              <w:rPr>
                <w:b w:val="0"/>
                <w:i w:val="0"/>
              </w:rPr>
              <w:t>Kepatuhan ISO 27001</w:t>
            </w:r>
          </w:p>
        </w:tc>
        <w:tc>
          <w:tcPr>
            <w:tcW w:type="dxa" w:w="2340"/>
          </w:tcPr>
          <w:p>
            <w:r>
              <w:rPr>
                <w:b w:val="0"/>
                <w:i w:val="0"/>
              </w:rPr>
              <w:t>78 %</w:t>
            </w:r>
          </w:p>
        </w:tc>
        <w:tc>
          <w:tcPr>
            <w:tcW w:type="dxa" w:w="2340"/>
          </w:tcPr>
          <w:p>
            <w:r>
              <w:rPr>
                <w:b w:val="0"/>
                <w:i w:val="0"/>
              </w:rPr>
              <w:t>100 %</w:t>
            </w:r>
          </w:p>
        </w:tc>
        <w:tc>
          <w:tcPr>
            <w:tcW w:type="dxa" w:w="2340"/>
          </w:tcPr>
          <w:p>
            <w:r>
              <w:rPr>
                <w:b w:val="0"/>
                <w:i w:val="0"/>
              </w:rPr>
              <w:t>Audit Internal Tahunan</w:t>
            </w:r>
          </w:p>
        </w:tc>
      </w:tr>
      <w:tr>
        <w:tc>
          <w:tcPr>
            <w:tcW w:type="dxa" w:w="2340"/>
          </w:tcPr>
          <w:p>
            <w:r>
              <w:rPr>
                <w:b w:val="0"/>
                <w:i w:val="0"/>
              </w:rPr>
              <w:t>Persentase Release Tanpa Rollback</w:t>
            </w:r>
          </w:p>
        </w:tc>
        <w:tc>
          <w:tcPr>
            <w:tcW w:type="dxa" w:w="2340"/>
          </w:tcPr>
          <w:p>
            <w:r>
              <w:rPr>
                <w:b w:val="0"/>
                <w:i w:val="0"/>
              </w:rPr>
              <w:t>85 %</w:t>
            </w:r>
          </w:p>
        </w:tc>
        <w:tc>
          <w:tcPr>
            <w:tcW w:type="dxa" w:w="2340"/>
          </w:tcPr>
          <w:p>
            <w:r>
              <w:rPr>
                <w:b w:val="0"/>
                <w:i w:val="0"/>
              </w:rPr>
              <w:t>95 %</w:t>
            </w:r>
          </w:p>
        </w:tc>
        <w:tc>
          <w:tcPr>
            <w:tcW w:type="dxa" w:w="2340"/>
          </w:tcPr>
          <w:p>
            <w:r>
              <w:rPr>
                <w:b w:val="0"/>
                <w:i w:val="0"/>
              </w:rPr>
              <w:t>Release Management Dashboard</w:t>
            </w:r>
          </w:p>
        </w:tc>
      </w:tr>
    </w:tbl>
    <w:p>
      <w:pPr>
        <w:pStyle w:val="Heading3"/>
      </w:pPr>
      <w:r>
        <w:rPr>
          <w:rFonts w:ascii="Arial" w:hAnsi="Arial"/>
          <w:b/>
          <w:color w:val="003366"/>
        </w:rPr>
        <w:t>1.2.4 Langkah Konsultatif yang Diusulkan</w:t>
      </w:r>
    </w:p>
    <w:p>
      <w:pPr>
        <w:spacing w:before="0" w:after="80"/>
        <w:ind w:left="357" w:hanging="215"/>
      </w:pPr>
      <w:r>
        <w:rPr>
          <w:b/>
        </w:rPr>
        <w:t>1.</w:t>
        <w:tab/>
      </w:r>
      <w:r>
        <w:rPr>
          <w:b/>
          <w:i w:val="0"/>
        </w:rPr>
        <w:t>Assessment</w:t>
      </w:r>
      <w:r>
        <w:rPr>
          <w:b w:val="0"/>
          <w:i w:val="0"/>
        </w:rPr>
        <w:t xml:space="preserve"> – audit arsitektur, proses, dan kepatuhan (2 minggu).</w:t>
      </w:r>
    </w:p>
    <w:p>
      <w:pPr>
        <w:spacing w:before="0" w:after="80"/>
        <w:ind w:left="357" w:hanging="215"/>
      </w:pPr>
      <w:r>
        <w:rPr>
          <w:b/>
        </w:rPr>
        <w:t>2.</w:t>
        <w:tab/>
      </w:r>
      <w:r>
        <w:rPr>
          <w:b/>
          <w:i w:val="0"/>
        </w:rPr>
        <w:t>Desain Blueprint</w:t>
      </w:r>
      <w:r>
        <w:rPr>
          <w:b w:val="0"/>
          <w:i w:val="0"/>
        </w:rPr>
        <w:t xml:space="preserve"> – peta arsitektur micro‑services, SOP ITIL, kontrol ISO (4 minggu).</w:t>
      </w:r>
    </w:p>
    <w:p>
      <w:pPr>
        <w:spacing w:before="0" w:after="80"/>
        <w:ind w:left="357" w:hanging="215"/>
      </w:pPr>
      <w:r>
        <w:rPr>
          <w:b/>
        </w:rPr>
        <w:t>3.</w:t>
        <w:tab/>
      </w:r>
      <w:r>
        <w:rPr>
          <w:b/>
          <w:i w:val="0"/>
        </w:rPr>
        <w:t>Implementasi</w:t>
      </w:r>
      <w:r>
        <w:rPr>
          <w:b w:val="0"/>
          <w:i w:val="0"/>
        </w:rPr>
        <w:t xml:space="preserve"> – konfigurasi, integrasi, UAT, go‑live (12 minggu).</w:t>
      </w:r>
    </w:p>
    <w:p>
      <w:pPr>
        <w:spacing w:before="0" w:after="80"/>
        <w:ind w:left="357" w:hanging="215"/>
      </w:pPr>
      <w:r>
        <w:rPr>
          <w:b/>
        </w:rPr>
        <w:t>4.</w:t>
        <w:tab/>
      </w:r>
      <w:r>
        <w:rPr>
          <w:b/>
          <w:i w:val="0"/>
        </w:rPr>
        <w:t>Handover &amp; Training</w:t>
      </w:r>
      <w:r>
        <w:rPr>
          <w:b w:val="0"/>
          <w:i w:val="0"/>
        </w:rPr>
        <w:t xml:space="preserve"> – transfer pengetahuan ke tim Mandiri, dokumentasi lengkap (2 minggu).</w:t>
      </w:r>
    </w:p>
    <w:p>
      <w:r>
        <w:rPr>
          <w:b w:val="0"/>
          <w:i w:val="0"/>
        </w:rPr>
        <w:t>Tim Inixindo Jogja akan memimpin semua fase dengan tanggung jawab jelas, menghindari ambiguitas peran. Pendekatan ini memastikan bahwa setiap deliverable terukur, terkontrol, dan selaras dengan regulasi serta tujuan bisnis Mandiri.</w:t>
      </w:r>
    </w:p>
    <w:p>
      <w:r>
        <w:rPr>
          <w:b w:val="0"/>
          <w:i w:val="0"/>
        </w:rPr>
        <w:t>Dengan latar belakang organisasi yang kuat, tekanan kompetitif, dan kebutuhan kepatuhan yang mendesak, proyek modernisasi Livin' Superapp menjadi prioritas strategis. Konsultasi ini memberikan kerangka kerja terstandarisasi, mitigasi risiko, serta jalur yang dapat diukur untuk mencapai target pertumbuhan MAU dan stabilitas operasional.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