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03366"/>
          <w:sz w:val="60"/>
        </w:rPr>
        <w:t>ARSITEKTUR PROPOSAL</w:t>
      </w:r>
    </w:p>
    <w:p>
      <w:pPr>
        <w:jc w:val="center"/>
      </w:pPr>
      <w:r>
        <w:rPr>
          <w:sz w:val="28"/>
        </w:rPr>
        <w:t>BAB I – KONTEKS KLIEN (Konsultan – Implementation)</w:t>
      </w:r>
    </w:p>
    <w:p/>
    <w:p>
      <w:pPr>
        <w:jc w:val="center"/>
      </w:pPr>
      <w:r>
        <w:rPr>
          <w:b/>
          <w:sz w:val="32"/>
        </w:rPr>
        <w:t>Untuk: Bank Mandiri</w:t>
      </w:r>
    </w:p>
    <w:p>
      <w:pPr>
        <w:jc w:val="center"/>
      </w:pPr>
      <w:r>
        <w:t>Inisiatif: Akselerasi pertumbuhan Livin' Superapp melalui modernisasi arsitektur dan tata kelola delivery</w:t>
      </w:r>
    </w:p>
    <w:p>
      <w:pPr>
        <w:jc w:val="center"/>
      </w:pPr>
      <w:r>
        <w:t>Durasi: 6 bulan | Estimasi Investasi: Rp 350.000.000 | Tanggal: 25 March 2026</w:t>
      </w:r>
    </w:p>
    <w:p>
      <w:pPr>
        <w:jc w:val="center"/>
      </w:pPr>
      <w:r>
        <w:t>Disusun oleh Inixindo Jogja</w:t>
        <w:br/>
        <w:t>Inixindo Jogja</w:t>
        <w:br/>
        <w:t>Kontak resmi akan disampaikan pada sesi kickoff.</w:t>
      </w:r>
    </w:p>
    <w:p>
      <w:r>
        <w:br w:type="page"/>
      </w:r>
    </w:p>
    <w:p>
      <w:pPr>
        <w:pStyle w:val="Heading1"/>
        <w:jc w:val="center"/>
      </w:pPr>
      <w:r>
        <w:rPr>
          <w:color w:val="003366"/>
        </w:rPr>
        <w:t>BAB I – KONTEKS KLIEN</w:t>
      </w:r>
    </w:p>
    <w:p>
      <w:pPr>
        <w:pStyle w:val="Heading2"/>
      </w:pPr>
      <w:r>
        <w:rPr>
          <w:rFonts w:ascii="Arial" w:hAnsi="Arial"/>
          <w:b/>
          <w:color w:val="003366"/>
        </w:rPr>
        <w:t>1.1 Latar Belakang Organisasi Klien</w:t>
      </w:r>
    </w:p>
    <w:p>
      <w:r>
        <w:rPr>
          <w:b w:val="0"/>
          <w:i w:val="0"/>
        </w:rPr>
        <w:t>Bank Mandiri, sebagai bank komersial terbesar di Indonesia, telah mengukir posisi strategis dalam ekosistem keuangan digital. Pada kuartal terakhir 2025, Livin' Superapp mencatat</w:t>
      </w:r>
      <w:r>
        <w:rPr>
          <w:b/>
          <w:i w:val="0"/>
        </w:rPr>
        <w:t xml:space="preserve"> Monthly Active Users (MAU) sebesar 10 Juta</w:t>
      </w:r>
      <w:r>
        <w:rPr>
          <w:b w:val="0"/>
          <w:i w:val="0"/>
        </w:rPr>
        <w:t>, jauh di bawah ambisi pertumbuhan</w:t>
      </w:r>
      <w:r>
        <w:rPr>
          <w:b/>
          <w:i w:val="0"/>
        </w:rPr>
        <w:t xml:space="preserve"> 20 Juta MAU</w:t>
      </w:r>
      <w:r>
        <w:rPr>
          <w:b w:val="0"/>
          <w:i w:val="0"/>
        </w:rPr>
        <w:t xml:space="preserve"> yang ditetapkan dalam rencana strategis 2026 (Data Internal, 2026). Meskipun fitur inti telah mencapai parity dengan pesaing digital‑bank (Jago, SeaBank),</w:t>
      </w:r>
      <w:r>
        <w:rPr>
          <w:b/>
          <w:i w:val="0"/>
        </w:rPr>
        <w:t xml:space="preserve"> engagement</w:t>
      </w:r>
      <w:r>
        <w:rPr>
          <w:b w:val="0"/>
          <w:i w:val="0"/>
        </w:rPr>
        <w:t xml:space="preserve"> dan</w:t>
      </w:r>
      <w:r>
        <w:rPr>
          <w:b/>
          <w:i w:val="0"/>
        </w:rPr>
        <w:t xml:space="preserve"> adopsi layanan premium</w:t>
      </w:r>
      <w:r>
        <w:rPr>
          <w:b w:val="0"/>
          <w:i w:val="0"/>
        </w:rPr>
        <w:t xml:space="preserve"> masih stagnan, yang tercermin dari rasio konversi MAU → premium hanya 3 % dibandingkan standar industri 7‑10 %.</w:t>
      </w:r>
    </w:p>
    <w:p>
      <w:r>
        <w:rPr>
          <w:b w:val="0"/>
          <w:i w:val="0"/>
        </w:rPr>
        <w:t>Secara eksternal, kompetisi digital semakin intensif: dua digital‑bank baru berhasil meningkatkan MAU masing‑masing sebesar 30 % dalam 12 bulan melalui arsitektur micro‑services yang</w:t>
      </w:r>
      <w:r>
        <w:rPr>
          <w:b/>
          <w:i w:val="0"/>
        </w:rPr>
        <w:t xml:space="preserve"> scalable</w:t>
      </w:r>
      <w:r>
        <w:rPr>
          <w:b w:val="0"/>
          <w:i w:val="0"/>
        </w:rPr>
        <w:t xml:space="preserve"> dan</w:t>
      </w:r>
      <w:r>
        <w:rPr>
          <w:b/>
          <w:i w:val="0"/>
        </w:rPr>
        <w:t xml:space="preserve"> CI/CD</w:t>
      </w:r>
      <w:r>
        <w:rPr>
          <w:b w:val="0"/>
          <w:i w:val="0"/>
        </w:rPr>
        <w:t xml:space="preserve"> yang terotomatisasi. Bank Mandiri masih mengandalkan arsitektur monolitik legacy pada core banking, sehingga</w:t>
      </w:r>
      <w:r>
        <w:rPr>
          <w:b/>
          <w:i w:val="0"/>
        </w:rPr>
        <w:t xml:space="preserve"> downtime</w:t>
      </w:r>
      <w:r>
        <w:rPr>
          <w:b w:val="0"/>
          <w:i w:val="0"/>
        </w:rPr>
        <w:t xml:space="preserve"> pada jam sibuk meningkat 1,8 % pada Q4‑2025, menimbulkan risiko reputasi yang signifikan (Data Internal, 2026).</w:t>
      </w:r>
    </w:p>
    <w:p>
      <w:r>
        <w:rPr>
          <w:b w:val="0"/>
          <w:i w:val="0"/>
        </w:rPr>
        <w:t>Regulasi POJK No. 4/POJK.05/2021 menuntut</w:t>
      </w:r>
      <w:r>
        <w:rPr>
          <w:b/>
          <w:i w:val="0"/>
        </w:rPr>
        <w:t xml:space="preserve"> ketersediaan layanan 99,5 %</w:t>
      </w:r>
      <w:r>
        <w:rPr>
          <w:b w:val="0"/>
          <w:i w:val="0"/>
        </w:rPr>
        <w:t xml:space="preserve"> dan</w:t>
      </w:r>
      <w:r>
        <w:rPr>
          <w:b/>
          <w:i w:val="0"/>
        </w:rPr>
        <w:t xml:space="preserve"> pelaporan insiden keamanan</w:t>
      </w:r>
      <w:r>
        <w:rPr>
          <w:b w:val="0"/>
          <w:i w:val="0"/>
        </w:rPr>
        <w:t xml:space="preserve"> dalam 24 jam. Kesesuaian dengan ISO 27001 dan ITIL v4 menjadi prasyarat untuk memperoleh persetujuan proyek modernisasi arsitektur. Karena data regulasi terbatas, kami mengasumsikan bahwa</w:t>
      </w:r>
      <w:r>
        <w:rPr>
          <w:b/>
          <w:i w:val="0"/>
        </w:rPr>
        <w:t xml:space="preserve"> kepatuhan penuh</w:t>
      </w:r>
      <w:r>
        <w:rPr>
          <w:b w:val="0"/>
          <w:i w:val="0"/>
        </w:rPr>
        <w:t xml:space="preserve"> dapat dicapai dengan integrasi kontrol keamanan pada pipeline DevSecOps.</w:t>
      </w:r>
    </w:p>
    <w:p>
      <w:r>
        <w:rPr>
          <w:b w:val="0"/>
          <w:i w:val="0"/>
        </w:rPr>
        <w:t>Faktor internal lain yang memperkuat kebutuhan konsultasi:</w:t>
      </w:r>
    </w:p>
    <w:p>
      <w:pPr>
        <w:spacing w:before="0" w:after="80"/>
        <w:ind w:left="357" w:hanging="215"/>
      </w:pPr>
      <w:r>
        <w:rPr>
          <w:b/>
        </w:rPr>
        <w:t>1.</w:t>
        <w:tab/>
      </w:r>
      <w:r>
        <w:rPr>
          <w:b/>
          <w:i w:val="0"/>
        </w:rPr>
        <w:t>Budget terbatas</w:t>
      </w:r>
      <w:r>
        <w:rPr>
          <w:b w:val="0"/>
          <w:i w:val="0"/>
        </w:rPr>
        <w:t xml:space="preserve"> – alokasi $8 Juta untuk fase 1 (design‑to‑go‑live) menuntut prioritas pada inisiatif yang memberikan ROI tercepat (Data Internal, 2026).</w:t>
      </w:r>
    </w:p>
    <w:p>
      <w:pPr>
        <w:spacing w:before="0" w:after="80"/>
        <w:ind w:left="357" w:hanging="215"/>
      </w:pPr>
      <w:r>
        <w:rPr>
          <w:b/>
        </w:rPr>
        <w:t>2.</w:t>
        <w:tab/>
      </w:r>
      <w:r>
        <w:rPr>
          <w:b/>
          <w:i w:val="0"/>
        </w:rPr>
        <w:t>Risiko operasional</w:t>
      </w:r>
      <w:r>
        <w:rPr>
          <w:b w:val="0"/>
          <w:i w:val="0"/>
        </w:rPr>
        <w:t xml:space="preserve"> – potensi downtime selama migrasi dapat menurunkan kepercayaan nasabah, terutama pada segmen premium yang sensitif terhadap layanan real‑time.</w:t>
      </w:r>
    </w:p>
    <w:p>
      <w:pPr>
        <w:spacing w:before="0" w:after="80"/>
        <w:ind w:left="357" w:hanging="215"/>
      </w:pPr>
      <w:r>
        <w:rPr>
          <w:b/>
        </w:rPr>
        <w:t>3.</w:t>
        <w:tab/>
      </w:r>
      <w:r>
        <w:rPr>
          <w:b/>
          <w:i w:val="0"/>
        </w:rPr>
        <w:t>Keterbatasan sumber daya TI</w:t>
      </w:r>
      <w:r>
        <w:rPr>
          <w:b w:val="0"/>
          <w:i w:val="0"/>
        </w:rPr>
        <w:t xml:space="preserve"> – tim internal mengalami beban kerja &gt;80 % pada pemeliharaan legacy, sehingga kurang tersedia untuk inovasi.</w:t>
      </w:r>
    </w:p>
    <w:p>
      <w:r>
        <w:rPr>
          <w:b w:val="0"/>
          <w:i w:val="0"/>
        </w:rPr>
        <w:t>Berikut ringkasan gap KPI utama dan implikasinya: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 w:val="0"/>
                <w:i w:val="0"/>
              </w:rPr>
              <w:t>KPI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Baseline (2025)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Target 2026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Gap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Dampak Bisnis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  <w:i w:val="0"/>
              </w:rPr>
              <w:t>MAU (juta)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20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+10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Peningkatan pendapatan digital +15 %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  <w:i w:val="0"/>
              </w:rPr>
              <w:t>Konversi premium (%)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7‑10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+4‑7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Nilai rata‑rata nasabah naik 12 %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  <w:i w:val="0"/>
              </w:rPr>
              <w:t>Availability (%)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98,2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≥99,5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+1,3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Mengurangi penalti regulasi &amp; churn nasabah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  <w:i w:val="0"/>
              </w:rPr>
              <w:t>Incident response (jam)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48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≤24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-24</w:t>
            </w:r>
          </w:p>
        </w:tc>
        <w:tc>
          <w:tcPr>
            <w:tcW w:type="dxa" w:w="1872"/>
          </w:tcPr>
          <w:p>
            <w:r>
              <w:rPr>
                <w:b w:val="0"/>
                <w:i w:val="0"/>
              </w:rPr>
              <w:t>Memenuhi POJK, menurunkan risiko reputasi</w:t>
            </w:r>
          </w:p>
        </w:tc>
      </w:tr>
    </w:tbl>
    <w:p>
      <w:r>
        <w:rPr>
          <w:b w:val="0"/>
          <w:i w:val="0"/>
        </w:rPr>
        <w:t>Konteks ini menegaskan bahwa</w:t>
      </w:r>
      <w:r>
        <w:rPr>
          <w:b/>
          <w:i w:val="0"/>
        </w:rPr>
        <w:t xml:space="preserve"> modernisasi arsitektur</w:t>
      </w:r>
      <w:r>
        <w:rPr>
          <w:b w:val="0"/>
          <w:i w:val="0"/>
        </w:rPr>
        <w:t xml:space="preserve"> dan</w:t>
      </w:r>
      <w:r>
        <w:rPr>
          <w:b/>
          <w:i w:val="0"/>
        </w:rPr>
        <w:t xml:space="preserve"> peningkatan tata kelola delivery</w:t>
      </w:r>
      <w:r>
        <w:rPr>
          <w:b w:val="0"/>
          <w:i w:val="0"/>
        </w:rPr>
        <w:t xml:space="preserve"> adalah prasyarat untuk mengatasi stagnasi MAU, menurunkan downtime, dan memenuhi ekspektasi regulator serta pasar.</w:t>
      </w:r>
    </w:p>
    <w:p>
      <w:pPr>
        <w:pStyle w:val="Heading2"/>
      </w:pPr>
      <w:r>
        <w:rPr>
          <w:rFonts w:ascii="Arial" w:hAnsi="Arial"/>
          <w:b/>
          <w:color w:val="003366"/>
        </w:rPr>
        <w:t>1.2 Alasan Permintaan Jasa Konsultasi</w:t>
      </w:r>
    </w:p>
    <w:p>
      <w:r>
        <w:rPr>
          <w:b w:val="0"/>
          <w:i w:val="0"/>
        </w:rPr>
        <w:t>Bank Mandiri mengajukan permintaan jasa konsultasi karena:</w:t>
      </w:r>
    </w:p>
    <w:p>
      <w:pPr>
        <w:spacing w:before="0" w:after="80"/>
        <w:ind w:left="357" w:hanging="215"/>
      </w:pPr>
      <w:r>
        <w:rPr>
          <w:b/>
        </w:rPr>
        <w:t>1.</w:t>
        <w:tab/>
      </w:r>
      <w:r>
        <w:rPr>
          <w:b/>
          <w:i w:val="0"/>
        </w:rPr>
        <w:t>Kebutuhan keahlian khusus</w:t>
      </w:r>
      <w:r>
        <w:rPr>
          <w:b w:val="0"/>
          <w:i w:val="0"/>
        </w:rPr>
        <w:t xml:space="preserve"> – Transformasi dari monolit ke micro‑services, implementasi CI/CD, dan integrasi keamanan DevSecOps memerlukan kompetensi yang belum dimiliki secara internal.</w:t>
      </w:r>
    </w:p>
    <w:p>
      <w:pPr>
        <w:spacing w:before="0" w:after="80"/>
        <w:ind w:left="357" w:hanging="215"/>
      </w:pPr>
      <w:r>
        <w:rPr>
          <w:b/>
        </w:rPr>
        <w:t>2.</w:t>
        <w:tab/>
      </w:r>
      <w:r>
        <w:rPr>
          <w:b/>
          <w:i w:val="0"/>
        </w:rPr>
        <w:t>Kepastian metodologi</w:t>
      </w:r>
      <w:r>
        <w:rPr>
          <w:b w:val="0"/>
          <w:i w:val="0"/>
        </w:rPr>
        <w:t xml:space="preserve"> – Pendekatan</w:t>
      </w:r>
      <w:r>
        <w:rPr>
          <w:b w:val="0"/>
          <w:i/>
        </w:rPr>
        <w:t xml:space="preserve"> Design‑to‑Go‑Live</w:t>
      </w:r>
      <w:r>
        <w:rPr>
          <w:b w:val="0"/>
          <w:i w:val="0"/>
        </w:rPr>
        <w:t xml:space="preserve"> yang terstruktur memberikan jalur yang jelas dari perancangan arsitektur hingga produksi, meminimalkan risiko downtime selama cut‑over.</w:t>
      </w:r>
    </w:p>
    <w:p>
      <w:pPr>
        <w:spacing w:before="0" w:after="80"/>
        <w:ind w:left="357" w:hanging="215"/>
      </w:pPr>
      <w:r>
        <w:rPr>
          <w:b/>
        </w:rPr>
        <w:t>3.</w:t>
        <w:tab/>
      </w:r>
      <w:r>
        <w:rPr>
          <w:b/>
          <w:i w:val="0"/>
        </w:rPr>
        <w:t>Pengelolaan risiko</w:t>
      </w:r>
      <w:r>
        <w:rPr>
          <w:b w:val="0"/>
          <w:i w:val="0"/>
        </w:rPr>
        <w:t xml:space="preserve"> – Konsultan akan menyusun</w:t>
      </w:r>
      <w:r>
        <w:rPr>
          <w:b w:val="0"/>
          <w:i/>
        </w:rPr>
        <w:t xml:space="preserve"> risk‑mitigation matrix</w:t>
      </w:r>
      <w:r>
        <w:rPr>
          <w:b w:val="0"/>
          <w:i w:val="0"/>
        </w:rPr>
        <w:t xml:space="preserve"> yang mencakup skenario kegagalan migrasi, fallback plan, dan SLA monitoring, sehingga eksposur reputasi dapat dikendalikan.</w:t>
      </w:r>
    </w:p>
    <w:p>
      <w:r>
        <w:rPr>
          <w:b w:val="0"/>
          <w:i w:val="0"/>
        </w:rPr>
        <w:t>Langkah‑langkah utama yang akan dijalankan oleh tim Inixindo Jogja:</w:t>
      </w:r>
    </w:p>
    <w:p>
      <w:pPr>
        <w:spacing w:before="0" w:after="80"/>
        <w:ind w:left="357" w:hanging="215"/>
      </w:pPr>
      <w:r>
        <w:rPr>
          <w:b/>
        </w:rPr>
        <w:t>1.</w:t>
        <w:tab/>
      </w:r>
      <w:r>
        <w:rPr>
          <w:b/>
          <w:i w:val="0"/>
        </w:rPr>
        <w:t>Assessment &amp; Blueprint</w:t>
      </w:r>
      <w:r>
        <w:rPr>
          <w:b w:val="0"/>
          <w:i w:val="0"/>
        </w:rPr>
        <w:t xml:space="preserve"> – Analisis arsitektur eksisting, identifikasi bottleneck, dan penyusunan blueprint target (micro‑services, API‑gateway, data‑mesh).</w:t>
      </w:r>
    </w:p>
    <w:p>
      <w:pPr>
        <w:spacing w:before="0" w:after="80"/>
        <w:ind w:left="357" w:hanging="215"/>
      </w:pPr>
      <w:r>
        <w:rPr>
          <w:b/>
        </w:rPr>
        <w:t>2.</w:t>
        <w:tab/>
      </w:r>
      <w:r>
        <w:rPr>
          <w:b/>
          <w:i w:val="0"/>
        </w:rPr>
        <w:t>Governance Setup</w:t>
      </w:r>
      <w:r>
        <w:rPr>
          <w:b w:val="0"/>
          <w:i w:val="0"/>
        </w:rPr>
        <w:t xml:space="preserve"> – Pembentukan kerangka tata kelola delivery (ITIL v4, DevSecOps) termasuk definisi role, RACI, dan KPI operasional.</w:t>
      </w:r>
    </w:p>
    <w:p>
      <w:pPr>
        <w:spacing w:before="0" w:after="80"/>
        <w:ind w:left="357" w:hanging="215"/>
      </w:pPr>
      <w:r>
        <w:rPr>
          <w:b/>
        </w:rPr>
        <w:t>3.</w:t>
        <w:tab/>
      </w:r>
      <w:r>
        <w:rPr>
          <w:b/>
          <w:i w:val="0"/>
        </w:rPr>
        <w:t>Pilot Implementation</w:t>
      </w:r>
      <w:r>
        <w:rPr>
          <w:b w:val="0"/>
          <w:i w:val="0"/>
        </w:rPr>
        <w:t xml:space="preserve"> – Migrasi modul non‑kritikal (mis. fitur edukasi keuangan) ke lingkungan cloud, uji beban, dan validasi SLA.</w:t>
      </w:r>
    </w:p>
    <w:p>
      <w:r>
        <w:rPr>
          <w:b w:val="0"/>
          <w:i w:val="0"/>
        </w:rPr>
        <w:t>Setiap fase akan menghasilkan deliverable yang dapat diukur:</w:t>
      </w:r>
    </w:p>
    <w:p>
      <w:pPr>
        <w:spacing w:before="0" w:after="80"/>
        <w:ind w:left="357" w:hanging="215"/>
      </w:pPr>
      <w:r>
        <w:rPr>
          <w:b/>
        </w:rPr>
        <w:t>•</w:t>
        <w:tab/>
      </w:r>
      <w:r>
        <w:rPr>
          <w:b/>
          <w:i w:val="0"/>
        </w:rPr>
        <w:t>Arsitektur Blueprint</w:t>
      </w:r>
      <w:r>
        <w:rPr>
          <w:b w:val="0"/>
          <w:i w:val="0"/>
        </w:rPr>
        <w:t xml:space="preserve"> (dokumen 30 halaman) – mencakup diagram konteks, data flow, dan roadmap migrasi.</w:t>
      </w:r>
    </w:p>
    <w:p>
      <w:pPr>
        <w:spacing w:before="0" w:after="80"/>
        <w:ind w:left="357" w:hanging="215"/>
      </w:pPr>
      <w:r>
        <w:rPr>
          <w:b/>
        </w:rPr>
        <w:t>•</w:t>
        <w:tab/>
      </w:r>
      <w:r>
        <w:rPr>
          <w:b/>
          <w:i w:val="0"/>
        </w:rPr>
        <w:t>Governance Playbook</w:t>
      </w:r>
      <w:r>
        <w:rPr>
          <w:b w:val="0"/>
          <w:i w:val="0"/>
        </w:rPr>
        <w:t xml:space="preserve"> – SOP CI/CD, kontrol keamanan, dan metrik monitoring.</w:t>
      </w:r>
    </w:p>
    <w:p>
      <w:pPr>
        <w:spacing w:before="0" w:after="80"/>
        <w:ind w:left="357" w:hanging="215"/>
      </w:pPr>
      <w:r>
        <w:rPr>
          <w:b/>
        </w:rPr>
        <w:t>•</w:t>
        <w:tab/>
      </w:r>
      <w:r>
        <w:rPr>
          <w:b/>
          <w:i w:val="0"/>
        </w:rPr>
        <w:t>Pilot Release Report</w:t>
      </w:r>
      <w:r>
        <w:rPr>
          <w:b w:val="0"/>
          <w:i w:val="0"/>
        </w:rPr>
        <w:t xml:space="preserve"> – hasil uji performa, analisis downtime, dan rekomendasi scaling.</w:t>
      </w:r>
    </w:p>
    <w:p>
      <w:r>
        <w:rPr>
          <w:b w:val="0"/>
          <w:i w:val="0"/>
        </w:rPr>
        <w:t>Dengan alokasi anggaran $8 Juta, estimasi</w:t>
      </w:r>
      <w:r>
        <w:rPr>
          <w:b/>
          <w:i w:val="0"/>
        </w:rPr>
        <w:t xml:space="preserve"> ROI</w:t>
      </w:r>
      <w:r>
        <w:rPr>
          <w:b w:val="0"/>
          <w:i w:val="0"/>
        </w:rPr>
        <w:t xml:space="preserve"> tercapai dalam 18 bulan melalui peningkatan MAU sebesar 10 Juta (nilai tambahan ≈ USD 12 Juta) dan pengurangan biaya downtime sebesar 30 %. Konsultasi ini juga memastikan kepatuhan regulasi, memperkuat posisi kompetitif, serta memberikan fondasi teknologi yang dapat mendukung inovasi layanan ke depan.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60"/>
      <w:jc w:val="lef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