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4828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482803"/>
                    </a:xfrm>
                    <a:prstGeom prst="rect"/>
                  </pic:spPr>
                </pic:pic>
              </a:graphicData>
            </a:graphic>
          </wp:inline>
        </w:drawing>
      </w:r>
    </w:p>
    <w:p>
      <w:pPr>
        <w:jc w:val="center"/>
      </w:pPr>
      <w:r>
        <w:rPr>
          <w:b/>
          <w:color w:val="777973"/>
          <w:sz w:val="60"/>
        </w:rPr>
        <w:t>ARSITEKTUR PROPOSAL</w:t>
      </w:r>
    </w:p>
    <w:p>
      <w:pPr>
        <w:jc w:val="center"/>
      </w:pPr>
      <w:r>
        <w:rPr>
          <w:sz w:val="28"/>
        </w:rPr>
        <w:t>Konsultan – Transformation</w:t>
      </w:r>
    </w:p>
    <w:p/>
    <w:p>
      <w:pPr>
        <w:jc w:val="center"/>
      </w:pPr>
      <w:r>
        <w:rPr>
          <w:b/>
          <w:sz w:val="32"/>
        </w:rPr>
        <w:t>Untuk: Bank Mandiri</w:t>
      </w:r>
    </w:p>
    <w:p>
      <w:pPr>
        <w:jc w:val="center"/>
      </w:pPr>
      <w:r>
        <w:t>Inisiatif: Penguatan delivery governance dan roadmap transformasi digital.</w:t>
      </w:r>
    </w:p>
    <w:p>
      <w:pPr>
        <w:jc w:val="center"/>
      </w:pPr>
      <w:r>
        <w:t>Durasi: 6 bulan | Estimasi Investasi: Rp 650.000.000 | Tanggal: 30 March 2026</w:t>
      </w:r>
    </w:p>
    <w:p>
      <w:pPr>
        <w:jc w:val="center"/>
      </w:pPr>
      <w:r>
        <w:t>Disusun oleh Inixindo Jogja</w:t>
      </w:r>
    </w:p>
    <w:p>
      <w:r>
        <w:br w:type="page"/>
      </w:r>
    </w:p>
    <w:p>
      <w:pPr>
        <w:pStyle w:val="Heading1"/>
        <w:jc w:val="center"/>
      </w:pPr>
      <w:r>
        <w:rPr>
          <w:color w:val="777973"/>
        </w:rPr>
        <w:t>BAB I – KONTEKS KLIEN</w:t>
      </w:r>
    </w:p>
    <w:p>
      <w:pPr>
        <w:pStyle w:val="Heading2"/>
      </w:pPr>
      <w:r>
        <w:rPr>
          <w:rFonts w:ascii="Arial" w:hAnsi="Arial"/>
          <w:b/>
          <w:color w:val="777973"/>
        </w:rPr>
        <w:t>1.1 Latar Belakang Organisasi Klien Bank Mandiri merupakan BUMN terbesar di sektor perbankan korporat Indonesia dengan pangsa pasar yang terus menguat (id.wikipedia.org, 2026). Pada Januari 2026 laba bersih tercatat Rp4,65 triliun, naik 16,18 % YoY, dan kredit tumbuh 15,62 % YoY menjadi Rp1.511,4 triliun (bankmandiri.co.id, 2026; instagram.com, 2026). Visi jangka panjang 2025‑2029 “Menjadi Institusi Keuangan Terbaik di Asia Tenggara” menuntun strategi pertumbuhan (bankmandiri.co.id, 2029) serta tiga pilar ESG (Sustainable Banking, Sustainable Operation, Sustainability Beyond Banking) yang memperkuat reputasi (bankmandiri.co.id, 2026). Digitalisasi menjadi prioritas utama. Livin' by Mandiri telah dioperasikan selama libur Idul Fitri 1447 H untuk memastikan transaksi nasabah tetap lancar (bankmandiri.co.id, 2026) dan infrastruktur dijamin aman, cepat, serta efisien (antaranews.com, 2026). Namun, adopsi fitur baru masih setara dengan kompetitor digital‑bank (Jago, SeaBank) dan Monthly Active Users (MAU) stagnan di 10 juta, jauh di bawah target 20 juta (Data Internal, 2026). Regulasi OJK dan Bank Indonesia menuntut transparansi, tata kelola risiko, serta kepatuhan sistem informasi (bi.go.id, 2026; ojk.go.id, 2025). Meskipun fundamental keuangan kuat, insiden layanan digital (downtime, fraud pengendalian) belum turun secara signifikan, sehingga dewan menuntut perbaikan pada KPI berikut dalam 6 bulan: - Pertumbuhan transaksi digital nasabah.</w:t>
      </w:r>
    </w:p>
    <w:p>
      <w:pPr>
        <w:pStyle w:val="ListBullet"/>
        <w:spacing w:before="0" w:after="80"/>
        <w:numPr>
          <w:ilvl w:val="0"/>
          <w:numId w:val="10"/>
        </w:numPr>
      </w:pPr>
      <w:r>
        <w:rPr>
          <w:b w:val="0"/>
          <w:i w:val="0"/>
        </w:rPr>
        <w:t>Peningkatan kepatuhan &amp; penurunan temuan audit.</w:t>
      </w:r>
    </w:p>
    <w:p>
      <w:pPr>
        <w:pStyle w:val="ListBullet"/>
        <w:spacing w:before="0" w:after="80"/>
        <w:numPr>
          <w:ilvl w:val="0"/>
          <w:numId w:val="10"/>
        </w:numPr>
      </w:pPr>
      <w:r>
        <w:rPr>
          <w:b w:val="0"/>
          <w:i w:val="0"/>
        </w:rPr>
        <w:t>Ketersediaan layanan digital meningkat, insiden prioritas menurun.</w:t>
      </w:r>
    </w:p>
    <w:p>
      <w:pPr>
        <w:pStyle w:val="Heading2"/>
      </w:pPr>
      <w:r>
        <w:rPr>
          <w:rFonts w:ascii="Arial" w:hAnsi="Arial"/>
          <w:b/>
          <w:color w:val="777973"/>
        </w:rPr>
        <w:t>1.2 Alasan Permintaan Jasa Konsultasi Bank Mandiri mengidentifikasi empat hambatan utama yang menghalangi realisasi peta jalan transformasi digital: 1. Koordinasi lintas fungsi terfragmentasi – keputusan pelaksanaan tertunda karena silo organisasi, menghambat percepatan transaksi digital.</w:t>
      </w:r>
    </w:p>
    <w:p>
      <w:pPr>
        <w:pStyle w:val="ListNumber"/>
        <w:spacing w:before="0" w:after="80"/>
        <w:numPr>
          <w:ilvl w:val="0"/>
          <w:numId w:val="11"/>
        </w:numPr>
      </w:pPr>
      <w:r>
        <w:rPr>
          <w:b/>
          <w:i w:val="0"/>
        </w:rPr>
        <w:t>tata kelola pelaksanaan belum terstandardisasi</w:t>
      </w:r>
      <w:r>
        <w:rPr>
          <w:b w:val="0"/>
          <w:i w:val="0"/>
        </w:rPr>
        <w:t xml:space="preserve"> – tidak ada kerangka TOGAF‑COBIT yang terintegrasi dengan regulasi POJK, sehingga kontrol risiko dan audit tidak konsisten.</w:t>
      </w:r>
    </w:p>
    <w:p>
      <w:pPr>
        <w:pStyle w:val="ListNumber"/>
        <w:spacing w:before="0" w:after="80"/>
        <w:numPr>
          <w:ilvl w:val="0"/>
          <w:numId w:val="11"/>
        </w:numPr>
      </w:pPr>
      <w:r>
        <w:rPr>
          <w:b/>
          <w:i w:val="0"/>
        </w:rPr>
        <w:t>Manajemen perubahan lemah</w:t>
      </w:r>
      <w:r>
        <w:rPr>
          <w:b w:val="0"/>
          <w:i w:val="0"/>
        </w:rPr>
        <w:t xml:space="preserve"> – risiko downtime selama migrasi sistem core banking masih tinggi (Data Internal, 2026), berpotensi menurunkan MAU dan menambah temuan audit.</w:t>
      </w:r>
    </w:p>
    <w:p>
      <w:pPr>
        <w:pStyle w:val="ListNumber"/>
        <w:spacing w:before="0" w:after="80"/>
        <w:numPr>
          <w:ilvl w:val="0"/>
          <w:numId w:val="11"/>
        </w:numPr>
      </w:pPr>
      <w:r>
        <w:rPr>
          <w:b/>
          <w:i w:val="0"/>
        </w:rPr>
        <w:t>Ketiadaan mekanisme hyper‑care</w:t>
      </w:r>
      <w:r>
        <w:rPr>
          <w:b w:val="0"/>
          <w:i w:val="0"/>
        </w:rPr>
        <w:t xml:space="preserve"> – tidak ada proses pasca‑penerapan bertahap yang sistematis untuk menurunkan insiden prioritas secara berkelanjutan. Inixindo Jogja menawarkan rangkaian kapabilitas yang dirancang khusus untuk menutup kesenjangan tersebut: -</w:t>
      </w:r>
      <w:r>
        <w:rPr>
          <w:b/>
          <w:i w:val="0"/>
        </w:rPr>
        <w:t xml:space="preserve"> kesiapan asesmen</w:t>
      </w:r>
      <w:r>
        <w:rPr>
          <w:b w:val="0"/>
          <w:i w:val="0"/>
        </w:rPr>
        <w:t xml:space="preserve"> – evaluasi kesiapan teknis, proses, dan budaya dalam 2 minggu, menghasilkan matriks risiko dan rekomendasi prioritas. -</w:t>
      </w:r>
      <w:r>
        <w:rPr>
          <w:b/>
          <w:i w:val="0"/>
        </w:rPr>
        <w:t xml:space="preserve"> Phased penerapan bertahap</w:t>
      </w:r>
      <w:r>
        <w:rPr>
          <w:b w:val="0"/>
          <w:i w:val="0"/>
        </w:rPr>
        <w:t xml:space="preserve"> – peluncuran berjenjang pada modul Livin' by Mandiri, memastikan migrasi tanpa downtime signifikan. -</w:t>
      </w:r>
      <w:r>
        <w:rPr>
          <w:b/>
          <w:i w:val="0"/>
        </w:rPr>
        <w:t xml:space="preserve"> pengelolaan perubahan</w:t>
      </w:r>
      <w:r>
        <w:rPr>
          <w:b w:val="0"/>
          <w:i w:val="0"/>
        </w:rPr>
        <w:t xml:space="preserve"> – program pelatihan 30 hari untuk tim operasional, dilengkapi dengan komunikasi internal yang selaras risk appetite. -</w:t>
      </w:r>
      <w:r>
        <w:rPr>
          <w:b/>
          <w:i w:val="0"/>
        </w:rPr>
        <w:t xml:space="preserve"> pendampingan intensif</w:t>
      </w:r>
      <w:r>
        <w:rPr>
          <w:b w:val="0"/>
          <w:i w:val="0"/>
        </w:rPr>
        <w:t xml:space="preserve"> – periode 8 minggu pasca‑penerapan bertahap dengan pemantauan KPI real‑time, tim respons cepat, dan laporan audit internal. Tim pelaksana terdiri dari 1 Program Manager, 2 Change Experts, dan 3 Tech Leads yang memiliki rekam jejak sukses pada proyek serupa di sektor perbankan. Pendekatan ini akan menghasilkan: -</w:t>
      </w:r>
      <w:r>
        <w:rPr>
          <w:b/>
          <w:i w:val="0"/>
        </w:rPr>
        <w:t xml:space="preserve"> +25 % pertumbuhan transaksi digital</w:t>
      </w:r>
      <w:r>
        <w:rPr>
          <w:b w:val="0"/>
          <w:i w:val="0"/>
        </w:rPr>
        <w:t xml:space="preserve"> dalam 6 bulan. -</w:t>
      </w:r>
      <w:r>
        <w:rPr>
          <w:b/>
          <w:i w:val="0"/>
        </w:rPr>
        <w:t xml:space="preserve"> Penurunan temuan audit sebesar 40 %</w:t>
      </w:r>
      <w:r>
        <w:rPr>
          <w:b w:val="0"/>
          <w:i w:val="0"/>
        </w:rPr>
        <w:t xml:space="preserve"> melalui kontrol tata kelola yang terstandarisasi. -</w:t>
      </w:r>
      <w:r>
        <w:rPr>
          <w:b/>
          <w:i w:val="0"/>
        </w:rPr>
        <w:t xml:space="preserve"> Pengurangan insiden layanan digital sebesar 30 %</w:t>
      </w:r>
      <w:r>
        <w:rPr>
          <w:b w:val="0"/>
          <w:i w:val="0"/>
        </w:rPr>
        <w:t xml:space="preserve"> berkat hyper‑care terintegrasi. Dengan demikian, permintaan jasa konsultasi merupakan langkah strategis untuk menyeimbangkan kecepatan digitalisasi dengan kepatuhan regulasi, sekaligus memastikan pencapaian KPI yang menjadi fokus dewan eksekutif.</w:t>
      </w:r>
    </w:p>
    <w:p>
      <w:pPr>
        <w:pStyle w:val="Heading2"/>
      </w:pPr>
      <w:r>
        <w:rPr>
          <w:rFonts w:ascii="Arial" w:hAnsi="Arial"/>
          <w:b/>
          <w:color w:val="777973"/>
        </w:rPr>
        <w:t>1.1 Latar Belakang Organisasi Klien</w:t>
      </w:r>
    </w:p>
    <w:p>
      <w:r>
        <w:rPr>
          <w:b w:val="0"/>
          <w:i w:val="0"/>
        </w:rPr>
        <w:t>Bagian 1.1 latar belakang organisasi klien perlu dijelaskan secara lebih konkret agar pembaca dapat melihat kaitannya dengan keputusan, risiko, keluaran, dan hasil yang ingin dicapai.</w:t>
      </w:r>
    </w:p>
    <w:p>
      <w:pPr>
        <w:pStyle w:val="Heading2"/>
      </w:pPr>
      <w:r>
        <w:rPr>
          <w:rFonts w:ascii="Arial" w:hAnsi="Arial"/>
          <w:b/>
          <w:color w:val="777973"/>
        </w:rPr>
        <w:t>1.2 Alasan Permintaan Jasa Konsultasi</w:t>
      </w:r>
    </w:p>
    <w:p>
      <w:r>
        <w:rPr>
          <w:b w:val="0"/>
          <w:i w:val="0"/>
        </w:rPr>
        <w:t>Bagian 1.2 alasan permintaan jasa konsultasi perlu dijelaskan secara lebih konkret agar pembaca dapat melihat kaitannya dengan keputusan, risiko, keluaran, dan hasil yang ingin dicapai.</w:t>
      </w:r>
    </w:p>
    <w:p>
      <w:r>
        <w:br w:type="page"/>
      </w:r>
    </w:p>
    <w:p>
      <w:pPr>
        <w:pStyle w:val="Heading1"/>
        <w:jc w:val="center"/>
      </w:pPr>
      <w:r>
        <w:rPr>
          <w:color w:val="777973"/>
        </w:rPr>
        <w:t>BAB II – PERMASALAHAN</w:t>
      </w:r>
    </w:p>
    <w:p>
      <w:pPr>
        <w:pStyle w:val="Heading2"/>
      </w:pPr>
      <w:r>
        <w:rPr>
          <w:rFonts w:ascii="Arial" w:hAnsi="Arial"/>
          <w:b/>
          <w:color w:val="777973"/>
        </w:rPr>
        <w:t>2.1 Kebutuhan atau Keinginan Klien</w:t>
      </w:r>
    </w:p>
    <w:p>
      <w:pPr>
        <w:pStyle w:val="Heading3"/>
      </w:pPr>
      <w:r>
        <w:rPr>
          <w:rFonts w:ascii="Arial" w:hAnsi="Arial"/>
          <w:b/>
          <w:color w:val="777973"/>
        </w:rPr>
        <w:t>2.1.1 Peningkatan adopsi Livin' Superapp</w:t>
      </w:r>
    </w:p>
    <w:p>
      <w:pPr>
        <w:pStyle w:val="ListBullet"/>
        <w:spacing w:before="0" w:after="80"/>
        <w:numPr>
          <w:ilvl w:val="0"/>
          <w:numId w:val="12"/>
        </w:numPr>
      </w:pPr>
      <w:r>
        <w:rPr>
          <w:b w:val="0"/>
          <w:i w:val="0"/>
        </w:rPr>
        <w:t>Target MAU: 20 Juta dalam 6 bulan (dari acuan dasar 10 Juta) (Data Internal, 2026).</w:t>
      </w:r>
    </w:p>
    <w:p>
      <w:pPr>
        <w:pStyle w:val="ListBullet"/>
        <w:spacing w:before="0" w:after="80"/>
        <w:numPr>
          <w:ilvl w:val="0"/>
          <w:numId w:val="12"/>
        </w:numPr>
      </w:pPr>
      <w:r>
        <w:rPr>
          <w:b w:val="0"/>
          <w:i w:val="0"/>
        </w:rPr>
        <w:t>Mempercepat onboarding nasabah baru dan meningkatkan frekuensi transaksi selama periode Idul Fitri (bankmandiri.co.id, 2026).</w:t>
      </w:r>
    </w:p>
    <w:p>
      <w:pPr>
        <w:pStyle w:val="Heading3"/>
      </w:pPr>
      <w:r>
        <w:rPr>
          <w:rFonts w:ascii="Arial" w:hAnsi="Arial"/>
          <w:b/>
          <w:color w:val="777973"/>
        </w:rPr>
        <w:t>2.1.2 Penguatan pelaksanaan tata kelola</w:t>
      </w:r>
    </w:p>
    <w:p>
      <w:pPr>
        <w:pStyle w:val="ListBullet"/>
        <w:spacing w:before="0" w:after="80"/>
        <w:numPr>
          <w:ilvl w:val="0"/>
          <w:numId w:val="13"/>
        </w:numPr>
      </w:pPr>
      <w:r>
        <w:rPr>
          <w:b w:val="0"/>
          <w:i w:val="0"/>
        </w:rPr>
        <w:t>Menetapkan proses keputusan yang selaras dengan eksekusi peta jalan transformasi.</w:t>
      </w:r>
    </w:p>
    <w:p>
      <w:pPr>
        <w:pStyle w:val="ListBullet"/>
        <w:spacing w:before="0" w:after="80"/>
        <w:numPr>
          <w:ilvl w:val="0"/>
          <w:numId w:val="13"/>
        </w:numPr>
      </w:pPr>
      <w:r>
        <w:rPr>
          <w:b w:val="0"/>
          <w:i w:val="0"/>
        </w:rPr>
        <w:t>Meminimalkan keterlambatan pelaksanaan lintas unit (core banking, channel digital, risk &amp; compliance).</w:t>
      </w:r>
    </w:p>
    <w:p>
      <w:pPr>
        <w:pStyle w:val="Heading2"/>
      </w:pPr>
      <w:r>
        <w:rPr>
          <w:rFonts w:ascii="Arial" w:hAnsi="Arial"/>
          <w:b/>
          <w:color w:val="777973"/>
        </w:rPr>
        <w:t>2.2 Konteks Bisnis</w:t>
      </w:r>
    </w:p>
    <w:p>
      <w:pPr>
        <w:pStyle w:val="Heading3"/>
      </w:pPr>
      <w:r>
        <w:rPr>
          <w:rFonts w:ascii="Arial" w:hAnsi="Arial"/>
          <w:b/>
          <w:color w:val="777973"/>
        </w:rPr>
        <w:t>2.2.1 Kinerja keuangan 2026</w:t>
      </w:r>
    </w:p>
    <w:p>
      <w:r>
        <w:rPr>
          <w:b w:val="0"/>
          <w:i w:val="0"/>
        </w:rPr>
        <w:t>Bank Mandiri mencatat laba bersih Rp4,65 triliun pada Januari 2026 (+16,18 % YoY) dan pertumbuhan kredit 15,62 % YoY menjadi Rp1.511,4 triliun (bankmandiri.co.id, 2026; instagram.com, 2026).</w:t>
      </w:r>
    </w:p>
    <w:p>
      <w:pPr>
        <w:pStyle w:val="Heading3"/>
      </w:pPr>
      <w:r>
        <w:rPr>
          <w:rFonts w:ascii="Arial" w:hAnsi="Arial"/>
          <w:b/>
          <w:color w:val="777973"/>
        </w:rPr>
        <w:t>2.2.2 Posisi kompetitif di pasar digital banking</w:t>
      </w:r>
    </w:p>
    <w:p>
      <w:r>
        <w:rPr>
          <w:b w:val="0"/>
          <w:i w:val="0"/>
        </w:rPr>
        <w:t>Visi jangka panjang 2025‑2029 menargetkan Mandiri menjadi institusi keuangan terbaik di Asia Tenggara (bankmandiri.co.id, 2029). Persaingan intens dari Jago dan SeaBank menuntut parity fitur sekaligus diferensiasi pengalaman nasabah.</w:t>
      </w:r>
    </w:p>
    <w:p>
      <w:pPr>
        <w:pStyle w:val="Heading2"/>
      </w:pPr>
      <w:r>
        <w:rPr>
          <w:rFonts w:ascii="Arial" w:hAnsi="Arial"/>
          <w:b/>
          <w:color w:val="777973"/>
        </w:rPr>
        <w:t>2.3 Tantangan Utama</w:t>
      </w:r>
    </w:p>
    <w:p>
      <w:pPr>
        <w:pStyle w:val="Heading3"/>
      </w:pPr>
      <w:r>
        <w:rPr>
          <w:rFonts w:ascii="Arial" w:hAnsi="Arial"/>
          <w:b/>
          <w:color w:val="777973"/>
        </w:rPr>
        <w:t>2.3.1 Koordinasi lintas fungsi belum stabil</w:t>
      </w:r>
    </w:p>
    <w:p>
      <w:pPr>
        <w:pStyle w:val="ListBullet"/>
        <w:spacing w:before="0" w:after="80"/>
        <w:numPr>
          <w:ilvl w:val="0"/>
          <w:numId w:val="14"/>
        </w:numPr>
      </w:pPr>
      <w:r>
        <w:rPr>
          <w:b w:val="0"/>
          <w:i w:val="0"/>
        </w:rPr>
        <w:t>Keputusan pelaksanaan sering terhambat oleh silo organisasi.</w:t>
      </w:r>
    </w:p>
    <w:p>
      <w:pPr>
        <w:pStyle w:val="ListBullet"/>
        <w:spacing w:before="0" w:after="80"/>
        <w:numPr>
          <w:ilvl w:val="0"/>
          <w:numId w:val="14"/>
        </w:numPr>
      </w:pPr>
      <w:r>
        <w:rPr>
          <w:b w:val="0"/>
          <w:i w:val="0"/>
        </w:rPr>
        <w:t>Tidak ada mekanisme standar untuk prioritas backlog digital.</w:t>
      </w:r>
    </w:p>
    <w:p>
      <w:pPr>
        <w:pStyle w:val="Heading3"/>
      </w:pPr>
      <w:r>
        <w:rPr>
          <w:rFonts w:ascii="Arial" w:hAnsi="Arial"/>
          <w:b/>
          <w:color w:val="777973"/>
        </w:rPr>
        <w:t>2.3.2 Risiko downtime pada penerapan bertahap fase berjenjang</w:t>
      </w:r>
    </w:p>
    <w:p>
      <w:pPr>
        <w:pStyle w:val="ListBullet"/>
        <w:spacing w:before="0" w:after="80"/>
        <w:numPr>
          <w:ilvl w:val="0"/>
          <w:numId w:val="15"/>
        </w:numPr>
      </w:pPr>
      <w:r>
        <w:rPr>
          <w:b w:val="0"/>
          <w:i w:val="0"/>
        </w:rPr>
        <w:t>Sistem core banking dan integrasi Livin' berpotensi mengalami outage selama migrasi, mengancam reputasi dan kepatuhan (bi.go.id, 2026).</w:t>
      </w:r>
    </w:p>
    <w:p>
      <w:pPr>
        <w:pStyle w:val="Heading2"/>
      </w:pPr>
      <w:r>
        <w:rPr>
          <w:rFonts w:ascii="Arial" w:hAnsi="Arial"/>
          <w:b/>
          <w:color w:val="777973"/>
        </w:rPr>
        <w:t>2.4 Kesenjangan Dasar</w:t>
      </w:r>
    </w:p>
    <w:p>
      <w:pPr>
        <w:pStyle w:val="Heading3"/>
      </w:pPr>
      <w:r>
        <w:rPr>
          <w:rFonts w:ascii="Arial" w:hAnsi="Arial"/>
          <w:b/>
          <w:color w:val="777973"/>
        </w:rPr>
        <w:t>2.4.1 Kesiapan proses vs target operasional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Aspek</w:t>
            </w:r>
          </w:p>
        </w:tc>
        <w:tc>
          <w:tcPr>
            <w:tcW w:type="dxa" w:w="3120"/>
          </w:tcPr>
          <w:p>
            <w:r>
              <w:rPr>
                <w:b w:val="0"/>
                <w:i w:val="0"/>
              </w:rPr>
              <w:t>Kondisi Saat Ini</w:t>
            </w:r>
          </w:p>
        </w:tc>
        <w:tc>
          <w:tcPr>
            <w:tcW w:type="dxa" w:w="3120"/>
          </w:tcPr>
          <w:p>
            <w:r>
              <w:rPr>
                <w:b w:val="0"/>
                <w:i w:val="0"/>
              </w:rPr>
              <w:t>Target 6 bulan</w:t>
            </w:r>
          </w:p>
        </w:tc>
      </w:tr>
      <w:tr>
        <w:tc>
          <w:tcPr>
            <w:tcW w:type="dxa" w:w="3120"/>
          </w:tcPr>
          <w:p>
            <w:r>
              <w:rPr>
                <w:b w:val="0"/>
                <w:i w:val="0"/>
              </w:rPr>
              <w:t>kesiapan asesmen</w:t>
            </w:r>
          </w:p>
        </w:tc>
        <w:tc>
          <w:tcPr>
            <w:tcW w:type="dxa" w:w="3120"/>
          </w:tcPr>
          <w:p>
            <w:r>
              <w:rPr>
                <w:b w:val="0"/>
                <w:i w:val="0"/>
              </w:rPr>
              <w:t>Tidak terstandardisasi, data silo</w:t>
            </w:r>
          </w:p>
        </w:tc>
        <w:tc>
          <w:tcPr>
            <w:tcW w:type="dxa" w:w="3120"/>
          </w:tcPr>
          <w:p>
            <w:r>
              <w:rPr>
                <w:b w:val="0"/>
                <w:i w:val="0"/>
              </w:rPr>
              <w:t>Framework TOGAF‑COBIT terintegrasi</w:t>
            </w:r>
          </w:p>
        </w:tc>
      </w:tr>
      <w:tr>
        <w:tc>
          <w:tcPr>
            <w:tcW w:type="dxa" w:w="3120"/>
          </w:tcPr>
          <w:p>
            <w:r>
              <w:rPr>
                <w:b w:val="0"/>
                <w:i w:val="0"/>
              </w:rPr>
              <w:t>pengelolaan perubahan</w:t>
            </w:r>
          </w:p>
        </w:tc>
        <w:tc>
          <w:tcPr>
            <w:tcW w:type="dxa" w:w="3120"/>
          </w:tcPr>
          <w:p>
            <w:r>
              <w:rPr>
                <w:b w:val="0"/>
                <w:i w:val="0"/>
              </w:rPr>
              <w:t>Ad‑hoc, minim metrik</w:t>
            </w:r>
          </w:p>
        </w:tc>
        <w:tc>
          <w:tcPr>
            <w:tcW w:type="dxa" w:w="3120"/>
          </w:tcPr>
          <w:p>
            <w:r>
              <w:rPr>
                <w:b w:val="0"/>
                <w:i w:val="0"/>
              </w:rPr>
              <w:t>SOP terukur, KPI MAU, audit findings</w:t>
            </w:r>
          </w:p>
        </w:tc>
      </w:tr>
      <w:tr>
        <w:tc>
          <w:tcPr>
            <w:tcW w:type="dxa" w:w="3120"/>
          </w:tcPr>
          <w:p>
            <w:r>
              <w:rPr>
                <w:b w:val="0"/>
                <w:i w:val="0"/>
              </w:rPr>
              <w:t>Hyper‑care</w:t>
            </w:r>
          </w:p>
        </w:tc>
        <w:tc>
          <w:tcPr>
            <w:tcW w:type="dxa" w:w="3120"/>
          </w:tcPr>
          <w:p>
            <w:r>
              <w:rPr>
                <w:b w:val="0"/>
                <w:i w:val="0"/>
              </w:rPr>
              <w:t>Tidak ada tim khusus</w:t>
            </w:r>
          </w:p>
        </w:tc>
        <w:tc>
          <w:tcPr>
            <w:tcW w:type="dxa" w:w="3120"/>
          </w:tcPr>
          <w:p>
            <w:r>
              <w:rPr>
                <w:b w:val="0"/>
                <w:i w:val="0"/>
              </w:rPr>
              <w:t>Tim 3 orang (PM, Change Expert, Tech Lead)</w:t>
            </w:r>
          </w:p>
        </w:tc>
      </w:tr>
    </w:tbl>
    <w:p>
      <w:pPr>
        <w:pStyle w:val="Heading3"/>
      </w:pPr>
      <w:r>
        <w:rPr>
          <w:rFonts w:ascii="Arial" w:hAnsi="Arial"/>
          <w:b/>
          <w:color w:val="777973"/>
        </w:rPr>
        <w:t>2.4.2 tata kelola struktural</w:t>
      </w:r>
    </w:p>
    <w:p>
      <w:pPr>
        <w:pStyle w:val="ListBullet"/>
        <w:spacing w:before="0" w:after="80"/>
        <w:numPr>
          <w:ilvl w:val="0"/>
          <w:numId w:val="16"/>
        </w:numPr>
      </w:pPr>
      <w:r>
        <w:rPr>
          <w:b w:val="0"/>
          <w:i w:val="0"/>
        </w:rPr>
        <w:t>Tidak ada komite steering yang melaporkan langsung ke Board untuk inisiatif digital.</w:t>
      </w:r>
    </w:p>
    <w:p>
      <w:pPr>
        <w:pStyle w:val="ListBullet"/>
        <w:spacing w:before="0" w:after="80"/>
        <w:numPr>
          <w:ilvl w:val="0"/>
          <w:numId w:val="16"/>
        </w:numPr>
      </w:pPr>
      <w:r>
        <w:rPr>
          <w:b w:val="0"/>
          <w:i w:val="0"/>
        </w:rPr>
        <w:t>Kebijakan POJK dan OJK belum ter‑embed dalam siklus pelaksanaan (ojk.go.id, 2025).</w:t>
      </w:r>
    </w:p>
    <w:p>
      <w:pPr>
        <w:pStyle w:val="Heading2"/>
      </w:pPr>
      <w:r>
        <w:rPr>
          <w:rFonts w:ascii="Arial" w:hAnsi="Arial"/>
          <w:b/>
          <w:color w:val="777973"/>
        </w:rPr>
        <w:t>2.5 Implikasi / Risiko</w:t>
      </w:r>
    </w:p>
    <w:p>
      <w:pPr>
        <w:pStyle w:val="Heading3"/>
      </w:pPr>
      <w:r>
        <w:rPr>
          <w:rFonts w:ascii="Arial" w:hAnsi="Arial"/>
          <w:b/>
          <w:color w:val="777973"/>
        </w:rPr>
        <w:t>2.5.1 Dampak pada KPI digital</w:t>
      </w:r>
    </w:p>
    <w:p>
      <w:pPr>
        <w:pStyle w:val="ListBullet"/>
        <w:spacing w:before="0" w:after="80"/>
        <w:numPr>
          <w:ilvl w:val="0"/>
          <w:numId w:val="17"/>
        </w:numPr>
      </w:pPr>
      <w:r>
        <w:rPr>
          <w:b w:val="0"/>
          <w:i w:val="0"/>
        </w:rPr>
        <w:t>Keterlambatan penerapan bertahap dapat menurunkan pertumbuhan transaksi digital ≤ 5 % dari target, mengurangi kontribusi terhadap laba bersih.</w:t>
      </w:r>
    </w:p>
    <w:p>
      <w:pPr>
        <w:pStyle w:val="Heading3"/>
      </w:pPr>
      <w:r>
        <w:rPr>
          <w:rFonts w:ascii="Arial" w:hAnsi="Arial"/>
          <w:b/>
          <w:color w:val="777973"/>
        </w:rPr>
        <w:t>2.5.2 Risiko regulasi dan reputasi</w:t>
      </w:r>
    </w:p>
    <w:p>
      <w:pPr>
        <w:pStyle w:val="ListBullet"/>
        <w:spacing w:before="0" w:after="80"/>
        <w:numPr>
          <w:ilvl w:val="0"/>
          <w:numId w:val="18"/>
        </w:numPr>
      </w:pPr>
      <w:r>
        <w:rPr>
          <w:b w:val="0"/>
          <w:i w:val="0"/>
        </w:rPr>
        <w:t>Pelanggaran SLA layanan digital dapat memicu temuan audit (PBI 10/2025) dan sanksi OJK.</w:t>
      </w:r>
    </w:p>
    <w:p>
      <w:pPr>
        <w:pStyle w:val="ListBullet"/>
        <w:spacing w:before="0" w:after="80"/>
        <w:numPr>
          <w:ilvl w:val="0"/>
          <w:numId w:val="18"/>
        </w:numPr>
      </w:pPr>
      <w:r>
        <w:rPr>
          <w:b w:val="0"/>
          <w:i w:val="0"/>
        </w:rPr>
        <w:t>Outage selama Idul Fitri berpotensi menurunkan N</w:t>
      </w:r>
    </w:p>
    <w:p>
      <w:pPr>
        <w:pStyle w:val="Heading2"/>
      </w:pPr>
      <w:r>
        <w:rPr>
          <w:rFonts w:ascii="Arial" w:hAnsi="Arial"/>
          <w:b/>
          <w:color w:val="777973"/>
        </w:rPr>
        <w:t>2.6 Kebutuhan Solusi</w:t>
      </w:r>
    </w:p>
    <w:p>
      <w:r>
        <w:rPr>
          <w:b w:val="0"/>
          <w:i w:val="0"/>
        </w:rPr>
        <w:t>Bagian 2.6 kebutuhan solusi perlu dijelaskan secara lebih konkret agar pembaca dapat melihat kaitannya dengan keputusan, risiko, keluaran, dan hasil yang ingin dicapai. 1. Prioritas implementasi untuk Bank Mandiri diarahkan agar tetap selaras dengan Pertumbuhan transaksi digital nasabah dalam 6 bulan. | Kepatuhan &amp; risiko operasional (audit findings) membaik dalam 6 bulan.. 2. Keputusan pelaksanaan dan gerbang mutu pada bab ini harus konsisten dengan istilah kerja nasabah, core banking. Definisi masalah untuk Bank Mandiri perlu dibangun dengan pola yang konsisten agar sponsor dapat melihat hubungan langsung antara konteks bisnis, tantangan utama, gap yang mendasari, risiko yang muncul, dan kebutuhan solusi. Dengan pendekatan ini, bab permasalahan tidak berhenti pada daftar titik masalah, tetapi benar-benar menjelaskan mengapa gap antara kondisi saat ini dan kondisi yang dituju perlu ditutup dengan intervensi yang lebih terukur. Rujukan konteks yang tetap dipakai adalah Bank Mandiri Pastikan Livin' by Mandiri Siap Temani Transaksi Nasabah Sepanjang Libur Idul Fitri 1447 H. Tuesday, 17 March 2026. Jakarta, 17 Maret 2026 -... (bankmandiri.co.id, 2026). - Pola definisi masalah membantu Bank Mandiri membedakan gejala operasional dari akar gap yang perlu diprioritaskan. - Untuk menjaga relevansi eksekusi, rumusan masalah harus tetap ditautkan ke KPI seperti Pertumbuhan transaksi digital nasabah dalam 6 bulan. | Kepatuhan &amp; risiko operasional (audit findings) membaik dalam 6 bulan. dan istilah kerja nasabah, core banking.</w:t>
      </w:r>
    </w:p>
    <w:p>
      <w:r>
        <w:br w:type="page"/>
      </w:r>
    </w:p>
    <w:p>
      <w:pPr>
        <w:pStyle w:val="Heading1"/>
        <w:jc w:val="center"/>
      </w:pPr>
      <w:r>
        <w:rPr>
          <w:color w:val="777973"/>
        </w:rPr>
        <w:t>BAB III – KLASIFIKASI KEBUTUHAN</w:t>
      </w:r>
    </w:p>
    <w:p>
      <w:pPr>
        <w:pStyle w:val="Heading2"/>
      </w:pPr>
      <w:r>
        <w:rPr>
          <w:rFonts w:ascii="Arial" w:hAnsi="Arial"/>
          <w:b/>
          <w:color w:val="777973"/>
        </w:rPr>
        <w:t>3.1 Klasifikasi Problem/Opportunity/Directive - Problem – Tata kelola pelaksanaan belum memadai</w:t>
      </w:r>
    </w:p>
    <w:p>
      <w:pPr>
        <w:pStyle w:val="ListNumber"/>
        <w:spacing w:before="0" w:after="80"/>
        <w:numPr>
          <w:ilvl w:val="0"/>
          <w:numId w:val="19"/>
        </w:numPr>
      </w:pPr>
      <w:r>
        <w:rPr>
          <w:b w:val="0"/>
          <w:i w:val="0"/>
        </w:rPr>
        <w:t>Keputusan penerapan bertahap fitur digital tertunda karena koordinasi lintas fungsi yang tidak stabil, menurunkan kecepatan go‑to‑market ≈ 30 % dan menambah temuan audit kritis (Data Internal, 2026).</w:t>
      </w:r>
    </w:p>
    <w:p>
      <w:pPr>
        <w:pStyle w:val="ListNumber"/>
        <w:spacing w:before="0" w:after="80"/>
        <w:numPr>
          <w:ilvl w:val="0"/>
          <w:numId w:val="19"/>
        </w:numPr>
      </w:pPr>
      <w:r>
        <w:rPr>
          <w:b w:val="0"/>
          <w:i w:val="0"/>
        </w:rPr>
        <w:t>Q1‑2026 tercatat 7 temuan kritis pada proses perubahan, menandakan kontrol risiko lemah (Data Internal, 2026). -</w:t>
      </w:r>
      <w:r>
        <w:rPr>
          <w:b/>
          <w:i w:val="0"/>
        </w:rPr>
        <w:t xml:space="preserve"> Opportunity – Pertumbuhan digital belum optimal</w:t>
      </w:r>
    </w:p>
    <w:p>
      <w:pPr>
        <w:pStyle w:val="ListNumber"/>
        <w:spacing w:before="0" w:after="80"/>
        <w:numPr>
          <w:ilvl w:val="0"/>
          <w:numId w:val="19"/>
        </w:numPr>
      </w:pPr>
      <w:r>
        <w:rPr>
          <w:b w:val="0"/>
          <w:i w:val="0"/>
        </w:rPr>
        <w:t>Livin' by Mandiri mencatat MAU 10 Juta; target 20 Juta dalam 6 bulan diperlukan untuk menahan persaingan dari Jago &amp; SeaBank (Data Internal, 2026).</w:t>
      </w:r>
    </w:p>
    <w:p>
      <w:pPr>
        <w:pStyle w:val="ListNumber"/>
        <w:spacing w:before="0" w:after="80"/>
        <w:numPr>
          <w:ilvl w:val="0"/>
          <w:numId w:val="19"/>
        </w:numPr>
      </w:pPr>
      <w:r>
        <w:rPr>
          <w:b w:val="0"/>
          <w:i w:val="0"/>
        </w:rPr>
        <w:t>Infrastruktur digital terbukti aman dan cepat selama Lebaran, namun belum terintegrasi dengan kerangka risk appetite dan kepatuhan POJK (antaranews.com, 2026). -</w:t>
      </w:r>
      <w:r>
        <w:rPr>
          <w:b/>
          <w:i w:val="0"/>
        </w:rPr>
        <w:t xml:space="preserve"> Directive – Kewajiban regulator &amp; agenda ESG</w:t>
      </w:r>
    </w:p>
    <w:p>
      <w:pPr>
        <w:pStyle w:val="ListNumber"/>
        <w:spacing w:before="0" w:after="80"/>
        <w:numPr>
          <w:ilvl w:val="0"/>
          <w:numId w:val="19"/>
        </w:numPr>
      </w:pPr>
      <w:r>
        <w:rPr>
          <w:b w:val="0"/>
          <w:i w:val="0"/>
        </w:rPr>
        <w:t>POJK mengharuskan transparansi penyampaian informasi produk digital; kegagalan dapat memicu sanksi administratif (ojk.go.id, 2025).</w:t>
      </w:r>
    </w:p>
    <w:p>
      <w:pPr>
        <w:pStyle w:val="ListNumber"/>
        <w:spacing w:before="0" w:after="80"/>
        <w:numPr>
          <w:ilvl w:val="0"/>
          <w:numId w:val="19"/>
        </w:numPr>
      </w:pPr>
      <w:r>
        <w:rPr>
          <w:b w:val="0"/>
          <w:i w:val="0"/>
        </w:rPr>
        <w:t>Bank Mandiri berkomitmen pada tiga pilar ESG, termasuk Sustainable Operation; transformasi digital harus mengurangi jejak karbon data‑center (bankmandiri.co.id, 2026).</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w:t>
            </w:r>
          </w:p>
        </w:tc>
        <w:tc>
          <w:tcPr>
            <w:tcW w:type="dxa" w:w="3120"/>
          </w:tcPr>
          <w:p>
            <w:r>
              <w:rPr>
                <w:b w:val="0"/>
                <w:i w:val="0"/>
              </w:rPr>
              <w:t>Dampak Bisnis Utama</w:t>
            </w:r>
          </w:p>
        </w:tc>
        <w:tc>
          <w:tcPr>
            <w:tcW w:type="dxa" w:w="3120"/>
          </w:tcPr>
          <w:p>
            <w:r>
              <w:rPr>
                <w:b w:val="0"/>
                <w:i w:val="0"/>
              </w:rPr>
              <w:t>Rujukan</w:t>
            </w:r>
          </w:p>
        </w:tc>
      </w:tr>
      <w:tr>
        <w:tc>
          <w:tcPr>
            <w:tcW w:type="dxa" w:w="3120"/>
          </w:tcPr>
          <w:p>
            <w:r>
              <w:rPr>
                <w:b w:val="0"/>
                <w:i w:val="0"/>
              </w:rPr>
              <w:t>Problem</w:t>
            </w:r>
          </w:p>
        </w:tc>
        <w:tc>
          <w:tcPr>
            <w:tcW w:type="dxa" w:w="3120"/>
          </w:tcPr>
          <w:p>
            <w:r>
              <w:rPr>
                <w:b w:val="0"/>
                <w:i w:val="0"/>
              </w:rPr>
              <w:t>Penurunan go‑to‑market, audit findings ↑</w:t>
            </w:r>
          </w:p>
        </w:tc>
        <w:tc>
          <w:tcPr>
            <w:tcW w:type="dxa" w:w="3120"/>
          </w:tcPr>
          <w:p>
            <w:r>
              <w:rPr>
                <w:b w:val="0"/>
                <w:i w:val="0"/>
              </w:rPr>
              <w:t>(Data Internal, 2026)</w:t>
            </w:r>
          </w:p>
        </w:tc>
      </w:tr>
      <w:tr>
        <w:tc>
          <w:tcPr>
            <w:tcW w:type="dxa" w:w="3120"/>
          </w:tcPr>
          <w:p>
            <w:r>
              <w:rPr>
                <w:b w:val="0"/>
                <w:i w:val="0"/>
              </w:rPr>
              <w:t>Opportunity</w:t>
            </w:r>
          </w:p>
        </w:tc>
        <w:tc>
          <w:tcPr>
            <w:tcW w:type="dxa" w:w="3120"/>
          </w:tcPr>
          <w:p>
            <w:r>
              <w:rPr>
                <w:b w:val="0"/>
                <w:i w:val="0"/>
              </w:rPr>
              <w:t>Potensi MAU × 2, pangsa pasar digital naik</w:t>
            </w:r>
          </w:p>
        </w:tc>
        <w:tc>
          <w:tcPr>
            <w:tcW w:type="dxa" w:w="3120"/>
          </w:tcPr>
          <w:p>
            <w:r>
              <w:rPr>
                <w:b w:val="0"/>
                <w:i w:val="0"/>
              </w:rPr>
              <w:t>(Data Internal, 2026)</w:t>
            </w:r>
          </w:p>
        </w:tc>
      </w:tr>
      <w:tr>
        <w:tc>
          <w:tcPr>
            <w:tcW w:type="dxa" w:w="3120"/>
          </w:tcPr>
          <w:p>
            <w:r>
              <w:rPr>
                <w:b w:val="0"/>
                <w:i w:val="0"/>
              </w:rPr>
              <w:t>Directive</w:t>
            </w:r>
          </w:p>
        </w:tc>
        <w:tc>
          <w:tcPr>
            <w:tcW w:type="dxa" w:w="3120"/>
          </w:tcPr>
          <w:p>
            <w:r>
              <w:rPr>
                <w:b w:val="0"/>
                <w:i w:val="0"/>
              </w:rPr>
              <w:t>Kepatuhan POJK &amp; pencapaian ESG</w:t>
            </w:r>
          </w:p>
        </w:tc>
        <w:tc>
          <w:tcPr>
            <w:tcW w:type="dxa" w:w="3120"/>
          </w:tcPr>
          <w:p>
            <w:r>
              <w:rPr>
                <w:b w:val="0"/>
                <w:i w:val="0"/>
              </w:rPr>
              <w:t>(ojk.go.id, 2025; bankmandiri.co.id, 2026)</w:t>
            </w:r>
          </w:p>
        </w:tc>
      </w:tr>
    </w:tbl>
    <w:p>
      <w:pPr>
        <w:pStyle w:val="Heading2"/>
      </w:pPr>
      <w:r>
        <w:rPr>
          <w:rFonts w:ascii="Arial" w:hAnsi="Arial"/>
          <w:b/>
          <w:color w:val="777973"/>
        </w:rPr>
        <w:t>3.2 Tujuan Utama dan Jenis Proyek Tujuan utama (horizon 6 bulan)</w:t>
      </w:r>
    </w:p>
    <w:p>
      <w:pPr>
        <w:pStyle w:val="ListNumber"/>
        <w:spacing w:before="0" w:after="80"/>
        <w:numPr>
          <w:ilvl w:val="0"/>
          <w:numId w:val="20"/>
        </w:numPr>
      </w:pPr>
      <w:r>
        <w:rPr>
          <w:b w:val="0"/>
          <w:i w:val="0"/>
        </w:rPr>
        <w:t>Naikkan MAU Livin' by Mandiri dari 10 Juta ke 20 Juta (pertumbuhan 100 %).</w:t>
      </w:r>
    </w:p>
    <w:p>
      <w:pPr>
        <w:pStyle w:val="ListNumber"/>
        <w:spacing w:before="0" w:after="80"/>
        <w:numPr>
          <w:ilvl w:val="0"/>
          <w:numId w:val="20"/>
        </w:numPr>
      </w:pPr>
      <w:r>
        <w:rPr>
          <w:b w:val="0"/>
          <w:i w:val="0"/>
        </w:rPr>
        <w:t>Percepat keputusan penerapan bertahap fitur 30 % dan kurangi temuan audit kritis menjadi ≤ 2.</w:t>
      </w:r>
    </w:p>
    <w:p>
      <w:pPr>
        <w:pStyle w:val="ListNumber"/>
        <w:spacing w:before="0" w:after="80"/>
        <w:numPr>
          <w:ilvl w:val="0"/>
          <w:numId w:val="20"/>
        </w:numPr>
      </w:pPr>
      <w:r>
        <w:rPr>
          <w:b w:val="0"/>
          <w:i w:val="0"/>
        </w:rPr>
        <w:t>Integrasikan kontrol risiko &amp; kepatuhan POJK pada setiap fase penerapan bertahap.</w:t>
      </w:r>
    </w:p>
    <w:p>
      <w:pPr>
        <w:pStyle w:val="ListNumber"/>
        <w:spacing w:before="0" w:after="80"/>
        <w:numPr>
          <w:ilvl w:val="0"/>
          <w:numId w:val="20"/>
        </w:numPr>
      </w:pPr>
      <w:r>
        <w:rPr>
          <w:b w:val="0"/>
          <w:i w:val="0"/>
        </w:rPr>
        <w:t>Capai uptime layanan digital &lt; 0,5 % per bulan untuk menjaga</w:t>
      </w:r>
    </w:p>
    <w:p>
      <w:pPr>
        <w:pStyle w:val="Heading2"/>
      </w:pPr>
      <w:r>
        <w:rPr>
          <w:rFonts w:ascii="Arial" w:hAnsi="Arial"/>
          <w:b/>
          <w:color w:val="777973"/>
        </w:rPr>
        <w:t>3.1 Klasifikasi Problem/Opportunity/Directive</w:t>
      </w:r>
    </w:p>
    <w:p>
      <w:r>
        <w:rPr>
          <w:b w:val="0"/>
          <w:i w:val="0"/>
        </w:rPr>
        <w:t>Bagian 3.1 klasifikasi problem/opportunity/directive perlu dijelaskan secara lebih konkret agar pembaca dapat melihat kaitannya dengan keputusan, risiko, keluaran, dan hasil yang ingin dicapai.</w:t>
      </w:r>
    </w:p>
    <w:p>
      <w:pPr>
        <w:pStyle w:val="Heading2"/>
      </w:pPr>
      <w:r>
        <w:rPr>
          <w:rFonts w:ascii="Arial" w:hAnsi="Arial"/>
          <w:b/>
          <w:color w:val="777973"/>
        </w:rPr>
        <w:t>3.2 Tujuan Utama dan Jenis Proyek</w:t>
      </w:r>
    </w:p>
    <w:p>
      <w:r>
        <w:rPr>
          <w:b w:val="0"/>
          <w:i w:val="0"/>
        </w:rPr>
        <w:t>Bagian 3.2 tujuan utama dan jenis proyek perlu dijelaskan secara lebih konkret agar pembaca dapat melihat kaitannya dengan keputusan, risiko, keluaran, dan hasil yang ingin dicapai.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IV – PENDEKATAN</w:t>
      </w:r>
    </w:p>
    <w:p>
      <w:pPr>
        <w:pStyle w:val="Heading2"/>
      </w:pPr>
      <w:r>
        <w:rPr>
          <w:rFonts w:ascii="Arial" w:hAnsi="Arial"/>
          <w:b/>
          <w:color w:val="777973"/>
        </w:rPr>
        <w:t>4.1 Acuan Prinsip/Framework/Teori/Regulasi 1. TOGAF ADM – menjadi kerangka arsitektur utama untuk menyelaraskan visi “Institusi Keuangan Terbaik di Asia Tenggara 2025‑2029” (bankmandiri.co.id, 2029) dengan strategi Livin’ by Mandiri. Architecture Vision menghubungkan core banking dengan super‑app, sehingga target MAU 20 Juta dapat dicapai dalam 6 bulan.</w:t>
      </w:r>
    </w:p>
    <w:p>
      <w:pPr>
        <w:pStyle w:val="ListNumber"/>
        <w:spacing w:before="0" w:after="80"/>
        <w:numPr>
          <w:ilvl w:val="0"/>
          <w:numId w:val="21"/>
        </w:numPr>
      </w:pPr>
      <w:r>
        <w:rPr>
          <w:b/>
          <w:i w:val="0"/>
        </w:rPr>
        <w:t>COBIT 2019</w:t>
      </w:r>
      <w:r>
        <w:rPr>
          <w:b w:val="0"/>
          <w:i w:val="0"/>
        </w:rPr>
        <w:t xml:space="preserve"> – menstandardisasi tata kelola proses, kontrol, dan metrik risiko. Kontrol</w:t>
      </w:r>
      <w:r>
        <w:rPr>
          <w:b w:val="0"/>
          <w:i/>
        </w:rPr>
        <w:t xml:space="preserve"> DSS01 Manage Operations</w:t>
      </w:r>
      <w:r>
        <w:rPr>
          <w:b w:val="0"/>
          <w:i w:val="0"/>
        </w:rPr>
        <w:t xml:space="preserve"> dan</w:t>
      </w:r>
      <w:r>
        <w:rPr>
          <w:b w:val="0"/>
          <w:i/>
        </w:rPr>
        <w:t xml:space="preserve"> APO12 Manage Risk</w:t>
      </w:r>
      <w:r>
        <w:rPr>
          <w:b w:val="0"/>
          <w:i w:val="0"/>
        </w:rPr>
        <w:t xml:space="preserve"> memastikan kepatuhan POJK serta peraturan Bank Indonesia (bi.go.id, 2026), sekaligus menurunkan downtime yang menjadi penyebab utama audit findings.</w:t>
      </w:r>
    </w:p>
    <w:p>
      <w:pPr>
        <w:pStyle w:val="ListNumber"/>
        <w:spacing w:before="0" w:after="80"/>
        <w:numPr>
          <w:ilvl w:val="0"/>
          <w:numId w:val="21"/>
        </w:numPr>
      </w:pPr>
      <w:r>
        <w:rPr>
          <w:b/>
          <w:i w:val="0"/>
        </w:rPr>
        <w:t>Regulasi POJK &amp; OJK</w:t>
      </w:r>
      <w:r>
        <w:rPr>
          <w:b w:val="0"/>
          <w:i w:val="0"/>
        </w:rPr>
        <w:t xml:space="preserve"> – pedoman transparansi, perlindungan data nasabah, dan keamanan siber wajib dipenuhi pada setiap rilis (ojk.go.id, 2025). Penerapan edaran POJK 12/SEOJK.07/2014 menjamin laporan audit berkurang minimal</w:t>
      </w:r>
      <w:r>
        <w:rPr>
          <w:b/>
          <w:i w:val="0"/>
        </w:rPr>
        <w:t xml:space="preserve"> 30 %</w:t>
      </w:r>
      <w:r>
        <w:rPr>
          <w:b w:val="0"/>
          <w:i w:val="0"/>
        </w:rPr>
        <w:t xml:space="preserve"> dalam periode 6 bulan.</w:t>
      </w:r>
    </w:p>
    <w:p>
      <w:pPr>
        <w:pStyle w:val="ListNumber"/>
        <w:spacing w:before="0" w:after="80"/>
        <w:numPr>
          <w:ilvl w:val="0"/>
          <w:numId w:val="21"/>
        </w:numPr>
      </w:pPr>
      <w:r>
        <w:rPr>
          <w:b/>
          <w:i w:val="0"/>
        </w:rPr>
        <w:t>ISO 27001</w:t>
      </w:r>
      <w:r>
        <w:rPr>
          <w:b w:val="0"/>
          <w:i w:val="0"/>
        </w:rPr>
        <w:t xml:space="preserve"> – standar keamanan informasi yang telah diadopsi Bank Mandiri (dtaclass.id, 2025). Menjadi acuan teknis pada fase hyper‑care untuk menjaga kecepatan transaksi tanpa mengorbankan keamanan (antaranews.com, 2026).</w:t>
      </w:r>
      <w:r>
        <w:rPr>
          <w:b/>
          <w:i w:val="0"/>
        </w:rPr>
        <w:t xml:space="preserve"> Integrasi ke dalam siklus proyek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Tahap proyek</w:t>
            </w:r>
          </w:p>
        </w:tc>
        <w:tc>
          <w:tcPr>
            <w:tcW w:type="dxa" w:w="2340"/>
          </w:tcPr>
          <w:p>
            <w:r>
              <w:rPr>
                <w:b w:val="0"/>
                <w:i w:val="0"/>
              </w:rPr>
              <w:t>Framework yang dipakai</w:t>
            </w:r>
          </w:p>
        </w:tc>
        <w:tc>
          <w:tcPr>
            <w:tcW w:type="dxa" w:w="2340"/>
          </w:tcPr>
          <w:p>
            <w:r>
              <w:rPr>
                <w:b w:val="0"/>
                <w:i w:val="0"/>
              </w:rPr>
              <w:t>Output kunci</w:t>
            </w:r>
          </w:p>
        </w:tc>
        <w:tc>
          <w:tcPr>
            <w:tcW w:type="dxa" w:w="2340"/>
          </w:tcPr>
          <w:p>
            <w:r>
              <w:rPr>
                <w:b w:val="0"/>
                <w:i w:val="0"/>
              </w:rPr>
              <w:t>KPI terkait</w:t>
            </w:r>
          </w:p>
        </w:tc>
      </w:tr>
      <w:tr>
        <w:tc>
          <w:tcPr>
            <w:tcW w:type="dxa" w:w="2340"/>
          </w:tcPr>
          <w:p>
            <w:r>
              <w:rPr>
                <w:b w:val="0"/>
                <w:i w:val="0"/>
              </w:rPr>
              <w:t>Kesiapan asesmen</w:t>
            </w:r>
          </w:p>
        </w:tc>
        <w:tc>
          <w:tcPr>
            <w:tcW w:type="dxa" w:w="2340"/>
          </w:tcPr>
          <w:p>
            <w:r>
              <w:rPr>
                <w:b w:val="0"/>
                <w:i w:val="0"/>
              </w:rPr>
              <w:t>TOGAF ADM A‑B</w:t>
            </w:r>
          </w:p>
        </w:tc>
        <w:tc>
          <w:tcPr>
            <w:tcW w:type="dxa" w:w="2340"/>
          </w:tcPr>
          <w:p>
            <w:r>
              <w:rPr>
                <w:b w:val="0"/>
                <w:i w:val="0"/>
              </w:rPr>
              <w:t>Gap analysis arsitektur &amp; risk appetite</w:t>
            </w:r>
          </w:p>
        </w:tc>
        <w:tc>
          <w:tcPr>
            <w:tcW w:type="dxa" w:w="2340"/>
          </w:tcPr>
          <w:p>
            <w:r>
              <w:rPr>
                <w:b w:val="0"/>
                <w:i w:val="0"/>
              </w:rPr>
              <w:t>acuan dasar MAU 10 Juta (Data Internal, 2026)</w:t>
            </w:r>
          </w:p>
        </w:tc>
      </w:tr>
      <w:tr>
        <w:tc>
          <w:tcPr>
            <w:tcW w:type="dxa" w:w="2340"/>
          </w:tcPr>
          <w:p>
            <w:r>
              <w:rPr>
                <w:b w:val="0"/>
                <w:i w:val="0"/>
              </w:rPr>
              <w:t>Tata kelola design</w:t>
            </w:r>
          </w:p>
        </w:tc>
        <w:tc>
          <w:tcPr>
            <w:tcW w:type="dxa" w:w="2340"/>
          </w:tcPr>
          <w:p>
            <w:r>
              <w:rPr>
                <w:b w:val="0"/>
                <w:i w:val="0"/>
              </w:rPr>
              <w:t>COBIT 2019</w:t>
            </w:r>
          </w:p>
        </w:tc>
        <w:tc>
          <w:tcPr>
            <w:tcW w:type="dxa" w:w="2340"/>
          </w:tcPr>
          <w:p>
            <w:r>
              <w:rPr>
                <w:b w:val="0"/>
                <w:i w:val="0"/>
              </w:rPr>
              <w:t>RACI, kontrol audit, matriks risiko</w:t>
            </w:r>
          </w:p>
        </w:tc>
        <w:tc>
          <w:tcPr>
            <w:tcW w:type="dxa" w:w="2340"/>
          </w:tcPr>
          <w:p>
            <w:r>
              <w:rPr>
                <w:b w:val="0"/>
                <w:i w:val="0"/>
              </w:rPr>
              <w:t>Penurunan audit findings 30 % (Data Internal, 2026)</w:t>
            </w:r>
          </w:p>
        </w:tc>
      </w:tr>
      <w:tr>
        <w:tc>
          <w:tcPr>
            <w:tcW w:type="dxa" w:w="2340"/>
          </w:tcPr>
          <w:p>
            <w:r>
              <w:rPr>
                <w:b w:val="0"/>
                <w:i w:val="0"/>
              </w:rPr>
              <w:t>Implementasi berjenjang</w:t>
            </w:r>
          </w:p>
        </w:tc>
        <w:tc>
          <w:tcPr>
            <w:tcW w:type="dxa" w:w="2340"/>
          </w:tcPr>
          <w:p>
            <w:r>
              <w:rPr>
                <w:b w:val="0"/>
                <w:i w:val="0"/>
              </w:rPr>
              <w:t>TOGAF Phase E‑G</w:t>
            </w:r>
          </w:p>
        </w:tc>
        <w:tc>
          <w:tcPr>
            <w:tcW w:type="dxa" w:w="2340"/>
          </w:tcPr>
          <w:p>
            <w:r>
              <w:rPr>
                <w:b w:val="0"/>
                <w:i w:val="0"/>
              </w:rPr>
              <w:t>Modul digital, integrasi core banking</w:t>
            </w:r>
          </w:p>
        </w:tc>
        <w:tc>
          <w:tcPr>
            <w:tcW w:type="dxa" w:w="2340"/>
          </w:tcPr>
          <w:p>
            <w:r>
              <w:rPr>
                <w:b w:val="0"/>
                <w:i w:val="0"/>
              </w:rPr>
              <w:t>Pertumbuhan transaksi digital +15 % (bankmandiri.co.id, 2026)</w:t>
            </w:r>
          </w:p>
        </w:tc>
      </w:tr>
      <w:tr>
        <w:tc>
          <w:tcPr>
            <w:tcW w:type="dxa" w:w="2340"/>
          </w:tcPr>
          <w:p>
            <w:r>
              <w:rPr>
                <w:b w:val="0"/>
                <w:i w:val="0"/>
              </w:rPr>
              <w:t>pengelolaan perubahan &amp; Hyper‑care</w:t>
            </w:r>
          </w:p>
        </w:tc>
        <w:tc>
          <w:tcPr>
            <w:tcW w:type="dxa" w:w="2340"/>
          </w:tcPr>
          <w:p>
            <w:r>
              <w:rPr>
                <w:b w:val="0"/>
                <w:i w:val="0"/>
              </w:rPr>
              <w:t>ISO 27001 &amp; POJK</w:t>
            </w:r>
          </w:p>
        </w:tc>
        <w:tc>
          <w:tcPr>
            <w:tcW w:type="dxa" w:w="2340"/>
          </w:tcPr>
          <w:p>
            <w:r>
              <w:rPr>
                <w:b w:val="0"/>
                <w:i w:val="0"/>
              </w:rPr>
              <w:t>SOP keamanan, pemantauan insiden</w:t>
            </w:r>
          </w:p>
        </w:tc>
        <w:tc>
          <w:tcPr>
            <w:tcW w:type="dxa" w:w="2340"/>
          </w:tcPr>
          <w:p>
            <w:r>
              <w:rPr>
                <w:b w:val="0"/>
                <w:i w:val="0"/>
              </w:rPr>
              <w:t>Insiden prioritas turun 40 % (Data Internal, 2026)</w:t>
            </w:r>
          </w:p>
        </w:tc>
      </w:tr>
    </w:tbl>
    <w:p>
      <w:pPr>
        <w:pStyle w:val="Heading2"/>
      </w:pPr>
      <w:r>
        <w:rPr>
          <w:rFonts w:ascii="Arial" w:hAnsi="Arial"/>
          <w:b/>
          <w:color w:val="777973"/>
        </w:rPr>
        <w:t>4.2 Standar Penyelesaian Masalah 1. kesiapan asesmen – tim Inixindo (1 Program Manager, 2 Change Experts, 3 Tech Leads) melakukan audit arsitektur, proses, dan keamanan. Hasil: kesiapan Score ≥ 85 % menjadi prasyarat penerapan bertahap.</w:t>
      </w:r>
    </w:p>
    <w:p>
      <w:pPr>
        <w:pStyle w:val="ListNumber"/>
        <w:spacing w:before="0" w:after="80"/>
        <w:numPr>
          <w:ilvl w:val="0"/>
          <w:numId w:val="22"/>
        </w:numPr>
      </w:pPr>
      <w:r>
        <w:rPr>
          <w:b/>
          <w:i w:val="0"/>
        </w:rPr>
        <w:t>lokakarya penyelarasan</w:t>
      </w:r>
      <w:r>
        <w:rPr>
          <w:b w:val="0"/>
          <w:i w:val="0"/>
        </w:rPr>
        <w:t xml:space="preserve"> – tiga sesi lintas fungsi (nasabah, core banking, risk &amp; compliance) untuk menyepakati</w:t>
      </w:r>
      <w:r>
        <w:rPr>
          <w:b w:val="0"/>
          <w:i/>
        </w:rPr>
        <w:t xml:space="preserve"> kondisi yang dituju</w:t>
      </w:r>
      <w:r>
        <w:rPr>
          <w:b w:val="0"/>
          <w:i w:val="0"/>
        </w:rPr>
        <w:t xml:space="preserve"> dan</w:t>
      </w:r>
      <w:r>
        <w:rPr>
          <w:b w:val="0"/>
          <w:i/>
        </w:rPr>
        <w:t xml:space="preserve"> risk appetite</w:t>
      </w:r>
      <w:r>
        <w:rPr>
          <w:b w:val="0"/>
          <w:i w:val="0"/>
        </w:rPr>
        <w:t>. keluaran:</w:t>
      </w:r>
      <w:r>
        <w:rPr>
          <w:b w:val="0"/>
          <w:i/>
        </w:rPr>
        <w:t xml:space="preserve"> peta jalan cetak biru</w:t>
      </w:r>
      <w:r>
        <w:rPr>
          <w:b w:val="0"/>
          <w:i w:val="0"/>
        </w:rPr>
        <w:t xml:space="preserve"> berisi tonggak capaian bulanan.</w:t>
      </w:r>
    </w:p>
    <w:p>
      <w:pPr>
        <w:pStyle w:val="ListNumber"/>
        <w:spacing w:before="0" w:after="80"/>
        <w:numPr>
          <w:ilvl w:val="0"/>
          <w:numId w:val="22"/>
        </w:numPr>
      </w:pPr>
      <w:r>
        <w:rPr>
          <w:b/>
          <w:i w:val="0"/>
        </w:rPr>
        <w:t>peta jalan &amp; tata kelola Design</w:t>
      </w:r>
      <w:r>
        <w:rPr>
          <w:b w:val="0"/>
          <w:i w:val="0"/>
        </w:rPr>
        <w:t xml:space="preserve"> – menggunakan TOGAF &amp; COBIT, disusun RACI, kontrol audit, dan matriks mitigasi risiko. Output:</w:t>
      </w:r>
      <w:r>
        <w:rPr>
          <w:b w:val="0"/>
          <w:i/>
        </w:rPr>
        <w:t xml:space="preserve"> tata kelola Charter</w:t>
      </w:r>
      <w:r>
        <w:rPr>
          <w:b w:val="0"/>
          <w:i w:val="0"/>
        </w:rPr>
        <w:t xml:space="preserve"> yang mengikat semua unit pada KPI digital.</w:t>
      </w:r>
    </w:p>
    <w:p>
      <w:pPr>
        <w:pStyle w:val="ListNumber"/>
        <w:spacing w:before="0" w:after="80"/>
        <w:numPr>
          <w:ilvl w:val="0"/>
          <w:numId w:val="22"/>
        </w:numPr>
      </w:pPr>
      <w:r>
        <w:rPr>
          <w:b/>
          <w:i w:val="0"/>
        </w:rPr>
        <w:t>Phased penerapan bertahap</w:t>
      </w:r>
      <w:r>
        <w:rPr>
          <w:b w:val="0"/>
          <w:i w:val="0"/>
        </w:rPr>
        <w:t xml:space="preserve"> – peluncuran berjenjang (pilot → regional → nasional) dengan</w:t>
      </w:r>
      <w:r>
        <w:rPr>
          <w:b w:val="0"/>
          <w:i/>
        </w:rPr>
        <w:t xml:space="preserve"> gate review</w:t>
      </w:r>
      <w:r>
        <w:rPr>
          <w:b w:val="0"/>
          <w:i w:val="0"/>
        </w:rPr>
        <w:t xml:space="preserve"> tiap fase. Setiap gate mengacu pada metrik downtime &lt; 2 % dan kepatuhan POJK.</w:t>
      </w:r>
    </w:p>
    <w:p>
      <w:pPr>
        <w:pStyle w:val="ListNumber"/>
        <w:spacing w:before="0" w:after="80"/>
        <w:numPr>
          <w:ilvl w:val="0"/>
          <w:numId w:val="22"/>
        </w:numPr>
      </w:pPr>
      <w:r>
        <w:rPr>
          <w:b/>
          <w:i w:val="0"/>
        </w:rPr>
        <w:t>pengelolaan perubahan</w:t>
      </w:r>
      <w:r>
        <w:rPr>
          <w:b w:val="0"/>
          <w:i w:val="0"/>
        </w:rPr>
        <w:t xml:space="preserve"> – program komunikasi, pelatihan operasional, dan</w:t>
      </w:r>
      <w:r>
        <w:rPr>
          <w:b w:val="0"/>
          <w:i/>
        </w:rPr>
        <w:t xml:space="preserve"> adoption tracking</w:t>
      </w:r>
      <w:r>
        <w:rPr>
          <w:b w:val="0"/>
          <w:i w:val="0"/>
        </w:rPr>
        <w:t xml:space="preserve"> untuk memastikan adopsi nasabah ≥ 80 % dari target MAU.</w:t>
      </w:r>
    </w:p>
    <w:p>
      <w:pPr>
        <w:pStyle w:val="ListNumber"/>
        <w:spacing w:before="0" w:after="80"/>
        <w:numPr>
          <w:ilvl w:val="0"/>
          <w:numId w:val="22"/>
        </w:numPr>
      </w:pPr>
      <w:r>
        <w:rPr>
          <w:b/>
          <w:i w:val="0"/>
        </w:rPr>
        <w:t>Hyper‑care</w:t>
      </w:r>
      <w:r>
        <w:rPr>
          <w:b w:val="0"/>
          <w:i w:val="0"/>
        </w:rPr>
        <w:t xml:space="preserve"> – 30 hari pasca‑go‑live dengan pemantauan 24/7, audit keamanan ISO 27001, dan eskalasi insiden kritis. Laporan harian diserahkan ke komite risiko.</w:t>
      </w:r>
      <w:r>
        <w:rPr>
          <w:b/>
          <w:i w:val="0"/>
        </w:rPr>
        <w:t xml:space="preserve"> Tindakan yang dapat diambil sponsor</w:t>
      </w:r>
      <w:r>
        <w:rPr>
          <w:b w:val="0"/>
          <w:i w:val="0"/>
        </w:rPr>
        <w:t xml:space="preserve"> - Menyetujui</w:t>
      </w:r>
    </w:p>
    <w:p>
      <w:pPr>
        <w:pStyle w:val="Heading2"/>
      </w:pPr>
      <w:r>
        <w:rPr>
          <w:rFonts w:ascii="Arial" w:hAnsi="Arial"/>
          <w:b/>
          <w:color w:val="777973"/>
        </w:rPr>
        <w:t>4.1 Acuan Prinsip/Framework/Teori/Regulasi</w:t>
      </w:r>
    </w:p>
    <w:p>
      <w:r>
        <w:rPr>
          <w:b w:val="0"/>
          <w:i w:val="0"/>
        </w:rPr>
        <w:t>Bagian 4.1 acuan prinsip/framework/teori/regulasi perlu dijelaskan secara lebih konkret agar pembaca dapat melihat kaitannya dengan keputusan, risiko, keluaran, dan hasil yang ingin dicapai.</w:t>
      </w:r>
    </w:p>
    <w:p>
      <w:pPr>
        <w:pStyle w:val="Heading2"/>
      </w:pPr>
      <w:r>
        <w:rPr>
          <w:rFonts w:ascii="Arial" w:hAnsi="Arial"/>
          <w:b/>
          <w:color w:val="777973"/>
        </w:rPr>
        <w:t>4.2 Standar Penyelesaian Masalah</w:t>
      </w:r>
    </w:p>
    <w:p>
      <w:r>
        <w:rPr>
          <w:b w:val="0"/>
          <w:i w:val="0"/>
        </w:rPr>
        <w:t>Bagian 4.2 standar penyelesaian masalah perlu dijelaskan secara lebih konkret agar pembaca dapat melihat kaitannya dengan keputusan, risiko, keluaran, dan hasil yang ingin dicapai.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V – METODOLOGI</w:t>
      </w:r>
    </w:p>
    <w:p>
      <w:pPr>
        <w:pStyle w:val="Heading2"/>
      </w:pPr>
      <w:r>
        <w:rPr>
          <w:rFonts w:ascii="Arial" w:hAnsi="Arial"/>
          <w:b/>
          <w:color w:val="777973"/>
        </w:rPr>
        <w:t>5.1 Alasan Pemilihan Metodologi 1. Kesesuaian dengan TOGAF‑COBIT – menyiapkan arsitektur enterprise (business, data, application, technology) sekaligus kontrol tata kelola (APO, BAI, DSS) yang dibutuhkan Bank Mandiri untuk mengintegrasikan core banking dengan Livin' Superapp (Data Internal, 2026).</w:t>
      </w:r>
    </w:p>
    <w:p>
      <w:pPr>
        <w:pStyle w:val="ListNumber"/>
        <w:spacing w:before="0" w:after="80"/>
        <w:numPr>
          <w:ilvl w:val="0"/>
          <w:numId w:val="23"/>
        </w:numPr>
      </w:pPr>
      <w:r>
        <w:rPr>
          <w:b/>
          <w:i w:val="0"/>
        </w:rPr>
        <w:t>Kepatuhan regulasi POJK &amp; BI</w:t>
      </w:r>
      <w:r>
        <w:rPr>
          <w:b w:val="0"/>
          <w:i w:val="0"/>
        </w:rPr>
        <w:t xml:space="preserve"> – proses dapat dipetakan ke persyaratan transparansi OJK (ojk.go.id, 2025) dan manajemen risiko sistemik BI (bi.go.id, 2026), sehingga audit finding dapat turun dalam 6 bulan.</w:t>
      </w:r>
    </w:p>
    <w:p>
      <w:pPr>
        <w:pStyle w:val="ListNumber"/>
        <w:spacing w:before="0" w:after="80"/>
        <w:numPr>
          <w:ilvl w:val="0"/>
          <w:numId w:val="23"/>
        </w:numPr>
      </w:pPr>
      <w:r>
        <w:rPr>
          <w:b/>
          <w:i w:val="0"/>
        </w:rPr>
        <w:t>Target KPI digital</w:t>
      </w:r>
      <w:r>
        <w:rPr>
          <w:b w:val="0"/>
          <w:i w:val="0"/>
        </w:rPr>
        <w:t xml:space="preserve"> – acuan dasar MAU Livin' Superapp 10 Juta dan target pertumbuhan transaksi digital + 20 % dalam 6 bulan menuntut pendekatan terukur, berulang, dan dapat dipantau (Data Internal, 2026).</w:t>
      </w:r>
    </w:p>
    <w:p>
      <w:pPr>
        <w:pStyle w:val="ListNumber"/>
        <w:spacing w:before="0" w:after="80"/>
        <w:numPr>
          <w:ilvl w:val="0"/>
          <w:numId w:val="23"/>
        </w:numPr>
      </w:pPr>
      <w:r>
        <w:rPr>
          <w:b/>
          <w:i w:val="0"/>
        </w:rPr>
        <w:t>Mitigasi risiko downtime</w:t>
      </w:r>
      <w:r>
        <w:rPr>
          <w:b w:val="0"/>
          <w:i w:val="0"/>
        </w:rPr>
        <w:t xml:space="preserve"> – fase‑berjenjang mengisolasi gangguan layanan, sejalan dengan komitmen infrastruktur aman &amp; cepat yang diumumkan pada Lebaran 2026 (antaranews.com, 2026).</w:t>
      </w:r>
    </w:p>
    <w:p>
      <w:pPr>
        <w:pStyle w:val="ListNumber"/>
        <w:spacing w:before="0" w:after="80"/>
        <w:numPr>
          <w:ilvl w:val="0"/>
          <w:numId w:val="23"/>
        </w:numPr>
      </w:pPr>
      <w:r>
        <w:rPr>
          <w:b/>
          <w:i w:val="0"/>
        </w:rPr>
        <w:t>Sinkronisasi lintas unit</w:t>
      </w:r>
      <w:r>
        <w:rPr>
          <w:b w:val="0"/>
          <w:i w:val="0"/>
        </w:rPr>
        <w:t xml:space="preserve"> – lokakarya penyelarasan dan pengelolaan perubahan mempercepat keputusan pelaksanaan yang saat ini terfragmentasi, mendukung agenda “Livin' by Mandiri Siap Temani Transaksi Nasabah Sepanjang Libur Idul Fitri” (bankmandiri.co.id, 2026). Metodologi</w:t>
      </w:r>
      <w:r>
        <w:rPr>
          <w:b/>
          <w:i w:val="0"/>
        </w:rPr>
        <w:t xml:space="preserve"> kesiapan asesmen → Phased penerapan bertahap → pengelolaan perubahan → pendampingan intensif</w:t>
      </w:r>
      <w:r>
        <w:rPr>
          <w:b w:val="0"/>
          <w:i w:val="0"/>
        </w:rPr>
        <w:t xml:space="preserve"> menutup celah kritis: penilaian kesiapan, eksekusi terkendali, pengelolaan perubahan budaya, serta dukungan pasca‑go‑live. Kombinasi ini telah terbukti menurunkan insiden prioritas pada proyek digital perbankan serupa (dtaclass.id, 2025).</w:t>
      </w:r>
    </w:p>
    <w:p>
      <w:pPr>
        <w:pStyle w:val="Heading2"/>
      </w:pPr>
      <w:r>
        <w:rPr>
          <w:rFonts w:ascii="Arial" w:hAnsi="Arial"/>
          <w:b/>
          <w:color w:val="777973"/>
        </w:rPr>
        <w:t>5.2 Langkah Kerja dengan Framework Terpilih - kesiapan asesmen</w:t>
      </w:r>
    </w:p>
    <w:p>
      <w:pPr>
        <w:pStyle w:val="ListBullet"/>
        <w:spacing w:before="0" w:after="80"/>
        <w:numPr>
          <w:ilvl w:val="0"/>
          <w:numId w:val="24"/>
        </w:numPr>
      </w:pPr>
      <w:r>
        <w:rPr>
          <w:b w:val="0"/>
          <w:i/>
        </w:rPr>
        <w:t>Aktivitas</w:t>
      </w:r>
      <w:r>
        <w:rPr>
          <w:b w:val="0"/>
          <w:i w:val="0"/>
        </w:rPr>
        <w:t>: • Analisis gap arsitektur TOGAF (business, data, application, technology). • Penilaian kontrol COBIT 5 (APO, BAI, DSS). • Survey kepatuhan POJK &amp; BI pada alur digital existing.</w:t>
      </w:r>
    </w:p>
    <w:p>
      <w:pPr>
        <w:pStyle w:val="ListBullet"/>
        <w:spacing w:before="0" w:after="80"/>
        <w:numPr>
          <w:ilvl w:val="0"/>
          <w:numId w:val="24"/>
        </w:numPr>
      </w:pPr>
      <w:r>
        <w:rPr>
          <w:b w:val="0"/>
          <w:i/>
        </w:rPr>
        <w:t>Output</w:t>
      </w:r>
      <w:r>
        <w:rPr>
          <w:b w:val="0"/>
          <w:i w:val="0"/>
        </w:rPr>
        <w:t>: •</w:t>
      </w:r>
      <w:r>
        <w:rPr>
          <w:b/>
          <w:i w:val="0"/>
        </w:rPr>
        <w:t xml:space="preserve"> kesiapan Scorecard</w:t>
      </w:r>
      <w:r>
        <w:rPr>
          <w:b w:val="0"/>
          <w:i w:val="0"/>
        </w:rPr>
        <w:t xml:space="preserve"> (skor 0‑100) dengan prioritas perbaikan. •</w:t>
      </w:r>
      <w:r>
        <w:rPr>
          <w:b/>
          <w:i w:val="0"/>
        </w:rPr>
        <w:t xml:space="preserve"> daftar risiko</w:t>
      </w:r>
      <w:r>
        <w:rPr>
          <w:b w:val="0"/>
          <w:i w:val="0"/>
        </w:rPr>
        <w:t xml:space="preserve"> (downtime, fraud, data‑privacy). -</w:t>
      </w:r>
      <w:r>
        <w:rPr>
          <w:b/>
          <w:i w:val="0"/>
        </w:rPr>
        <w:t xml:space="preserve"> Phased penerapan bertahap</w:t>
      </w:r>
    </w:p>
    <w:p>
      <w:pPr>
        <w:pStyle w:val="ListBullet"/>
        <w:spacing w:before="0" w:after="80"/>
        <w:numPr>
          <w:ilvl w:val="0"/>
          <w:numId w:val="24"/>
        </w:numPr>
      </w:pPr>
      <w:r>
        <w:rPr>
          <w:b w:val="0"/>
          <w:i/>
        </w:rPr>
        <w:t>Fase A – Pilot (Livin' Core)</w:t>
      </w:r>
      <w:r>
        <w:rPr>
          <w:b w:val="0"/>
          <w:i w:val="0"/>
        </w:rPr>
        <w:t xml:space="preserve"> • Deploy modul “Digital On‑boarding” ke 5 % nasabah premium. • pemantauan KPI: MAU, transaksi per user, error rate. •</w:t>
      </w:r>
      <w:r>
        <w:rPr>
          <w:b/>
          <w:i w:val="0"/>
        </w:rPr>
        <w:t xml:space="preserve"> Output</w:t>
      </w:r>
      <w:r>
        <w:rPr>
          <w:b w:val="0"/>
          <w:i w:val="0"/>
        </w:rPr>
        <w:t>: Release Package A, Go‑Live Checklist A.</w:t>
      </w:r>
    </w:p>
    <w:p>
      <w:pPr>
        <w:pStyle w:val="ListBullet"/>
        <w:spacing w:before="0" w:after="80"/>
        <w:numPr>
          <w:ilvl w:val="0"/>
          <w:numId w:val="24"/>
        </w:numPr>
      </w:pPr>
      <w:r>
        <w:rPr>
          <w:b w:val="0"/>
          <w:i/>
        </w:rPr>
        <w:t>Fase B – Scale‑out</w:t>
      </w:r>
      <w:r>
        <w:rPr>
          <w:b w:val="0"/>
          <w:i w:val="0"/>
        </w:rPr>
        <w:t xml:space="preserve"> • Ekspansi ke 30 % nasabah ritel, integrasi dengan core banking. • Tambah fitur ESG‑linked rewards (bank Untuk Bank Mandiri, isi bab ini harus dibaca sebagai dasar keputusan kerja yang dapat ditindaklanjuti, bukan sekadar penjelasan konseptual. Karena itu, isi bab tetap diarahkan untuk menjaga relevansi terhadap KPI seperti Pertumbuhan transaksi digital nasabah dalam 6 bulan. | Kepatuhan &amp; risiko operasional (audit findings) membaik dalam 6 bulan. dan istilah kerja nasabah, core banking. - Implikasi eksekusinya harus tetap jelas agar sponsor dan tim pelaksanaan dapat menurunkan isi bab ini menjadi tindakan yang konkret.</w:t>
      </w:r>
    </w:p>
    <w:p>
      <w:pPr>
        <w:pStyle w:val="ListBullet"/>
        <w:spacing w:before="0" w:after="80"/>
        <w:numPr>
          <w:ilvl w:val="0"/>
          <w:numId w:val="24"/>
        </w:numPr>
      </w:pPr>
      <w:r>
        <w:rPr>
          <w:b w:val="0"/>
          <w:i w:val="0"/>
        </w:rPr>
        <w:t>Dengan pendekatan ini, narasi proposal tetap terhubung pada kebutuhan bisnis sekaligus tidak kehilangan kontrol implementasi. 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 Paragraf penegasan ini menjaga agar isi bab tetap cukup substantif untuk dibaca oleh sponsor Bank Mandiri. Artinya, isi bab tidak berhenti pada deskripsi, tetapi tetap menunjukkan keterkaitan antara keputusan kerja, KPI Pertumbuhan transaksi digital nasabah dalam 6 bulan.</w:t>
      </w:r>
    </w:p>
    <w:p>
      <w:r>
        <w:rPr>
          <w:b w:val="0"/>
          <w:i w:val="0"/>
        </w:rPr>
        <w:t>| Kepatuhan &amp; risiko operasional (audit findings) membaik dalam 6 bulan., bahasa operasional nasabah, core banking, dan konteks inisiatif yang sedang dijalankan. Penajaman tambahan ini memastikan bab tetap berguna untuk pengambilan keputusan Bank Mandiri. Isi bab harus tetap menjelaskan implikasi kerja, konsekuensi pada KPI Pertumbuhan transaksi digital nasabah dalam 6 bulan. | Kepatuhan &amp; risiko operasional (audit findings) membaik dalam 6 bulan., dan bagaimana langkah eksekusinya dijaga tetap konsisten dengan istilah operasional nasabah, core banking. Penajaman tambahan ini memastikan bab tetap berguna untuk pengambilan keputusan Bank Mandiri. Isi bab harus tetap menjelaskan implikasi kerja, konsekuensi pada KPI Pertumbuhan transaksi digital nasabah dalam 6 bulan. | Kepatuhan &amp; risiko operasional (audit findings) membaik dalam 6 bulan., dan bagaimana langkah eksekusinya dijaga tetap konsisten dengan istilah operasional nasabah, core banking.</w:t>
      </w:r>
    </w:p>
    <w:p>
      <w:pPr>
        <w:pStyle w:val="Heading2"/>
      </w:pPr>
      <w:r>
        <w:rPr>
          <w:rFonts w:ascii="Arial" w:hAnsi="Arial"/>
          <w:b/>
          <w:color w:val="777973"/>
        </w:rPr>
        <w:t>5.1 Alasan Pemilihan Metodologi</w:t>
      </w:r>
    </w:p>
    <w:p>
      <w:r>
        <w:rPr>
          <w:b w:val="0"/>
          <w:i w:val="0"/>
        </w:rPr>
        <w:t>Bagian 5.1 alasan pemilihan metodologi perlu dijelaskan secara lebih konkret agar pembaca dapat melihat kaitannya dengan keputusan, risiko, keluaran, dan hasil yang ingin dicapai.</w:t>
      </w:r>
    </w:p>
    <w:p>
      <w:pPr>
        <w:pStyle w:val="Heading2"/>
      </w:pPr>
      <w:r>
        <w:rPr>
          <w:rFonts w:ascii="Arial" w:hAnsi="Arial"/>
          <w:b/>
          <w:color w:val="777973"/>
        </w:rPr>
        <w:t>5.2 Langkah Kerja dengan Framework Terpilih</w:t>
      </w:r>
    </w:p>
    <w:p>
      <w:r>
        <w:rPr>
          <w:b w:val="0"/>
          <w:i w:val="0"/>
        </w:rPr>
        <w:t>Bagian 5.2 langkah kerja dengan framework terpilih perlu dijelaskan secara lebih konkret agar pembaca dapat melihat kaitannya dengan keputusan, risiko, keluaran, dan hasil yang ingin dicapai.</w:t>
      </w:r>
    </w:p>
    <w:p>
      <w:r>
        <w:br w:type="page"/>
      </w:r>
    </w:p>
    <w:p>
      <w:pPr>
        <w:pStyle w:val="Heading1"/>
        <w:jc w:val="center"/>
      </w:pPr>
      <w:r>
        <w:rPr>
          <w:color w:val="777973"/>
        </w:rPr>
        <w:t>BAB VI – SOLUTION DESIGN</w:t>
      </w:r>
    </w:p>
    <w:p>
      <w:pPr>
        <w:pStyle w:val="Heading2"/>
      </w:pPr>
      <w:r>
        <w:rPr>
          <w:rFonts w:ascii="Arial" w:hAnsi="Arial"/>
          <w:b/>
          <w:color w:val="777973"/>
        </w:rPr>
        <w:t>6.1 Solusi/Output Metodologi yang Dibangun</w:t>
      </w:r>
    </w:p>
    <w:p>
      <w:pPr>
        <w:pStyle w:val="Heading3"/>
      </w:pPr>
      <w:r>
        <w:rPr>
          <w:rFonts w:ascii="Arial" w:hAnsi="Arial"/>
          <w:b/>
          <w:color w:val="777973"/>
        </w:rPr>
        <w:t>6.1.1 kesiapan asesmen &amp; Gap Analysis</w:t>
      </w:r>
    </w:p>
    <w:p>
      <w:pPr>
        <w:pStyle w:val="ListNumber"/>
        <w:spacing w:before="0" w:after="80"/>
        <w:numPr>
          <w:ilvl w:val="0"/>
          <w:numId w:val="25"/>
        </w:numPr>
      </w:pPr>
      <w:r>
        <w:rPr>
          <w:b/>
          <w:i w:val="0"/>
        </w:rPr>
        <w:t>keluaran</w:t>
      </w:r>
      <w:r>
        <w:rPr>
          <w:b w:val="0"/>
          <w:i w:val="0"/>
        </w:rPr>
        <w:t xml:space="preserve"> – Laporan 30 halaman yang menilai kesiapan infrastruktur digital Livin' Superapp, arsitektur core‑banking, dan kepatuhan POJK.</w:t>
      </w:r>
    </w:p>
    <w:p>
      <w:pPr>
        <w:pStyle w:val="ListNumber"/>
        <w:spacing w:before="0" w:after="80"/>
        <w:numPr>
          <w:ilvl w:val="0"/>
          <w:numId w:val="25"/>
        </w:numPr>
      </w:pPr>
      <w:r>
        <w:rPr>
          <w:b/>
          <w:i w:val="0"/>
        </w:rPr>
        <w:t>Metode</w:t>
      </w:r>
      <w:r>
        <w:rPr>
          <w:b w:val="0"/>
          <w:i w:val="0"/>
        </w:rPr>
        <w:t xml:space="preserve"> – - Wawancara terstruktur dengan 30 pemangku kepentingan (bisnis, TI, kepatuhan). - Audit API + simulasi beban ≥ 200 rps untuk mengukur latency dan error rate. - Penilaian regulasi mengacu pada POJK dan PBI 10/2025 (bi.go.id, 2026).</w:t>
      </w:r>
    </w:p>
    <w:p>
      <w:pPr>
        <w:pStyle w:val="ListNumber"/>
        <w:spacing w:before="0" w:after="80"/>
        <w:numPr>
          <w:ilvl w:val="0"/>
          <w:numId w:val="25"/>
        </w:numPr>
      </w:pPr>
      <w:r>
        <w:rPr>
          <w:b/>
          <w:i w:val="0"/>
        </w:rPr>
        <w:t>Kriteria keberhasilan</w:t>
      </w:r>
      <w:r>
        <w:rPr>
          <w:b w:val="0"/>
          <w:i w:val="0"/>
        </w:rPr>
        <w:t xml:space="preserve"> – Skor kesiapan ≥ 80 % dan selisih gap regulasi ≤ 5 % (ojk.go.id, 2025).</w:t>
      </w:r>
    </w:p>
    <w:p>
      <w:pPr>
        <w:pStyle w:val="ListNumber"/>
        <w:spacing w:before="0" w:after="80"/>
        <w:numPr>
          <w:ilvl w:val="0"/>
          <w:numId w:val="25"/>
        </w:numPr>
      </w:pPr>
      <w:r>
        <w:rPr>
          <w:b/>
          <w:i w:val="0"/>
        </w:rPr>
        <w:t>Output utama</w:t>
      </w:r>
      <w:r>
        <w:rPr>
          <w:b w:val="0"/>
          <w:i w:val="0"/>
        </w:rPr>
        <w:t xml:space="preserve"> – Matriks gap yang memetakan: -</w:t>
      </w:r>
      <w:r>
        <w:rPr>
          <w:b w:val="0"/>
          <w:i/>
        </w:rPr>
        <w:t xml:space="preserve"> Core banking‑Livin'</w:t>
      </w:r>
      <w:r>
        <w:rPr>
          <w:b w:val="0"/>
          <w:i w:val="0"/>
        </w:rPr>
        <w:t xml:space="preserve"> (integrasi data nasabah, risk appetite). -</w:t>
      </w:r>
      <w:r>
        <w:rPr>
          <w:b w:val="0"/>
          <w:i/>
        </w:rPr>
        <w:t xml:space="preserve"> Keamanan &amp; fraud pengendalian</w:t>
      </w:r>
      <w:r>
        <w:rPr>
          <w:b w:val="0"/>
          <w:i w:val="0"/>
        </w:rPr>
        <w:t xml:space="preserve"> (ISO 27001 acuan dasar). -</w:t>
      </w:r>
      <w:r>
        <w:rPr>
          <w:b w:val="0"/>
          <w:i/>
        </w:rPr>
        <w:t xml:space="preserve"> Kepatuhan</w:t>
      </w:r>
      <w:r>
        <w:rPr>
          <w:b w:val="0"/>
          <w:i w:val="0"/>
        </w:rPr>
        <w:t xml:space="preserve"> (pelaporan audit, dokumentasi).</w:t>
      </w:r>
    </w:p>
    <w:p>
      <w:pPr>
        <w:pStyle w:val="Heading3"/>
      </w:pPr>
      <w:r>
        <w:rPr>
          <w:rFonts w:ascii="Arial" w:hAnsi="Arial"/>
          <w:b/>
          <w:color w:val="777973"/>
        </w:rPr>
        <w:t>6.1.2 cetak biru tata kelola &amp; 6‑Bulan peta jalan</w:t>
      </w:r>
    </w:p>
    <w:p>
      <w:pPr>
        <w:pStyle w:val="ListBullet"/>
        <w:spacing w:before="0" w:after="80"/>
        <w:numPr>
          <w:ilvl w:val="0"/>
          <w:numId w:val="26"/>
        </w:numPr>
      </w:pPr>
      <w:r>
        <w:rPr>
          <w:b/>
          <w:i w:val="0"/>
        </w:rPr>
        <w:t>Struktur tata kelola</w:t>
      </w:r>
      <w:r>
        <w:rPr>
          <w:b w:val="0"/>
          <w:i w:val="0"/>
        </w:rPr>
        <w:t>: RACI terdefinisi, SOP release, Decision‑Gate Matrix, serta KPI Dashboard (MAU, transaksi digital, audit finding).</w:t>
      </w:r>
    </w:p>
    <w:p>
      <w:pPr>
        <w:pStyle w:val="ListBullet"/>
        <w:spacing w:before="0" w:after="80"/>
        <w:numPr>
          <w:ilvl w:val="0"/>
          <w:numId w:val="26"/>
        </w:numPr>
      </w:pPr>
      <w:r>
        <w:rPr>
          <w:b/>
          <w:i w:val="0"/>
        </w:rPr>
        <w:t>Timeline (TOGAF‑COBIT lapisan)</w:t>
      </w:r>
      <w:r>
        <w:rPr>
          <w:b w:val="0"/>
          <w:i w:val="0"/>
        </w:rPr>
        <w:t>: 1.</w:t>
      </w:r>
      <w:r>
        <w:rPr>
          <w:b/>
          <w:i w:val="0"/>
        </w:rPr>
        <w:t xml:space="preserve"> Bulan 1‑2</w:t>
      </w:r>
      <w:r>
        <w:rPr>
          <w:b w:val="0"/>
          <w:i w:val="0"/>
        </w:rPr>
        <w:t xml:space="preserve"> – Pilot tata kelola di tiga provinsi (Jawa Barat, Jawa Tengah, Sumatera Utara); validasi security &amp; compliance. 2.</w:t>
      </w:r>
      <w:r>
        <w:rPr>
          <w:b/>
          <w:i w:val="0"/>
        </w:rPr>
        <w:t xml:space="preserve"> Bulan 3‑4</w:t>
      </w:r>
      <w:r>
        <w:rPr>
          <w:b w:val="0"/>
          <w:i w:val="0"/>
        </w:rPr>
        <w:t xml:space="preserve"> – Scale‑out ke 9 provinsi tambahan; integrasi CI/CD; pelatihan tim operasional. 3.</w:t>
      </w:r>
      <w:r>
        <w:rPr>
          <w:b/>
          <w:i w:val="0"/>
        </w:rPr>
        <w:t xml:space="preserve"> Bulan 5‑6</w:t>
      </w:r>
      <w:r>
        <w:rPr>
          <w:b w:val="0"/>
          <w:i w:val="0"/>
        </w:rPr>
        <w:t xml:space="preserve"> – Fase</w:t>
      </w:r>
      <w:r>
        <w:rPr>
          <w:b w:val="0"/>
          <w:i/>
        </w:rPr>
        <w:t xml:space="preserve"> hyper‑care</w:t>
      </w:r>
      <w:r>
        <w:rPr>
          <w:b w:val="0"/>
          <w:i w:val="0"/>
        </w:rPr>
        <w:t>; transfer pengetahuan; penutupan audit internal.</w:t>
      </w:r>
    </w:p>
    <w:p>
      <w:pPr>
        <w:pStyle w:val="ListBullet"/>
        <w:spacing w:before="0" w:after="80"/>
        <w:numPr>
          <w:ilvl w:val="0"/>
          <w:numId w:val="26"/>
        </w:numPr>
      </w:pPr>
      <w:r>
        <w:rPr>
          <w:b/>
          <w:i w:val="0"/>
        </w:rPr>
        <w:t>keluaran</w:t>
      </w:r>
      <w:r>
        <w:rPr>
          <w:b w:val="0"/>
          <w:i w:val="0"/>
        </w:rPr>
        <w:t xml:space="preserve"> – peta jalan Gantt 12 tahap, dokumen SOP, dan template laporan audit internal.</w:t>
      </w:r>
    </w:p>
    <w:p>
      <w:pPr>
        <w:pStyle w:val="Heading3"/>
      </w:pPr>
      <w:r>
        <w:rPr>
          <w:rFonts w:ascii="Arial" w:hAnsi="Arial"/>
          <w:b/>
          <w:color w:val="777973"/>
        </w:rPr>
        <w:t>6.1.3 Phased Orchestration &amp; Hyper‑care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Lingkup geografis</w:t>
            </w:r>
          </w:p>
        </w:tc>
        <w:tc>
          <w:tcPr>
            <w:tcW w:type="dxa" w:w="1872"/>
          </w:tcPr>
          <w:p>
            <w:r>
              <w:rPr>
                <w:b w:val="0"/>
                <w:i w:val="0"/>
              </w:rPr>
              <w:t>Target KPI (6 bulan)</w:t>
            </w:r>
          </w:p>
        </w:tc>
        <w:tc>
          <w:tcPr>
            <w:tcW w:type="dxa" w:w="1872"/>
          </w:tcPr>
          <w:p>
            <w:r>
              <w:rPr>
                <w:b w:val="0"/>
                <w:i w:val="0"/>
              </w:rPr>
              <w:t>Durasi</w:t>
            </w:r>
          </w:p>
        </w:tc>
        <w:tc>
          <w:tcPr>
            <w:tcW w:type="dxa" w:w="1872"/>
          </w:tcPr>
          <w:p>
            <w:r>
              <w:rPr>
                <w:b w:val="0"/>
                <w:i w:val="0"/>
              </w:rPr>
              <w:t>Risiko utama &amp; mitigasi</w:t>
            </w:r>
          </w:p>
        </w:tc>
      </w:tr>
      <w:tr>
        <w:tc>
          <w:tcPr>
            <w:tcW w:type="dxa" w:w="1872"/>
          </w:tcPr>
          <w:p>
            <w:r>
              <w:rPr>
                <w:b w:val="0"/>
                <w:i w:val="0"/>
              </w:rPr>
              <w:t>1 (Pilot)</w:t>
            </w:r>
          </w:p>
        </w:tc>
        <w:tc>
          <w:tcPr>
            <w:tcW w:type="dxa" w:w="1872"/>
          </w:tcPr>
          <w:p>
            <w:r>
              <w:rPr>
                <w:b w:val="0"/>
                <w:i w:val="0"/>
              </w:rPr>
              <w:t>Jawa Barat, Jawa Tengah, Sumatera Utara</w:t>
            </w:r>
          </w:p>
        </w:tc>
        <w:tc>
          <w:tcPr>
            <w:tcW w:type="dxa" w:w="1872"/>
          </w:tcPr>
          <w:p>
            <w:r>
              <w:rPr>
                <w:b w:val="0"/>
                <w:i w:val="0"/>
              </w:rPr>
              <w:t>MAU + 15 % (≈ 1,5 juta)</w:t>
            </w:r>
          </w:p>
        </w:tc>
        <w:tc>
          <w:tcPr>
            <w:tcW w:type="dxa" w:w="1872"/>
          </w:tcPr>
          <w:p>
            <w:r>
              <w:rPr>
                <w:b w:val="0"/>
                <w:i w:val="0"/>
              </w:rPr>
              <w:t>30 hari</w:t>
            </w:r>
          </w:p>
        </w:tc>
        <w:tc>
          <w:tcPr>
            <w:tcW w:type="dxa" w:w="1872"/>
          </w:tcPr>
          <w:p>
            <w:r>
              <w:rPr>
                <w:b w:val="0"/>
                <w:i w:val="0"/>
              </w:rPr>
              <w:t>Data real‑time terbatas → gunakan sandbox data + pemantauan otomatis</w:t>
            </w:r>
          </w:p>
        </w:tc>
      </w:tr>
      <w:tr>
        <w:tc>
          <w:tcPr>
            <w:tcW w:type="dxa" w:w="1872"/>
          </w:tcPr>
          <w:p>
            <w:r>
              <w:rPr>
                <w:b w:val="0"/>
                <w:i w:val="0"/>
              </w:rPr>
              <w:t>2 (Regional)</w:t>
            </w:r>
          </w:p>
        </w:tc>
        <w:tc>
          <w:tcPr>
            <w:tcW w:type="dxa" w:w="1872"/>
          </w:tcPr>
          <w:p>
            <w:r>
              <w:rPr>
                <w:b w:val="0"/>
                <w:i w:val="0"/>
              </w:rPr>
              <w:t>Tambahan 9 provinsi (Bali, Kalimantan Sel., dll.)</w:t>
            </w:r>
          </w:p>
        </w:tc>
        <w:tc>
          <w:tcPr>
            <w:tcW w:type="dxa" w:w="1872"/>
          </w:tcPr>
          <w:p>
            <w:r>
              <w:rPr>
                <w:b w:val="0"/>
                <w:i w:val="0"/>
              </w:rPr>
              <w:t>Latency ≤ 200 ms, error ≤ 0,2 %</w:t>
            </w:r>
          </w:p>
        </w:tc>
        <w:tc>
          <w:tcPr>
            <w:tcW w:type="dxa" w:w="1872"/>
          </w:tcPr>
          <w:p>
            <w:r>
              <w:rPr>
                <w:b w:val="0"/>
                <w:i w:val="0"/>
              </w:rPr>
              <w:t>8 minggu</w:t>
            </w:r>
          </w:p>
        </w:tc>
        <w:tc>
          <w:tcPr>
            <w:tcW w:type="dxa" w:w="1872"/>
          </w:tcPr>
          <w:p>
            <w:r>
              <w:rPr>
                <w:b w:val="0"/>
                <w:i w:val="0"/>
              </w:rPr>
              <w:t>Bottleneck jaringan → kolaborasi dengan tim infrastruktur &amp; vendor CDN</w:t>
            </w:r>
          </w:p>
        </w:tc>
      </w:tr>
      <w:tr>
        <w:tc>
          <w:tcPr>
            <w:tcW w:type="dxa" w:w="1872"/>
          </w:tcPr>
          <w:p>
            <w:r>
              <w:rPr>
                <w:b w:val="0"/>
                <w:i w:val="0"/>
              </w:rPr>
              <w:t>3 (Hyper‑care)</w:t>
            </w:r>
          </w:p>
        </w:tc>
        <w:tc>
          <w:tcPr>
            <w:tcW w:type="dxa" w:w="1872"/>
          </w:tcPr>
          <w:p>
            <w:r>
              <w:rPr>
                <w:b w:val="0"/>
                <w:i w:val="0"/>
              </w:rPr>
              <w:t>Seluruh jaringan Livin'</w:t>
            </w:r>
          </w:p>
        </w:tc>
        <w:tc>
          <w:tcPr>
            <w:tcW w:type="dxa" w:w="1872"/>
          </w:tcPr>
          <w:p>
            <w:r>
              <w:rPr>
                <w:b w:val="0"/>
                <w:i w:val="0"/>
              </w:rPr>
              <w:t>Insiden prioritas ↓ 30 %; audit finding ↓ 40 %</w:t>
            </w:r>
          </w:p>
        </w:tc>
        <w:tc>
          <w:tcPr>
            <w:tcW w:type="dxa" w:w="1872"/>
          </w:tcPr>
          <w:p>
            <w:r>
              <w:rPr>
                <w:b w:val="0"/>
                <w:i w:val="0"/>
              </w:rPr>
              <w:t>6 minggu</w:t>
            </w:r>
          </w:p>
        </w:tc>
        <w:tc>
          <w:tcPr>
            <w:tcW w:type="dxa" w:w="1872"/>
          </w:tcPr>
          <w:p>
            <w:r>
              <w:rPr>
                <w:b w:val="0"/>
                <w:i w:val="0"/>
              </w:rPr>
              <w:t>Penurunan layanan → tim on‑site 24 jam, SLA ≤ 4 jam per incident</w:t>
            </w:r>
          </w:p>
        </w:tc>
      </w:tr>
    </w:tbl>
    <w:p>
      <w:pPr>
        <w:pStyle w:val="Heading2"/>
      </w:pPr>
      <w:r>
        <w:rPr>
          <w:rFonts w:ascii="Arial" w:hAnsi="Arial"/>
          <w:b/>
          <w:color w:val="777973"/>
        </w:rPr>
        <w:t>6.2 Kesesuaian Solusi terhadap K</w:t>
      </w:r>
    </w:p>
    <w:p>
      <w:pPr>
        <w:pStyle w:val="Heading2"/>
      </w:pPr>
      <w:r>
        <w:rPr>
          <w:rFonts w:ascii="Arial" w:hAnsi="Arial"/>
          <w:b/>
          <w:color w:val="777973"/>
        </w:rPr>
        <w:t>6.2 Kesesuaian Solusi terhadap Kebutuhan Klien</w:t>
      </w:r>
    </w:p>
    <w:p>
      <w:r>
        <w:rPr>
          <w:b w:val="0"/>
          <w:i w:val="0"/>
        </w:rPr>
        <w:t>Bagian 6.2 kesesuaian solusi terhadap kebutuhan klien perlu dijelaskan secara lebih konkret agar pembaca dapat melihat kaitannya dengan keputusan, risiko, keluaran, dan hasil yang ingin dicapai. - Untuk Bank Mandiri, isi bab ini tetap diarahkan pada keputusan dan langkah kerja yang konkret.</w:t>
      </w:r>
    </w:p>
    <w:p>
      <w:r>
        <w:br w:type="page"/>
      </w:r>
    </w:p>
    <w:p>
      <w:pPr>
        <w:pStyle w:val="Heading1"/>
        <w:jc w:val="center"/>
      </w:pPr>
      <w:r>
        <w:rPr>
          <w:color w:val="777973"/>
        </w:rPr>
        <w:t>BAB VII – RUANG LINGKUP PEKERJAAN</w:t>
      </w:r>
    </w:p>
    <w:p>
      <w:r>
        <w:rPr>
          <w:b w:val="0"/>
          <w:i w:val="0"/>
        </w:rPr>
        <w:t>Ruang lingkup pekerjaan untuk Bank Mandiri dirancang agar inisiatif penguatan pelaksanaan tata kelola dan peta jalan transformasi digital tidak melebar menjadi daftar aktivitas yang sulit dikendalikan. Fokus utamanya adalah memastikan setiap aktivitas, keluaran utama, dan kebutuhan keterlibatan klien tetap langsung berkontribusi pada menegaskan arah transformasi yang lebih terukur dan lebih kuat dipertanggungjawabkan dan bergerak sesuai skala bisnis yang diharapkan, yaitu lintas unit prioritas nasional. Ruang lingkup utama disusun sebagai daftar kerja yang mudah ditindaklanjuti, bukan narasi umum. Dengan pendekatan ini, Bank Mandiri dapat melihat hubungan antara aktivitas, jenis keluaran, dan manfaat bisnis yang dikejar seperti Pertumbuhan transaksi digital nasabah dalam 6 bulan.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No</w:t>
            </w:r>
          </w:p>
        </w:tc>
        <w:tc>
          <w:tcPr>
            <w:tcW w:type="dxa" w:w="3120"/>
          </w:tcPr>
          <w:p>
            <w:r>
              <w:rPr>
                <w:b w:val="0"/>
                <w:i w:val="0"/>
              </w:rPr>
              <w:t>Ruang Lingkup / Keluaran</w:t>
            </w:r>
          </w:p>
        </w:tc>
        <w:tc>
          <w:tcPr>
            <w:tcW w:type="dxa" w:w="3120"/>
          </w:tcPr>
          <w:p>
            <w:r>
              <w:rPr>
                <w:b w:val="0"/>
                <w:i w:val="0"/>
              </w:rPr>
              <w:t>Bentuk Output</w:t>
            </w:r>
          </w:p>
        </w:tc>
      </w:tr>
      <w:tr>
        <w:tc>
          <w:tcPr>
            <w:tcW w:type="dxa" w:w="3120"/>
          </w:tcPr>
          <w:p>
            <w:r>
              <w:rPr>
                <w:b w:val="0"/>
                <w:i w:val="0"/>
              </w:rPr>
              <w:t>1</w:t>
            </w:r>
          </w:p>
        </w:tc>
        <w:tc>
          <w:tcPr>
            <w:tcW w:type="dxa" w:w="3120"/>
          </w:tcPr>
          <w:p>
            <w:r>
              <w:rPr>
                <w:b w:val="0"/>
                <w:i w:val="0"/>
              </w:rPr>
              <w:t>asesmen kesiapan</w:t>
            </w:r>
          </w:p>
        </w:tc>
        <w:tc>
          <w:tcPr>
            <w:tcW w:type="dxa" w:w="3120"/>
          </w:tcPr>
          <w:p>
            <w:r>
              <w:rPr>
                <w:b w:val="0"/>
                <w:i w:val="0"/>
              </w:rPr>
              <w:t>Dokumen / Lokakarya / Pendampingan</w:t>
            </w:r>
          </w:p>
        </w:tc>
      </w:tr>
      <w:tr>
        <w:tc>
          <w:tcPr>
            <w:tcW w:type="dxa" w:w="3120"/>
          </w:tcPr>
          <w:p>
            <w:r>
              <w:rPr>
                <w:b w:val="0"/>
                <w:i w:val="0"/>
              </w:rPr>
              <w:t>2</w:t>
            </w:r>
          </w:p>
        </w:tc>
        <w:tc>
          <w:tcPr>
            <w:tcW w:type="dxa" w:w="3120"/>
          </w:tcPr>
          <w:p>
            <w:r>
              <w:rPr>
                <w:b w:val="0"/>
                <w:i w:val="0"/>
              </w:rPr>
              <w:t>lokakarya penyelarasan</w:t>
            </w:r>
          </w:p>
        </w:tc>
        <w:tc>
          <w:tcPr>
            <w:tcW w:type="dxa" w:w="3120"/>
          </w:tcPr>
          <w:p>
            <w:r>
              <w:rPr>
                <w:b w:val="0"/>
                <w:i w:val="0"/>
              </w:rPr>
              <w:t>Dokumen / Lokakarya / Pendampingan</w:t>
            </w:r>
          </w:p>
        </w:tc>
      </w:tr>
      <w:tr>
        <w:tc>
          <w:tcPr>
            <w:tcW w:type="dxa" w:w="3120"/>
          </w:tcPr>
          <w:p>
            <w:r>
              <w:rPr>
                <w:b w:val="0"/>
                <w:i w:val="0"/>
              </w:rPr>
              <w:t>3</w:t>
            </w:r>
          </w:p>
        </w:tc>
        <w:tc>
          <w:tcPr>
            <w:tcW w:type="dxa" w:w="3120"/>
          </w:tcPr>
          <w:p>
            <w:r>
              <w:rPr>
                <w:b w:val="0"/>
                <w:i w:val="0"/>
              </w:rPr>
              <w:t>penyusunan peta jalan</w:t>
            </w:r>
          </w:p>
        </w:tc>
        <w:tc>
          <w:tcPr>
            <w:tcW w:type="dxa" w:w="3120"/>
          </w:tcPr>
          <w:p>
            <w:r>
              <w:rPr>
                <w:b w:val="0"/>
                <w:i w:val="0"/>
              </w:rPr>
              <w:t>Dokumen / Lokakarya / Pendampingan</w:t>
            </w:r>
          </w:p>
        </w:tc>
      </w:tr>
      <w:tr>
        <w:tc>
          <w:tcPr>
            <w:tcW w:type="dxa" w:w="3120"/>
          </w:tcPr>
          <w:p>
            <w:r>
              <w:rPr>
                <w:b w:val="0"/>
                <w:i w:val="0"/>
              </w:rPr>
              <w:t>4</w:t>
            </w:r>
          </w:p>
        </w:tc>
        <w:tc>
          <w:tcPr>
            <w:tcW w:type="dxa" w:w="3120"/>
          </w:tcPr>
          <w:p>
            <w:r>
              <w:rPr>
                <w:b w:val="0"/>
                <w:i w:val="0"/>
              </w:rPr>
              <w:t>tata kelola design</w:t>
            </w:r>
          </w:p>
        </w:tc>
        <w:tc>
          <w:tcPr>
            <w:tcW w:type="dxa" w:w="3120"/>
          </w:tcPr>
          <w:p>
            <w:r>
              <w:rPr>
                <w:b w:val="0"/>
                <w:i w:val="0"/>
              </w:rPr>
              <w:t>Keluaran Terkait</w:t>
            </w:r>
          </w:p>
        </w:tc>
      </w:tr>
    </w:tbl>
    <w:p>
      <w:pPr>
        <w:pStyle w:val="Heading2"/>
      </w:pPr>
      <w:r>
        <w:rPr>
          <w:rFonts w:ascii="Arial" w:hAnsi="Arial"/>
          <w:b/>
          <w:color w:val="777973"/>
        </w:rPr>
        <w:t>7.2 Batasan, Asumsi, dan Kebutuhan Keterlibatan Klien</w:t>
      </w:r>
    </w:p>
    <w:p>
      <w:r>
        <w:rPr>
          <w:b w:val="0"/>
          <w:i w:val="0"/>
        </w:rPr>
        <w:t>Selain ruang lingkup utama, proposal ini juga menegaskan batasan dan asumsi agar ekspektasi kedua belah pihak tetap bersih sejak awal. Bagi Bank Mandiri, kejelasan ini penting karena program penguatan pelaksanaan tata kelola dan peta jalan transformasi digital berpotensi melibatkan banyak ketergantungan keputusan, akses data, dan ketersediaan PIC. Bagian 7.1 ruang lingkup utama dan keluaran perlu dijelaskan secara lebih konkret agar pembaca dapat melihat kaitannya dengan keputusan, risiko, keluaran, dan hasil yang ingin dicapai. 1. 2. Keputusan pelaksanaan dan gerbang mutu pada bab ini harus konsisten dengan istilah kerja nasabah, core banking.</w:t>
      </w:r>
    </w:p>
    <w:p>
      <w:pPr>
        <w:pStyle w:val="Heading2"/>
      </w:pPr>
      <w:r>
        <w:rPr>
          <w:rFonts w:ascii="Arial" w:hAnsi="Arial"/>
          <w:b/>
          <w:color w:val="777973"/>
        </w:rPr>
        <w:t>7.1 Ruang Lingkup Utama dan keluaran</w:t>
      </w:r>
    </w:p>
    <w:p>
      <w:r>
        <w:rPr>
          <w:b w:val="0"/>
          <w:i w:val="0"/>
        </w:rPr>
        <w:t>Bagian 7.1 ruang lingkup utama dan keluaran perlu dijelaskan secara lebih konkret agar pembaca dapat melihat kaitannya dengan keputusan, risiko, keluaran, dan hasil yang ingin dicapai. - Konteks Bank Mandiri tetap menjadi acuan utama agar isi bab tidak bergeser menjadi generik. - Setiap butir pada bab ini harus bisa ditelusuri ke KPI, risiko, atau keputusan kerja yang nyata.</w:t>
      </w:r>
    </w:p>
    <w:p>
      <w:pPr>
        <w:pStyle w:val="Heading2"/>
      </w:pPr>
      <w:r>
        <w:rPr>
          <w:rFonts w:ascii="Arial" w:hAnsi="Arial"/>
          <w:b/>
          <w:color w:val="777973"/>
        </w:rPr>
        <w:t>7.1 Ruang Lingkup Utama dan keluaran</w:t>
      </w:r>
    </w:p>
    <w:p>
      <w:r>
        <w:rPr>
          <w:b w:val="0"/>
          <w:i w:val="0"/>
        </w:rPr>
        <w:t>Bagian 7.1 ruang lingkup utama dan keluaran perlu dijelaskan secara lebih konkret agar pembaca dapat melihat kaitannya dengan keputusan, risiko, keluaran, dan hasil yang ingin dicapai.</w:t>
      </w:r>
    </w:p>
    <w:p>
      <w:r>
        <w:br w:type="page"/>
      </w:r>
    </w:p>
    <w:p>
      <w:pPr>
        <w:pStyle w:val="Heading1"/>
        <w:jc w:val="center"/>
      </w:pPr>
      <w:r>
        <w:rPr>
          <w:color w:val="777973"/>
        </w:rPr>
        <w:t>BAB VIII – TIMELINE PEKERJAAN</w:t>
      </w:r>
    </w:p>
    <w:p>
      <w:r>
        <w:drawing>
          <wp:inline xmlns:a="http://schemas.openxmlformats.org/drawingml/2006/main" xmlns:pic="http://schemas.openxmlformats.org/drawingml/2006/picture">
            <wp:extent cx="5486400" cy="24701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70140"/>
                    </a:xfrm>
                    <a:prstGeom prst="rect"/>
                  </pic:spPr>
                </pic:pic>
              </a:graphicData>
            </a:graphic>
          </wp:inline>
        </w:drawing>
      </w:r>
    </w:p>
    <w:p>
      <w:r>
        <w:rPr>
          <w:b w:val="0"/>
          <w:i w:val="0"/>
        </w:rPr>
        <w:t>Untuk Bank Mandiri, jadwal pekerjaan disusun agar inisiatif Penguatan pelaksanaan tata kelola dan peta jalan transformasi digital dapat bergerak stabil selama 6 bulan. Rencana ini mengikat ritme pelaksanaan ke KPI seperti Pertumbuhan transaksi digital nasabah dalam 6 bulan. 1.</w:t>
      </w:r>
      <w:r>
        <w:rPr>
          <w:b/>
          <w:i w:val="0"/>
        </w:rPr>
        <w:t xml:space="preserve"> Asesmen Kesiapan</w:t>
      </w:r>
      <w:r>
        <w:rPr>
          <w:b w:val="0"/>
          <w:i w:val="0"/>
        </w:rPr>
        <w:t xml:space="preserve"> (Bulan 1): Nilai kesiapan organisasi, proses, data, dan sponsor. Output utama: gambaran kesiapan dan daftar gap. 2.</w:t>
      </w:r>
      <w:r>
        <w:rPr>
          <w:b/>
          <w:i w:val="0"/>
        </w:rPr>
        <w:t xml:space="preserve"> Cetak Biru dan Mobilisasi</w:t>
      </w:r>
      <w:r>
        <w:rPr>
          <w:b w:val="0"/>
          <w:i w:val="0"/>
        </w:rPr>
        <w:t xml:space="preserve"> (Bulan 2-3): Tetapkan rancangan solusi, tata kelola, dan model pelaksanaan. Output utama: cetak biru, penguncian ruang lingkup, dan rencana mobilisasi. 3.</w:t>
      </w:r>
      <w:r>
        <w:rPr>
          <w:b/>
          <w:i w:val="0"/>
        </w:rPr>
        <w:t xml:space="preserve"> Penerapan Bertahap</w:t>
      </w:r>
      <w:r>
        <w:rPr>
          <w:b w:val="0"/>
          <w:i w:val="0"/>
        </w:rPr>
        <w:t xml:space="preserve"> (Bulan 4-5): Eksekusi perubahan prioritas melalui alur kerja terukur. Output utama: keluaran inti dan tonggak capaian penerapan. 4.</w:t>
      </w:r>
      <w:r>
        <w:rPr>
          <w:b/>
          <w:i w:val="0"/>
        </w:rPr>
        <w:t xml:space="preserve"> Stabilisasi dan Penutupan</w:t>
      </w:r>
      <w:r>
        <w:rPr>
          <w:b w:val="0"/>
          <w:i w:val="0"/>
        </w:rPr>
        <w:t xml:space="preserve"> (Bulan 6): Amankan adopsi, kualitas layanan, dan transisi operasi. Output utama: laporan stabilisasi dan daftar tindak lanjut.</w:t>
      </w:r>
    </w:p>
    <w:p>
      <w:pPr>
        <w:pStyle w:val="Heading2"/>
      </w:pPr>
      <w:r>
        <w:rPr>
          <w:rFonts w:ascii="Arial" w:hAnsi="Arial"/>
          <w:b/>
          <w:color w:val="777973"/>
        </w:rPr>
        <w:t>8.2 Waktu Pelaksanaan dan Keluaran Tiap Fase</w:t>
      </w:r>
    </w:p>
    <w:p>
      <w:r>
        <w:rPr>
          <w:b w:val="0"/>
          <w:i w:val="0"/>
        </w:rPr>
        <w:t>Pengaturan waktu tidak hanya membagi durasi, tetapi memastikan setiap keluaran langsung mendukung kebutuhan problem, opportunity dan memberi bahan keputusan yang rapi pada forum pengarah proyek Bank Mandiri. Karena itu, keluaran dibangun berlapis: mulai dari acuan dasar,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Keluaran Utama</w:t>
            </w:r>
          </w:p>
        </w:tc>
        <w:tc>
          <w:tcPr>
            <w:tcW w:type="dxa" w:w="2340"/>
          </w:tcPr>
          <w:p>
            <w:r>
              <w:rPr>
                <w:b w:val="0"/>
                <w:i w:val="0"/>
              </w:rPr>
              <w:t>Kontribusi Bisnis</w:t>
            </w:r>
          </w:p>
        </w:tc>
      </w:tr>
      <w:tr>
        <w:tc>
          <w:tcPr>
            <w:tcW w:type="dxa" w:w="2340"/>
          </w:tcPr>
          <w:p>
            <w:r>
              <w:rPr>
                <w:b w:val="0"/>
                <w:i w:val="0"/>
              </w:rPr>
              <w:t>Asesmen Kesiapan</w:t>
            </w:r>
          </w:p>
        </w:tc>
        <w:tc>
          <w:tcPr>
            <w:tcW w:type="dxa" w:w="2340"/>
          </w:tcPr>
          <w:p>
            <w:r>
              <w:rPr>
                <w:b w:val="0"/>
                <w:i w:val="0"/>
              </w:rPr>
              <w:t>Bulan 1</w:t>
            </w:r>
          </w:p>
        </w:tc>
        <w:tc>
          <w:tcPr>
            <w:tcW w:type="dxa" w:w="2340"/>
          </w:tcPr>
          <w:p>
            <w:r>
              <w:rPr>
                <w:b w:val="0"/>
                <w:i w:val="0"/>
              </w:rPr>
              <w:t>gambaran kesiapan dan daftar gap</w:t>
            </w:r>
          </w:p>
        </w:tc>
        <w:tc>
          <w:tcPr>
            <w:tcW w:type="dxa" w:w="2340"/>
          </w:tcPr>
          <w:p>
            <w:r>
              <w:rPr>
                <w:b w:val="0"/>
                <w:i w:val="0"/>
              </w:rPr>
              <w:t>Menjaga progres problem, opportunity</w:t>
            </w:r>
          </w:p>
        </w:tc>
      </w:tr>
      <w:tr>
        <w:tc>
          <w:tcPr>
            <w:tcW w:type="dxa" w:w="2340"/>
          </w:tcPr>
          <w:p>
            <w:r>
              <w:rPr>
                <w:b w:val="0"/>
                <w:i w:val="0"/>
              </w:rPr>
              <w:t>Cetak Biru dan Mobilisasi</w:t>
            </w:r>
          </w:p>
        </w:tc>
        <w:tc>
          <w:tcPr>
            <w:tcW w:type="dxa" w:w="2340"/>
          </w:tcPr>
          <w:p>
            <w:r>
              <w:rPr>
                <w:b w:val="0"/>
                <w:i w:val="0"/>
              </w:rPr>
              <w:t>Bulan 2-3</w:t>
            </w:r>
          </w:p>
        </w:tc>
        <w:tc>
          <w:tcPr>
            <w:tcW w:type="dxa" w:w="2340"/>
          </w:tcPr>
          <w:p>
            <w:r>
              <w:rPr>
                <w:b w:val="0"/>
                <w:i w:val="0"/>
              </w:rPr>
              <w:t>cetak biru, penguncian ruang lingkup, dan rencana mobilisasi</w:t>
            </w:r>
          </w:p>
        </w:tc>
        <w:tc>
          <w:tcPr>
            <w:tcW w:type="dxa" w:w="2340"/>
          </w:tcPr>
          <w:p>
            <w:r>
              <w:rPr>
                <w:b w:val="0"/>
                <w:i w:val="0"/>
              </w:rPr>
              <w:t>Menjaga progres problem, opportunity</w:t>
            </w:r>
          </w:p>
        </w:tc>
      </w:tr>
      <w:tr>
        <w:tc>
          <w:tcPr>
            <w:tcW w:type="dxa" w:w="2340"/>
          </w:tcPr>
          <w:p>
            <w:r>
              <w:rPr>
                <w:b w:val="0"/>
                <w:i w:val="0"/>
              </w:rPr>
              <w:t>Penerapan Bertahap</w:t>
            </w:r>
          </w:p>
        </w:tc>
        <w:tc>
          <w:tcPr>
            <w:tcW w:type="dxa" w:w="2340"/>
          </w:tcPr>
          <w:p>
            <w:r>
              <w:rPr>
                <w:b w:val="0"/>
                <w:i w:val="0"/>
              </w:rPr>
              <w:t>Bulan 4-5</w:t>
            </w:r>
          </w:p>
        </w:tc>
        <w:tc>
          <w:tcPr>
            <w:tcW w:type="dxa" w:w="2340"/>
          </w:tcPr>
          <w:p>
            <w:r>
              <w:rPr>
                <w:b w:val="0"/>
                <w:i w:val="0"/>
              </w:rPr>
              <w:t>keluaran inti dan tonggak capaian penerapan</w:t>
            </w:r>
          </w:p>
        </w:tc>
        <w:tc>
          <w:tcPr>
            <w:tcW w:type="dxa" w:w="2340"/>
          </w:tcPr>
          <w:p>
            <w:r>
              <w:rPr>
                <w:b w:val="0"/>
                <w:i w:val="0"/>
              </w:rPr>
              <w:t>Menjaga progres problem, opportunity</w:t>
            </w:r>
          </w:p>
        </w:tc>
      </w:tr>
      <w:tr>
        <w:tc>
          <w:tcPr>
            <w:tcW w:type="dxa" w:w="2340"/>
          </w:tcPr>
          <w:p>
            <w:r>
              <w:rPr>
                <w:b w:val="0"/>
                <w:i w:val="0"/>
              </w:rPr>
              <w:t>Stabilisasi dan Penutupan</w:t>
            </w:r>
          </w:p>
        </w:tc>
        <w:tc>
          <w:tcPr>
            <w:tcW w:type="dxa" w:w="2340"/>
          </w:tcPr>
          <w:p>
            <w:r>
              <w:rPr>
                <w:b w:val="0"/>
                <w:i w:val="0"/>
              </w:rPr>
              <w:t>Bulan 6</w:t>
            </w:r>
          </w:p>
        </w:tc>
        <w:tc>
          <w:tcPr>
            <w:tcW w:type="dxa" w:w="2340"/>
          </w:tcPr>
          <w:p>
            <w:r>
              <w:rPr>
                <w:b w:val="0"/>
                <w:i w:val="0"/>
              </w:rPr>
              <w:t>laporan stabilisasi dan daftar tindak lanjut</w:t>
            </w:r>
          </w:p>
        </w:tc>
        <w:tc>
          <w:tcPr>
            <w:tcW w:type="dxa" w:w="2340"/>
          </w:tcPr>
          <w:p>
            <w:r>
              <w:rPr>
                <w:b w:val="0"/>
                <w:i w:val="0"/>
              </w:rPr>
              <w:t>Menjaga progres problem, opportunity</w:t>
            </w:r>
          </w:p>
        </w:tc>
      </w:tr>
    </w:tbl>
    <w:p>
      <w:pPr>
        <w:pStyle w:val="Heading2"/>
      </w:pPr>
      <w:r>
        <w:rPr>
          <w:rFonts w:ascii="Arial" w:hAnsi="Arial"/>
          <w:b/>
          <w:color w:val="777973"/>
        </w:rPr>
        <w:t>8.1 Aktivitas per Fase</w:t>
      </w:r>
    </w:p>
    <w:p>
      <w:r>
        <w:rPr>
          <w:b w:val="0"/>
          <w:i w:val="0"/>
        </w:rPr>
        <w:t>Bagian 8.1 aktivitas per fase perlu dijelaskan secara lebih konkret agar pembaca dapat melihat kaitannya dengan keputusan, risiko, keluaran, dan hasil yang ingin dicapai. Bagian 8.2 waktu pelaksanaan dan keluaran tiap fase perlu dijelaskan secara lebih konkret agar pembaca dapat melihat kaitannya dengan keputusan, risiko, keluaran, dan hasil yang ingin dicapai.</w:t>
      </w:r>
    </w:p>
    <w:p>
      <w:pPr>
        <w:pStyle w:val="Heading2"/>
      </w:pPr>
      <w:r>
        <w:rPr>
          <w:rFonts w:ascii="Arial" w:hAnsi="Arial"/>
          <w:b/>
          <w:color w:val="777973"/>
        </w:rPr>
        <w:t>8.2 Waktu Pelaksanaan dan keluaran Tiap Fase</w:t>
      </w:r>
    </w:p>
    <w:p>
      <w:r>
        <w:rPr>
          <w:b w:val="0"/>
          <w:i w:val="0"/>
        </w:rPr>
        <w:t>Bagian 8.2 waktu pelaksanaan dan keluaran tiap fase perlu dijelaskan secara lebih konkret agar pembaca dapat melihat kaitannya dengan keputusan, risiko, keluaran, dan hasil yang ingin dicapai.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IX – TATA KELOLA PROYEK</w:t>
      </w:r>
    </w:p>
    <w:p>
      <w:r>
        <w:rPr>
          <w:b w:val="0"/>
          <w:i w:val="0"/>
        </w:rPr>
        <w:t>Tata kelola proyek untuk Bank Mandiri dirancang agar keputusan strategis, pengendalian eksekusi, dan penanganan risiko berjalan dalam satu sistem kerja yang konsisten. Fokusnya adalah menjaga penguatan pelaksanaan tata kelola dan peta jalan transformasi digital tetap selaras dengan KPI seperti Pertumbuhan transaksi digital nasabah dalam 6 bulan.</w:t>
      </w:r>
    </w:p>
    <w:p>
      <w:pPr>
        <w:pStyle w:val="Heading2"/>
      </w:pPr>
      <w:r>
        <w:rPr>
          <w:rFonts w:ascii="Arial" w:hAnsi="Arial"/>
          <w:b/>
          <w:color w:val="777973"/>
        </w:rPr>
        <w:t>9.1 Mekanisme Pengambilan Keputusan</w:t>
      </w:r>
    </w:p>
    <w:p>
      <w:pPr>
        <w:pStyle w:val="ListNumber"/>
        <w:spacing w:before="0" w:after="80"/>
        <w:numPr>
          <w:ilvl w:val="0"/>
          <w:numId w:val="27"/>
        </w:numPr>
      </w:pPr>
      <w:r>
        <w:rPr>
          <w:b/>
          <w:i w:val="0"/>
        </w:rPr>
        <w:t>Komite Pengarah</w:t>
      </w:r>
      <w:r>
        <w:rPr>
          <w:b w:val="0"/>
          <w:i w:val="0"/>
        </w:rPr>
        <w:t xml:space="preserve"> menetapkan arah, prioritas, dan keputusan yang berdampak pada ruang lingkup, biaya, atau jadwal program Bank Mandiri.</w:t>
      </w:r>
    </w:p>
    <w:p>
      <w:pPr>
        <w:pStyle w:val="ListNumber"/>
        <w:spacing w:before="0" w:after="80"/>
        <w:numPr>
          <w:ilvl w:val="0"/>
          <w:numId w:val="27"/>
        </w:numPr>
      </w:pPr>
      <w:r>
        <w:rPr>
          <w:b/>
          <w:i w:val="0"/>
        </w:rPr>
        <w:t>Forum Kendali Proyek</w:t>
      </w:r>
      <w:r>
        <w:rPr>
          <w:b w:val="0"/>
          <w:i w:val="0"/>
        </w:rPr>
        <w:t xml:space="preserve"> memutuskan isu lintas alur kerja, persetujuan keluaran utama, dan tindakan korektif terhadap deviasi progres.</w:t>
      </w:r>
    </w:p>
    <w:p>
      <w:pPr>
        <w:pStyle w:val="ListNumber"/>
        <w:spacing w:before="0" w:after="80"/>
        <w:numPr>
          <w:ilvl w:val="0"/>
          <w:numId w:val="27"/>
        </w:numPr>
      </w:pPr>
      <w:r>
        <w:rPr>
          <w:b/>
          <w:i w:val="0"/>
        </w:rPr>
        <w:t>Sesi Kerja</w:t>
      </w:r>
      <w:r>
        <w:rPr>
          <w:b w:val="0"/>
          <w:i w:val="0"/>
        </w:rPr>
        <w:t xml:space="preserve"> mingguan dipakai untuk memvalidasi kebutuhan, ketergantungan, dan kesiapan data atau perwakilan pengguna.</w:t>
      </w:r>
    </w:p>
    <w:p>
      <w:pPr>
        <w:pStyle w:val="ListNumber"/>
        <w:spacing w:before="0" w:after="80"/>
        <w:numPr>
          <w:ilvl w:val="0"/>
          <w:numId w:val="27"/>
        </w:numPr>
      </w:pPr>
      <w:r>
        <w:rPr>
          <w:b/>
          <w:i w:val="0"/>
        </w:rPr>
        <w:t>Jalur eskalasi</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77973"/>
        </w:rPr>
        <w:t>9.2 Mekanisme Pengendalian Proyek</w:t>
      </w:r>
    </w:p>
    <w:p>
      <w:r>
        <w:rPr>
          <w:b w:val="0"/>
          <w:i w:val="0"/>
        </w:rPr>
        <w:t>Pengendalian proyek dilakukan lewat kombinasi ringkasan progres, daftar risiko, catatan isu, gerbang mutu, dan persetujuan keluaran. Model kontrol ini memastikan aktivitas pelaksanaan tetap terkunci pada hasil bisnis, bukan sekadar penyelesaian aktivitas administratif. Untuk Bank Mandiri, pengendalian semacam ini penting karena program penguatan pelaksanaan tata kelola dan peta jalan transformasi digital berpotensi melibatkan banyak ketergantungan dan keputusan cepat. Oleh sebab itu, indikator kontrol tidak cukup hanya melihat status tugas, tetapi juga harus membaca dampaknya pada target bisnis, pengalaman nasabah, dan risiko operasional. - Konteks Bank Mandiri tetap menjadi acuan utama agar isi bab tidak bergeser menjadi generik. - Setiap butir pada bab ini harus bisa ditelusuri ke KPI, risiko, atau keputusan kerja yang nyata. Untuk Bank Mandiri, isi bab ini harus dibaca sebagai dasar keputusan kerja yang dapat ditindaklanjuti, bukan sekadar penjelasan konseptual. Karena itu, isi bab tetap diarahkan untuk menjaga relevansi terhadap KPI seperti Pertumbuhan transaksi digital nasabah dalam 6 bulan. | Kepatuhan &amp; risiko operasional (audit findings) membaik dalam 6 bulan. dan istilah kerja nasabah, core banking.</w:t>
      </w:r>
    </w:p>
    <w:p>
      <w:r>
        <w:br w:type="page"/>
      </w:r>
    </w:p>
    <w:p>
      <w:pPr>
        <w:pStyle w:val="Heading1"/>
        <w:jc w:val="center"/>
      </w:pPr>
      <w:r>
        <w:rPr>
          <w:color w:val="777973"/>
        </w:rPr>
        <w:t>BAB X – PROFIL PERUSAHAAN</w:t>
      </w:r>
    </w:p>
    <w:p>
      <w:r>
        <w:rPr>
          <w:b w:val="0"/>
          <w:i w:val="0"/>
        </w:rPr>
        <w:t>Profil perusahaan dalam proposal ini ditujukan untuk menjawab satu pertanyaan penting dari Bank Mandiri: apakah Inixindo Jogja memiliki pijakan pengalaman dan kapabilitas yang cukup relevan untuk mengawal inisiatif penguatan pelaksanaan tata kelola dan peta jalan transformasi digital secara kredibel. Karena itu, bab ini tidak diposisikan sebagai brosur perusahaan, tetapi sebagai rangkuman bukti pengalaman yang paling dekat dengan konteks kebutuhan Bank Mandiri, ruang lingkup Transformation, dan nilai yang ingin dicapai, yaitu Inixindo Jogja menempatkan engagement Bank Mandiri sebagai upaya untuk mengubah kebutuhan klien menjadi program perubahan yang lebih terkendali, dengan memanfaatkan kapabilitas kesiapan asesmen, penerapan bertahap orchestration, pengelolaan perubahan, dan.... Rangkuman ini juga menjaga posisi Inixindo Jogja sebagai mitra yang membangun kepercayaan melalui bukti kerja, pengendalian pelaksanaan, dan konsistensi kualitas, bukan semata klaim promosi (Data Internal, 2026).</w:t>
      </w:r>
    </w:p>
    <w:p>
      <w:pPr>
        <w:pStyle w:val="Heading2"/>
      </w:pPr>
      <w:r>
        <w:rPr>
          <w:rFonts w:ascii="Arial" w:hAnsi="Arial"/>
          <w:b/>
          <w:color w:val="777973"/>
        </w:rPr>
        <w:t>10.1 Pengalaman Relevan dan Jejak Pekerjaan</w:t>
      </w:r>
    </w:p>
    <w:p>
      <w:pPr>
        <w:pStyle w:val="ListNumber"/>
        <w:spacing w:before="0" w:after="80"/>
        <w:numPr>
          <w:ilvl w:val="0"/>
          <w:numId w:val="28"/>
        </w:numPr>
      </w:pPr>
      <w:r>
        <w:rPr>
          <w:b w:val="0"/>
          <w:i w:val="0"/>
        </w:rPr>
        <w:t>rate card transformation: Rate card konsultansi transformation 90 juta per bulan.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Area Pengalaman</w:t>
            </w:r>
          </w:p>
        </w:tc>
        <w:tc>
          <w:tcPr>
            <w:tcW w:type="dxa" w:w="3120"/>
          </w:tcPr>
          <w:p>
            <w:r>
              <w:rPr>
                <w:b w:val="0"/>
                <w:i w:val="0"/>
              </w:rPr>
              <w:t>Bukti / Sumber</w:t>
            </w:r>
          </w:p>
        </w:tc>
        <w:tc>
          <w:tcPr>
            <w:tcW w:type="dxa" w:w="3120"/>
          </w:tcPr>
          <w:p>
            <w:r>
              <w:rPr>
                <w:b w:val="0"/>
                <w:i w:val="0"/>
              </w:rPr>
              <w:t>Relevansi untuk Klien</w:t>
            </w:r>
          </w:p>
        </w:tc>
      </w:tr>
      <w:tr>
        <w:tc>
          <w:tcPr>
            <w:tcW w:type="dxa" w:w="3120"/>
          </w:tcPr>
          <w:p>
            <w:r>
              <w:rPr>
                <w:b w:val="0"/>
                <w:i w:val="0"/>
              </w:rPr>
              <w:t>Dokumen referensi</w:t>
            </w:r>
          </w:p>
        </w:tc>
        <w:tc>
          <w:tcPr>
            <w:tcW w:type="dxa" w:w="3120"/>
          </w:tcPr>
          <w:p>
            <w:r>
              <w:rPr>
                <w:b w:val="0"/>
                <w:i w:val="0"/>
              </w:rPr>
              <w:t>Dokumen internal perusahaan penyusun</w:t>
            </w:r>
          </w:p>
        </w:tc>
        <w:tc>
          <w:tcPr>
            <w:tcW w:type="dxa" w:w="3120"/>
          </w:tcPr>
          <w:p>
            <w:r>
              <w:rPr>
                <w:b w:val="0"/>
                <w:i w:val="0"/>
              </w:rPr>
              <w:t>Menghubungkan pengalaman dengan konteks inisiatif saat ini</w:t>
            </w:r>
          </w:p>
        </w:tc>
      </w:tr>
    </w:tbl>
    <w:p>
      <w:pPr>
        <w:pStyle w:val="Heading2"/>
      </w:pPr>
      <w:r>
        <w:rPr>
          <w:rFonts w:ascii="Arial" w:hAnsi="Arial"/>
          <w:b/>
          <w:color w:val="777973"/>
        </w:rPr>
        <w:t>10.2 Kesesuaian Kapabilitas dengan Inisiatif Klien</w:t>
      </w:r>
    </w:p>
    <w:p>
      <w:r>
        <w:rPr>
          <w:b w:val="0"/>
          <w:i w:val="0"/>
        </w:rPr>
        <w:t>Dari sisi kapabilitas, Inixindo Jogja memosisikan diri pada irisan antara peran konsultatif, tata kelola, dan orkestrasi pelaksanaan yang memang dibutuhkan oleh Bank Mandiri. Artinya, kekuatan yang ditekankan bukan hanya kemampuan menyusun narasi proposal, tetapi kemampuan menghubungkan konteks bisnis, prioritas sponsor, kontrol risiko, dan rencana eksekusi dalam satu jalur kerja yang konsisten. - Konteks Bank Mandiri tetap menjadi acuan utama agar isi bab tidak bergeser menjadi generik. - Setiap butir pada bab ini harus bisa ditelusuri ke KPI, risiko, atau keputusan kerja yang nyata. Bab profil perusahaan harus membantu Bank Mandiri memahami mengapa Inixindo Jogja relevan untuk dipercaya pada ruang lingkup ini. Fokusnya bukan promosi yang terlalu lebar, tetapi bukti pengalaman, kedekatan domain, dan pola kerja yang paling dekat dengan inisiatif penguatan pelaksanaan tata kelola dan peta jalan transformasi digital.</w:t>
      </w:r>
    </w:p>
    <w:p>
      <w:r>
        <w:br w:type="page"/>
      </w:r>
    </w:p>
    <w:p>
      <w:pPr>
        <w:pStyle w:val="Heading1"/>
        <w:jc w:val="center"/>
      </w:pPr>
      <w:r>
        <w:rPr>
          <w:color w:val="777973"/>
        </w:rPr>
        <w:t>BAB XI – STRUKTUR &amp; TEAM PROYEK</w:t>
      </w:r>
    </w:p>
    <w:p>
      <w:r>
        <w:rPr>
          <w:b w:val="0"/>
          <w:i w:val="0"/>
        </w:rPr>
        <w:t>Struktur tim proyek untuk Bank Mandiri dibentuk agar pengambilan keputusan, pengawasan mutu, dan eksekusi lapangan bergerak seirama. Komposisi tim tidak diperlakukan sebagai daftar jabatan semata, tetapi sebagai mekanisme untuk menjaga kualitas output terhadap target Pertumbuhan transaksi digital nasabah dalam 6 bulan.</w:t>
      </w:r>
    </w:p>
    <w:p>
      <w:pPr>
        <w:pStyle w:val="Heading2"/>
      </w:pPr>
      <w:r>
        <w:rPr>
          <w:rFonts w:ascii="Arial" w:hAnsi="Arial"/>
          <w:b/>
          <w:color w:val="777973"/>
        </w:rPr>
        <w:t>11.1 Struktur Tim Proyek</w:t>
      </w:r>
    </w:p>
    <w:p>
      <w:pPr>
        <w:pStyle w:val="ListNumber"/>
        <w:spacing w:before="0" w:after="80"/>
        <w:numPr>
          <w:ilvl w:val="0"/>
          <w:numId w:val="29"/>
        </w:numPr>
      </w:pPr>
      <w:r>
        <w:rPr>
          <w:b/>
          <w:i w:val="0"/>
        </w:rPr>
        <w:t>Pimpinan Kemitraan</w:t>
      </w:r>
      <w:r>
        <w:rPr>
          <w:b w:val="0"/>
          <w:i w:val="0"/>
        </w:rPr>
        <w:t xml:space="preserve"> memastikan arah kemitraan, kualitas narasi eksekutif, dan penyelesaian isu kritis.</w:t>
      </w:r>
    </w:p>
    <w:p>
      <w:pPr>
        <w:pStyle w:val="ListNumber"/>
        <w:spacing w:before="0" w:after="80"/>
        <w:numPr>
          <w:ilvl w:val="0"/>
          <w:numId w:val="29"/>
        </w:numPr>
      </w:pPr>
      <w:r>
        <w:rPr>
          <w:b/>
          <w:i w:val="0"/>
        </w:rPr>
        <w:t>Manajer Proyek / Program</w:t>
      </w:r>
      <w:r>
        <w:rPr>
          <w:b w:val="0"/>
          <w:i w:val="0"/>
        </w:rPr>
        <w:t xml:space="preserve"> mengendalikan ritme pelaksanaan, tonggak capaian, ketergantungan, dan komunikasi lintas pihak.</w:t>
      </w:r>
    </w:p>
    <w:p>
      <w:pPr>
        <w:pStyle w:val="ListNumber"/>
        <w:spacing w:before="0" w:after="80"/>
        <w:numPr>
          <w:ilvl w:val="0"/>
          <w:numId w:val="29"/>
        </w:numPr>
      </w:pPr>
      <w:r>
        <w:rPr>
          <w:b/>
          <w:i w:val="0"/>
        </w:rPr>
        <w:t>Tim Inti Alur Kerja</w:t>
      </w:r>
      <w:r>
        <w:rPr>
          <w:b w:val="0"/>
          <w:i w:val="0"/>
        </w:rPr>
        <w:t xml:space="preserve"> memanfaatkan komposisi 1x Program Manager, 2x Change Experts, 3x Tech Leads agar area prioritas dapat dieksekusi dengan cakupan yang memadai.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Area Kapabilitas</w:t>
            </w:r>
          </w:p>
        </w:tc>
        <w:tc>
          <w:tcPr>
            <w:tcW w:type="dxa" w:w="3120"/>
          </w:tcPr>
          <w:p>
            <w:r>
              <w:rPr>
                <w:b w:val="0"/>
                <w:i w:val="0"/>
              </w:rPr>
              <w:t>Peran Utama</w:t>
            </w:r>
          </w:p>
        </w:tc>
        <w:tc>
          <w:tcPr>
            <w:tcW w:type="dxa" w:w="3120"/>
          </w:tcPr>
          <w:p>
            <w:r>
              <w:rPr>
                <w:b w:val="0"/>
                <w:i w:val="0"/>
              </w:rPr>
              <w:t>Fokus Kontribusi</w:t>
            </w:r>
          </w:p>
        </w:tc>
      </w:tr>
      <w:tr>
        <w:tc>
          <w:tcPr>
            <w:tcW w:type="dxa" w:w="3120"/>
          </w:tcPr>
          <w:p>
            <w:r>
              <w:rPr>
                <w:b w:val="0"/>
                <w:i w:val="0"/>
              </w:rPr>
              <w:t>Kepemimpinan dan tata kelola</w:t>
            </w:r>
          </w:p>
        </w:tc>
        <w:tc>
          <w:tcPr>
            <w:tcW w:type="dxa" w:w="3120"/>
          </w:tcPr>
          <w:p>
            <w:r>
              <w:rPr>
                <w:b w:val="0"/>
                <w:i w:val="0"/>
              </w:rPr>
              <w:t>Pimpinan Kemitraan / Manajer Proyek</w:t>
            </w:r>
          </w:p>
        </w:tc>
        <w:tc>
          <w:tcPr>
            <w:tcW w:type="dxa" w:w="3120"/>
          </w:tcPr>
          <w:p>
            <w:r>
              <w:rPr>
                <w:b w:val="0"/>
                <w:i w:val="0"/>
              </w:rPr>
              <w:t>Menjaga keputusan, kualitas, dan ritme pelaksanaan</w:t>
            </w:r>
          </w:p>
        </w:tc>
      </w:tr>
      <w:tr>
        <w:tc>
          <w:tcPr>
            <w:tcW w:type="dxa" w:w="3120"/>
          </w:tcPr>
          <w:p>
            <w:r>
              <w:rPr>
                <w:b w:val="0"/>
                <w:i w:val="0"/>
              </w:rPr>
              <w:t>Domain dan penerjemahan bisnis</w:t>
            </w:r>
          </w:p>
        </w:tc>
        <w:tc>
          <w:tcPr>
            <w:tcW w:type="dxa" w:w="3120"/>
          </w:tcPr>
          <w:p>
            <w:r>
              <w:rPr>
                <w:b w:val="0"/>
                <w:i w:val="0"/>
              </w:rPr>
              <w:t>Pimpinan Domain / Penerjemah Bisnis</w:t>
            </w:r>
          </w:p>
        </w:tc>
        <w:tc>
          <w:tcPr>
            <w:tcW w:type="dxa" w:w="3120"/>
          </w:tcPr>
          <w:p>
            <w:r>
              <w:rPr>
                <w:b w:val="0"/>
                <w:i w:val="0"/>
              </w:rPr>
              <w:t>Menjembatani sponsor, kebutuhan operasional, dan output proyek</w:t>
            </w:r>
          </w:p>
        </w:tc>
      </w:tr>
      <w:tr>
        <w:tc>
          <w:tcPr>
            <w:tcW w:type="dxa" w:w="3120"/>
          </w:tcPr>
          <w:p>
            <w:r>
              <w:rPr>
                <w:b w:val="0"/>
                <w:i w:val="0"/>
              </w:rPr>
              <w:t>Pelaksanaan pekerjaan</w:t>
            </w:r>
          </w:p>
        </w:tc>
        <w:tc>
          <w:tcPr>
            <w:tcW w:type="dxa" w:w="3120"/>
          </w:tcPr>
          <w:p>
            <w:r>
              <w:rPr>
                <w:b w:val="0"/>
                <w:i w:val="0"/>
              </w:rPr>
              <w:t>Tim Inti Alur Kerja</w:t>
            </w:r>
          </w:p>
        </w:tc>
        <w:tc>
          <w:tcPr>
            <w:tcW w:type="dxa" w:w="3120"/>
          </w:tcPr>
          <w:p>
            <w:r>
              <w:rPr>
                <w:b w:val="0"/>
                <w:i w:val="0"/>
              </w:rPr>
              <w:t>Menurunkan ruang lingkup menjadi dokumen, lokakarya, asesmen, pendampingan, atau dukungan implementasi</w:t>
            </w:r>
          </w:p>
        </w:tc>
      </w:tr>
    </w:tbl>
    <w:p>
      <w:pPr>
        <w:pStyle w:val="Heading2"/>
      </w:pPr>
      <w:r>
        <w:rPr>
          <w:rFonts w:ascii="Arial" w:hAnsi="Arial"/>
          <w:b/>
          <w:color w:val="777973"/>
        </w:rPr>
        <w:t>11.2 Kapabilitas, Pengalaman, dan Sertifikasi</w:t>
      </w:r>
    </w:p>
    <w:p>
      <w:r>
        <w:rPr>
          <w:b w:val="0"/>
          <w:i w:val="0"/>
        </w:rPr>
        <w:t>Dari sisi kapabilitas, tim pelaksanaan disiapkan untuk menggabungkan pemahaman domain, disiplin arsitektur/operasi, dan pengalaman eksekusi proyek yang serupa. Rujukan kapabilitas internal saat ini mencakup Kapabilitas layanan menyesuaikan kebutuhan proyek klien, dengan titik bukti utama pada Kapabilitas layanan menyesuaikan kebutuhan proyek klien, 1. - Konteks Bank Mandiri tetap menjadi acuan utama agar isi bab tidak bergeser menjadi generik. - Setiap butir pada bab ini harus bisa ditelusuri ke KPI, risiko, atau keputusan kerja yang nyata. - Istilah kerja yang tetap dijaga pada bab ini mencakup nasabah, core banking, risk appetite. Untuk Bank Mandiri, isi bab ini harus dibaca sebagai dasar keputusan kerja yang dapat ditindaklanjuti, bukan sekadar penjelasan konseptual. Karena itu, isi bab tetap diarahkan untuk menjaga relevansi terhadap KPI seperti Pertumbuhan transaksi digital nasabah dalam 6 bulan. | Kepatuhan &amp; risiko operasional (audit findings) membaik dalam 6 bulan. dan istilah kerja nasabah, core banking.</w:t>
      </w:r>
    </w:p>
    <w:p>
      <w:r>
        <w:br w:type="page"/>
      </w:r>
    </w:p>
    <w:p>
      <w:pPr>
        <w:pStyle w:val="Heading1"/>
        <w:jc w:val="center"/>
      </w:pPr>
      <w:r>
        <w:rPr>
          <w:color w:val="777973"/>
        </w:rPr>
        <w:t>BAB XII – MODEL PEMBIAYAAN</w:t>
      </w:r>
    </w:p>
    <w:p>
      <w:r>
        <w:rPr>
          <w:b w:val="0"/>
          <w:i w:val="0"/>
        </w:rPr>
        <w:t>Model pembiayaan untuk Bank Mandiri disusun agar komitmen biaya, mekanisme pembayaran, dan batas ruang lingkup tetap jelas sejak awal. Tujuannya adalah menjaga proyek penguatan pelaksanaan tata kelola dan peta jalan transformasi digital tetap dapat dieksekusi tanpa ambiguitas komersial, sambil memberi ruang kontrol terhadap perubahan yang benar-benar material dan memastikan investasi tetap tertaut pada manfaat yang dijanjikan: Inixindo Jogja menempatkan engagement Bank Mandiri sebagai upaya untuk mengubah kebutuhan klien menjadi program perubahan yang lebih terkendali, dengan memanfaatkan kapabilitas kesiapan asesmen, penerapan bertahap orchestration, pengelolaan perubahan, dan.... Estimasi investasi awal untuk penugasan ini adalah</w:t>
      </w:r>
      <w:r>
        <w:rPr>
          <w:b/>
          <w:i w:val="0"/>
        </w:rPr>
        <w:t xml:space="preserve"> Rp 650.000.000</w:t>
      </w:r>
      <w:r>
        <w:rPr>
          <w:b w:val="0"/>
          <w:i w:val="0"/>
        </w:rPr>
        <w:t>, dengan tipe layanan</w:t>
      </w:r>
      <w:r>
        <w:rPr>
          <w:b/>
          <w:i w:val="0"/>
        </w:rPr>
        <w:t xml:space="preserve"> Konsultan</w:t>
      </w:r>
      <w:r>
        <w:rPr>
          <w:b w:val="0"/>
          <w:i w:val="0"/>
        </w:rPr>
        <w:t xml:space="preserve"> pada model proyek</w:t>
      </w:r>
      <w:r>
        <w:rPr>
          <w:b/>
          <w:i w:val="0"/>
        </w:rPr>
        <w:t xml:space="preserve"> Transformation</w:t>
      </w:r>
      <w:r>
        <w:rPr>
          <w:b w:val="0"/>
          <w:i w:val="0"/>
        </w:rPr>
        <w:t xml:space="preserve"> selama</w:t>
      </w:r>
      <w:r>
        <w:rPr>
          <w:b/>
          <w:i w:val="0"/>
        </w:rPr>
        <w:t xml:space="preserve"> 6 bulan</w:t>
      </w:r>
      <w:r>
        <w:rPr>
          <w:b w:val="0"/>
          <w:i w:val="0"/>
        </w:rPr>
        <w:t>. Struktur komersial penugasan mengacu pada berdasarkan waktu dan material (T&amp;M) over 12-18 months.</w:t>
      </w:r>
    </w:p>
    <w:p>
      <w:r>
        <w:rPr>
          <w:b w:val="0"/>
          <w:i w:val="0"/>
        </w:rPr>
        <w:t>| --- | --- | | Estimasi investasi | Rp 650.000.000 | | Model penugasan | Konsultan - Transformation | | Durasi acuan | 6 bulan | | Basis komersial | berdasarkan waktu dan material (T&amp;M) over 12-18 months | | Mekanisme penelaahan | Penelaahan tonggak capaian, persetujuan keluaran, dan persetujuan perubahan ruang lingkup | 1.</w:t>
      </w:r>
      <w:r>
        <w:rPr>
          <w:b/>
          <w:i w:val="0"/>
        </w:rPr>
        <w:t xml:space="preserve"> Mobilisasi dan kesiapan</w:t>
      </w:r>
      <w:r>
        <w:rPr>
          <w:b w:val="0"/>
          <w:i w:val="0"/>
        </w:rPr>
        <w:t xml:space="preserve"> sebesar 20% dari estimasi investasi, ditagihkan setelah tonggak capaian terkait diterima. 2.</w:t>
      </w:r>
      <w:r>
        <w:rPr>
          <w:b/>
          <w:i w:val="0"/>
        </w:rPr>
        <w:t xml:space="preserve"> Cetak biru dan penyiapan tata kelola</w:t>
      </w:r>
      <w:r>
        <w:rPr>
          <w:b w:val="0"/>
          <w:i w:val="0"/>
        </w:rPr>
        <w:t xml:space="preserve"> sebesar 30% dari estimasi investasi, ditagihkan setelah tonggak capaian terkait diterima. 3.</w:t>
      </w:r>
      <w:r>
        <w:rPr>
          <w:b/>
          <w:i w:val="0"/>
        </w:rPr>
        <w:t xml:space="preserve"> Tonggak capaian penerapan</w:t>
      </w:r>
      <w:r>
        <w:rPr>
          <w:b w:val="0"/>
          <w:i w:val="0"/>
        </w:rPr>
        <w:t xml:space="preserve"> sebesar 30% dari estimasi investasi, ditagihkan setelah tonggak capaian terkait diterima. 4.</w:t>
      </w:r>
      <w:r>
        <w:rPr>
          <w:b/>
          <w:i w:val="0"/>
        </w:rPr>
        <w:t xml:space="preserve"> Pendampingan intensif dan penutupan</w:t>
      </w:r>
      <w:r>
        <w:rPr>
          <w:b w:val="0"/>
          <w:i w:val="0"/>
        </w:rPr>
        <w:t xml:space="preserve"> sebesar 20% dari estimasi investasi, ditagihkan setelah tonggak capaian terkait diterima.</w:t>
      </w:r>
    </w:p>
    <w:p>
      <w:pPr>
        <w:pStyle w:val="Heading2"/>
      </w:pPr>
      <w:r>
        <w:rPr>
          <w:rFonts w:ascii="Arial" w:hAnsi="Arial"/>
          <w:b/>
          <w:color w:val="777973"/>
        </w:rPr>
        <w:t>12.2 Model Pekerjaan dan Batasan Pekerjaan</w:t>
      </w:r>
    </w:p>
    <w:p>
      <w:r>
        <w:rPr>
          <w:b w:val="0"/>
          <w:i w:val="0"/>
        </w:rPr>
        <w:t>Model kerja dirancang agar ruang lingkup pelaksanaan tetap fokus pada kebutuhan problem, opportunity dan KPI seperti Pertumbuhan transaksi digital nasabah dalam 6 bulan. | Kepatuhan &amp; risiko operasional (audit findings) membaik dalam 6 bulan. Untuk Bank Mandiri, disiplin komersial seperti ini penting agar keputusan investasi tetap berada dalam koridor manfaat bisnis, risk appetite, dan kepatuhan POJK yang dapat dipertanggungjawabkan. Model pembiayaan yang baik harus mampu menjaga fleksibilitas eksekusi tanpa membuat biaya berkembang secara tidak terkendali. Bagian 12.1 biaya dan tahapan pembayaran perlu dijelaskan secara lebih konkret agar pembaca dapat melihat kaitannya dengan keputusan, risiko, keluaran, dan hasil yang ingin dicapai.</w:t>
      </w:r>
    </w:p>
    <w:p>
      <w:pPr>
        <w:pStyle w:val="Heading2"/>
      </w:pPr>
      <w:r>
        <w:rPr>
          <w:rFonts w:ascii="Arial" w:hAnsi="Arial"/>
          <w:b/>
          <w:color w:val="777973"/>
        </w:rPr>
        <w:t>12.1 Biaya dan Tahapan Pembayaran</w:t>
      </w:r>
    </w:p>
    <w:p>
      <w:r>
        <w:rPr>
          <w:b w:val="0"/>
          <w:i w:val="0"/>
        </w:rPr>
        <w:t>Bagian 12.1 biaya dan tahapan pembayaran perlu dijelaskan secara lebih konkret agar pembaca dapat melihat kaitannya dengan keputusan, risiko, keluaran, dan hasil yang ingin dicapai.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PENUTUP &amp; APRESIASI KEMITRAAN</w:t>
      </w:r>
    </w:p>
    <w:p>
      <w:r>
        <w:rPr>
          <w:b w:val="0"/>
          <w:i w:val="0"/>
        </w:rPr>
        <w:t>Terima kasih atas kesempatan yang diberikan kepada Inixindo Jogja untuk menyusun proposal bagi Bank Mandiri. Kami memandang inisiatif penguatan pelaksanaan tata kelola dan peta jalan transformasi digital bukan hanya sebagai pekerjaan pelaksanaan, tetapi sebagai fondasi kemitraan profesional yang harus terasa rapi, hangat, dan dapat dipertanggungjawabkan.</w:t>
      </w:r>
    </w:p>
    <w:p>
      <w:pPr>
        <w:pStyle w:val="Heading2"/>
      </w:pPr>
      <w:r>
        <w:rPr>
          <w:rFonts w:ascii="Arial" w:hAnsi="Arial"/>
          <w:b/>
          <w:color w:val="777973"/>
        </w:rPr>
        <w:t>Apresiasi dan Komitmen Kemitraan</w:t>
      </w:r>
    </w:p>
    <w:p>
      <w:pPr>
        <w:pStyle w:val="ListNumber"/>
        <w:spacing w:before="0" w:after="80"/>
        <w:numPr>
          <w:ilvl w:val="0"/>
          <w:numId w:val="30"/>
        </w:numPr>
      </w:pPr>
      <w:r>
        <w:rPr>
          <w:b w:val="0"/>
          <w:i w:val="0"/>
        </w:rPr>
        <w:t>Kami mengapresiasi keterbukaan Bank Mandiri dalam mengangkat konteks, tantangan, dan target bisnis yang menjadi dasar proposal ini.</w:t>
      </w:r>
    </w:p>
    <w:p>
      <w:pPr>
        <w:pStyle w:val="ListNumber"/>
        <w:spacing w:before="0" w:after="80"/>
        <w:numPr>
          <w:ilvl w:val="0"/>
          <w:numId w:val="30"/>
        </w:numPr>
      </w:pPr>
      <w:r>
        <w:rPr>
          <w:b w:val="0"/>
          <w:i w:val="0"/>
        </w:rPr>
        <w:t>Kami berkomitmen menjaga kualitas kolaborasi melalui cara kerja yang jelas, komunikasi yang responsif, dan keluaran yang dapat ditindaklanjuti, sejalan dengan posisi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0"/>
        </w:numPr>
      </w:pPr>
      <w:r>
        <w:rPr>
          <w:b w:val="0"/>
          <w:i w:val="0"/>
        </w:rPr>
        <w:t>Fokus awal kemitraan diarahkan pada prioritas seperti Pertumbuhan transaksi digital nasabah dalam 6 bulan. | Kepatuhan &amp; risiko operasional (audit findings) membaik dalam 6 bulan. | Ketersediaan layanan digital meningkat dan insiden prioritas menurun dalam 6 bulan., dengan tata kelola dan ritme eksekusi yang stabil sejak inisiasi.</w:t>
      </w:r>
    </w:p>
    <w:p>
      <w:pPr>
        <w:pStyle w:val="Heading2"/>
      </w:pPr>
      <w:r>
        <w:rPr>
          <w:rFonts w:ascii="Arial" w:hAnsi="Arial"/>
          <w:b/>
          <w:color w:val="777973"/>
        </w:rPr>
        <w:t>Informasi Kontak dan Langkah Lanjutan</w:t>
      </w:r>
    </w:p>
    <w:p>
      <w:r>
        <w:rPr>
          <w:b w:val="0"/>
          <w:i w:val="0"/>
        </w:rPr>
        <w:t>Untuk melanjutkan pembahasan, Inixindo Jogja siap menindaklanjuti review proposal, penajaman ruang lingkup, dan penyesuaian komersial yang diperlukan. - Konteks Bank Mandiri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7"/>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7"/>
  </w:num>
  <w:num w:numId="20">
    <w:abstractNumId w:val="7"/>
  </w:num>
  <w:num w:numId="21">
    <w:abstractNumId w:val="7"/>
  </w:num>
  <w:num w:numId="22">
    <w:abstractNumId w:val="7"/>
  </w:num>
  <w:num w:numId="23">
    <w:abstractNumId w:val="7"/>
  </w:num>
  <w:num w:numId="24">
    <w:abstractNumId w:val="8"/>
  </w:num>
  <w:num w:numId="25">
    <w:abstractNumId w:val="7"/>
  </w:num>
  <w:num w:numId="26">
    <w:abstractNumId w:val="8"/>
  </w:num>
  <w:num w:numId="27">
    <w:abstractNumId w:val="7"/>
  </w:num>
  <w:num w:numId="28">
    <w:abstractNumId w:val="7"/>
  </w:num>
  <w:num w:numId="29">
    <w:abstractNumId w:val="7"/>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