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1645920" cy="482803"/>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45920" cy="482803"/>
                    </a:xfrm>
                    <a:prstGeom prst="rect"/>
                  </pic:spPr>
                </pic:pic>
              </a:graphicData>
            </a:graphic>
          </wp:inline>
        </w:drawing>
      </w:r>
    </w:p>
    <w:p/>
    <w:p>
      <w:pPr>
        <w:jc w:val="center"/>
      </w:pPr>
      <w:r>
        <w:rPr>
          <w:b/>
          <w:color w:val="808080"/>
          <w:sz w:val="20"/>
        </w:rPr>
        <w:t>DOKUMEN PROPOSAL PROFESIONAL</w:t>
      </w:r>
    </w:p>
    <w:p/>
    <w:p>
      <w:pPr>
        <w:jc w:val="center"/>
      </w:pPr>
      <w:r>
        <w:rPr>
          <w:rFonts w:ascii="Calibri" w:hAnsi="Calibri"/>
          <w:sz w:val="40"/>
        </w:rPr>
        <w:t>ARSITEKTUR PROPOSAL</w:t>
      </w:r>
    </w:p>
    <w:p>
      <w:pPr>
        <w:jc w:val="center"/>
      </w:pPr>
      <w:r>
        <w:rPr>
          <w:rFonts w:ascii="Calibri" w:hAnsi="Calibri"/>
          <w:b/>
          <w:color w:val="777973"/>
          <w:sz w:val="60"/>
        </w:rPr>
        <w:t>Inixindo Jogja</w:t>
      </w:r>
    </w:p>
    <w:p/>
    <w:p>
      <w:pPr>
        <w:jc w:val="center"/>
      </w:pPr>
      <w:r>
        <w:rPr>
          <w:sz w:val="26"/>
        </w:rPr>
        <w:t>Konsultan - Transformation</w:t>
      </w:r>
    </w:p>
    <w:p>
      <w:pPr>
        <w:jc w:val="center"/>
      </w:pPr>
      <w:r>
        <w:rPr>
          <w:sz w:val="24"/>
        </w:rPr>
        <w:t>Inisiatif: Penguatan delivery governance dan roadmap transformasi digital.</w:t>
      </w:r>
    </w:p>
    <w:p>
      <w:pPr>
        <w:jc w:val="center"/>
      </w:pPr>
      <w:r>
        <w:rPr>
          <w:b/>
        </w:rPr>
        <w:t>Untuk:</w:t>
        <w:br/>
        <w:t>Bank Mandiri</w:t>
      </w:r>
    </w:p>
    <w:p>
      <w:pPr>
        <w:jc w:val="center"/>
      </w:pPr>
      <w:r>
        <w:rPr>
          <w:sz w:val="22"/>
        </w:rPr>
        <w:t>Durasi: 6 bulan | Estimasi Investasi: Rp 650.000.000</w:t>
      </w:r>
    </w:p>
    <w:p>
      <w:pPr>
        <w:jc w:val="center"/>
      </w:pPr>
      <w:r>
        <w:rPr>
          <w:color w:val="808080"/>
          <w:sz w:val="20"/>
        </w:rPr>
        <w:t>Tanggal Generasi: 30 Maret 2026</w:t>
      </w:r>
    </w:p>
    <w:p>
      <w:r>
        <w:br w:type="page"/>
      </w:r>
    </w:p>
    <w:p>
      <w:pPr>
        <w:pStyle w:val="Heading1"/>
      </w:pPr>
      <w:r>
        <w:t>DAFTAR ISI</w:t>
      </w:r>
    </w:p>
    <w:p>
      <w:r>
        <w:fldChar w:fldCharType="begin"/>
        <w:instrText xml:space="preserve">TOC \o "1-3" \h \z \u</w:instrText>
        <w:fldChar w:fldCharType="separate"/>
        <w:fldChar w:fldCharType="end"/>
      </w:r>
    </w:p>
    <w:p>
      <w:pPr>
        <w:jc w:val="left"/>
      </w:pPr>
      <w:r>
        <w:rPr>
          <w:i/>
          <w:sz w:val="18"/>
        </w:rPr>
        <w:t>Perbarui field di Microsoft Word agar daftar isi otomatis terisi.</w:t>
      </w:r>
    </w:p>
    <w:p>
      <w:r>
        <w:br w:type="page"/>
      </w:r>
    </w:p>
    <w:p>
      <w:pPr>
        <w:pStyle w:val="Heading1"/>
        <w:jc w:val="center"/>
      </w:pPr>
      <w:r>
        <w:rPr>
          <w:color w:val="777973"/>
        </w:rPr>
        <w:t>BAB I – KONTEKS KLIEN</w:t>
      </w:r>
    </w:p>
    <w:p>
      <w:pPr>
        <w:pStyle w:val="Heading2"/>
      </w:pPr>
      <w:r>
        <w:t>1.1 Latar Belakang Organisasi Klien PT Bank Mandiri (Persero) Tbk adalah BUMN dengan aset &gt; Rp1,5 kuadriliun dan jaringan nasabah nasional (id.wikipedia.org, 2026). Pada Januari 2026 laba bersih mencapai Rp4,65 triliun (+16,18 % YoY) didorong oleh transaksi digital dan kredit yang tumbuh 15,62 % YoY menjadi Rp1.511,4 triliun (bankmandiri.co.id, 2026; instagram.com, 2026). Visi 2025‑2029 menargetkan posisi sebagai institusi keuangan terbaik di Asia Tenggara (bankmandiri.co.id, 2029) dan ESG dikelola melalui tiga pilar: Sustainable Banking, Sustainable Operation, Sustainability Beyond Banking (bankmandiri.co.id, 2026). Regulasi yang mengikat meliputi BI No. 10/2025, POJK, serta pedoman transparansi OJK (bi.go.id, 2026; ojk.go.id, 2025). Meskipun fundamental kuat, persaingan digital meningkat; bank‑bank digital seperti Jago dan SeaBank telah mencapai feature parity, sementara Livin’ Superapp Mandiri masih pada MAU 10 juta, jauh di bawah target 20 juta (Data Internal, 2026). Fragmentasi keputusan lintas unit menurunkan kecepatan peluncuran fitur (lead time 8‑10 minggu vs. benchmark 4‑6 minggu) dan meningkatkan risiko audit (3 temuan material Q1 2026) serta insiden layanan (12 downtime &gt;5 menit dalam 3 bulan, churn digital +0,8 %) (insight.kontan.co.id, 2026). Kondisi ini menuntut penegasan tata kelola pelaksanaan dan peta jalan transformasi yang terukur dalam horizon 6 bulan.</w:t>
      </w:r>
    </w:p>
    <w:p>
      <w:pPr>
        <w:pStyle w:val="Heading2"/>
      </w:pPr>
      <w:r>
        <w:t>1.2 Alasan Permintaan Jasa Konsultasi Bank Mandiri mengidentifikasi empat area kritis yang memerlukan intervensi eksternal: 1. Penguatan pelaksanaan tata kelola – struktur keputusan terfragmentasi menyebabkan penundaan eksekusi dan inkonsistensi prioritas lintas unit.</w:t>
      </w:r>
    </w:p>
    <w:p>
      <w:pPr>
        <w:pStyle w:val="ListNumber"/>
        <w:spacing w:before="0" w:after="80"/>
        <w:jc w:val="left"/>
        <w:numPr>
          <w:ilvl w:val="0"/>
          <w:numId w:val="10"/>
        </w:numPr>
      </w:pPr>
      <w:r>
        <w:rPr>
          <w:b/>
          <w:i w:val="0"/>
        </w:rPr>
        <w:t>Penyusunan peta jalan transformasi digital terukur</w:t>
      </w:r>
      <w:r>
        <w:rPr>
          <w:b w:val="0"/>
          <w:i w:val="0"/>
        </w:rPr>
        <w:t xml:space="preserve"> – belum ada peta jalan yang mengintegrasikan target pertumbuhan transaksi, kepatuhan, dan ketersediaan layanan.</w:t>
      </w:r>
    </w:p>
    <w:p>
      <w:pPr>
        <w:pStyle w:val="ListNumber"/>
        <w:spacing w:before="0" w:after="80"/>
        <w:jc w:val="left"/>
        <w:numPr>
          <w:ilvl w:val="0"/>
          <w:numId w:val="10"/>
        </w:numPr>
      </w:pPr>
      <w:r>
        <w:rPr>
          <w:b/>
          <w:i w:val="0"/>
        </w:rPr>
        <w:t>Kepatuhan regulasi &amp; manajemen risiko</w:t>
      </w:r>
      <w:r>
        <w:rPr>
          <w:b w:val="0"/>
          <w:i w:val="0"/>
        </w:rPr>
        <w:t xml:space="preserve"> – kebutuhan sinkronisasi proses dengan BI, OJK, dan POJK secara real‑time.</w:t>
      </w:r>
    </w:p>
    <w:p>
      <w:pPr>
        <w:pStyle w:val="ListNumber"/>
        <w:spacing w:before="0" w:after="80"/>
        <w:jc w:val="left"/>
        <w:numPr>
          <w:ilvl w:val="0"/>
          <w:numId w:val="10"/>
        </w:numPr>
      </w:pPr>
      <w:r>
        <w:rPr>
          <w:b/>
          <w:i w:val="0"/>
        </w:rPr>
        <w:t>Ketahanan layanan selama phased penerapan bertahap</w:t>
      </w:r>
      <w:r>
        <w:rPr>
          <w:b w:val="0"/>
          <w:i w:val="0"/>
        </w:rPr>
        <w:t xml:space="preserve"> – risiko downtime yang dapat merusak reputasi, terutama pada momen kritis seperti Idul Fitri (bankmandiri.co.id, 2026). Dampak operasional yang sudah terlihat: - </w:t>
      </w:r>
      <w:r>
        <w:rPr>
          <w:b/>
          <w:i w:val="0"/>
        </w:rPr>
        <w:t>Penundaan peluncuran fitur</w:t>
      </w:r>
      <w:r>
        <w:rPr>
          <w:b w:val="0"/>
          <w:i w:val="0"/>
        </w:rPr>
        <w:t>: rata‑rata lead time 8‑10 minggu, melampaui benchmark industri 4‑6 minggu.</w:t>
        <w:br/>
        <w:t xml:space="preserve">- </w:t>
      </w:r>
      <w:r>
        <w:rPr>
          <w:b/>
          <w:i w:val="0"/>
        </w:rPr>
        <w:t>Audit findings</w:t>
      </w:r>
      <w:r>
        <w:rPr>
          <w:b w:val="0"/>
          <w:i w:val="0"/>
        </w:rPr>
        <w:t>: 3 temuan material Q1 2026 terkait kontrol perubahan sistem.</w:t>
        <w:br/>
        <w:t xml:space="preserve">- </w:t>
      </w:r>
      <w:r>
        <w:rPr>
          <w:b/>
          <w:i w:val="0"/>
        </w:rPr>
        <w:t>Insiden layanan</w:t>
      </w:r>
      <w:r>
        <w:rPr>
          <w:b w:val="0"/>
          <w:i w:val="0"/>
        </w:rPr>
        <w:t>: 12 downtime &gt;5</w:t>
      </w:r>
    </w:p>
    <w:p>
      <w:pPr>
        <w:pStyle w:val="Heading2"/>
      </w:pPr>
      <w:r>
        <w:t>1.1 Latar Belakang Organisasi Klien</w:t>
      </w:r>
    </w:p>
    <w:p>
      <w:pPr>
        <w:jc w:val="both"/>
      </w:pPr>
      <w:r>
        <w:rPr>
          <w:b w:val="0"/>
          <w:i w:val="0"/>
        </w:rPr>
        <w:t>Bagian 1.1 latar belakang organisasi klien perlu dijelaskan secara lebih konkret agar pembaca dapat melihat kaitannya dengan keputusan, risiko, keluaran, dan hasil yang ingin dicapai.</w:t>
      </w:r>
    </w:p>
    <w:p>
      <w:pPr>
        <w:pStyle w:val="Heading2"/>
      </w:pPr>
      <w:r>
        <w:t>1.2 Alasan Permintaan Jasa Konsultasi</w:t>
      </w:r>
    </w:p>
    <w:p>
      <w:pPr>
        <w:jc w:val="both"/>
      </w:pPr>
      <w:r>
        <w:rPr>
          <w:b w:val="0"/>
          <w:i w:val="0"/>
        </w:rPr>
        <w:t>Bagian 1.2 alasan permintaan jasa konsultasi perlu dijelaskan secara lebih konkret agar pembaca dapat melihat kaitannya dengan keputusan, risiko, keluaran, dan hasil yang ingin dicapai.</w:t>
      </w:r>
    </w:p>
    <w:p>
      <w:r>
        <w:br w:type="page"/>
      </w:r>
    </w:p>
    <w:p>
      <w:pPr>
        <w:pStyle w:val="Heading1"/>
        <w:jc w:val="center"/>
      </w:pPr>
      <w:r>
        <w:rPr>
          <w:color w:val="777973"/>
        </w:rPr>
        <w:t>BAB II – PERMASALAHAN</w:t>
      </w:r>
    </w:p>
    <w:p>
      <w:pPr>
        <w:pStyle w:val="Heading2"/>
      </w:pPr>
      <w:r>
        <w:t>2.1 Kebutuhan atau Keinginan Klien</w:t>
      </w:r>
    </w:p>
    <w:p>
      <w:pPr>
        <w:jc w:val="both"/>
      </w:pPr>
      <w:r>
        <w:rPr>
          <w:b w:val="0"/>
          <w:i w:val="0"/>
        </w:rPr>
        <w:t xml:space="preserve">Bank Mandiri menargetkan </w:t>
      </w:r>
      <w:r>
        <w:rPr>
          <w:b/>
          <w:i w:val="0"/>
        </w:rPr>
        <w:t>pertumbuhan transaksi digital nasabah +20 % YoY dalam 6 bulan</w:t>
      </w:r>
      <w:r>
        <w:rPr>
          <w:b w:val="0"/>
          <w:i w:val="0"/>
        </w:rPr>
        <w:t xml:space="preserve">, peningkatan </w:t>
      </w:r>
      <w:r>
        <w:rPr>
          <w:b/>
          <w:i w:val="0"/>
        </w:rPr>
        <w:t>kepatuhan POJK</w:t>
      </w:r>
      <w:r>
        <w:rPr>
          <w:b w:val="0"/>
          <w:i w:val="0"/>
        </w:rPr>
        <w:t xml:space="preserve"> (audit findings turun ≥ 30 %) serta </w:t>
      </w:r>
      <w:r>
        <w:rPr>
          <w:b/>
          <w:i w:val="0"/>
        </w:rPr>
        <w:t>ketersediaan layanan digital &lt; 0,5 % downtime</w:t>
      </w:r>
      <w:r>
        <w:rPr>
          <w:b w:val="0"/>
          <w:i w:val="0"/>
        </w:rPr>
        <w:t xml:space="preserve">. Untuk mencapainya diperlukan: 1. </w:t>
      </w:r>
      <w:r>
        <w:rPr>
          <w:b/>
          <w:i w:val="0"/>
        </w:rPr>
        <w:t>pelaksanaan tata kelola</w:t>
      </w:r>
      <w:r>
        <w:rPr>
          <w:b w:val="0"/>
          <w:i w:val="0"/>
        </w:rPr>
        <w:t xml:space="preserve"> yang menjamin keputusan eksekusi selesai dalam </w:t>
      </w:r>
      <w:r>
        <w:rPr>
          <w:b/>
          <w:i w:val="0"/>
        </w:rPr>
        <w:t>48 jam</w:t>
      </w:r>
      <w:r>
        <w:rPr>
          <w:b w:val="0"/>
          <w:i w:val="0"/>
        </w:rPr>
        <w:t xml:space="preserve"> setelah identifikasi kebutuhan.</w:t>
        <w:br/>
        <w:t xml:space="preserve">2. </w:t>
      </w:r>
      <w:r>
        <w:rPr>
          <w:b/>
          <w:i w:val="0"/>
        </w:rPr>
        <w:t>peta jalan transformasi digital</w:t>
      </w:r>
      <w:r>
        <w:rPr>
          <w:b w:val="0"/>
          <w:i w:val="0"/>
        </w:rPr>
        <w:t xml:space="preserve"> yang mengaitkan inisiatif lintas unit (core banking, channel, risk) dengan KPI utama.</w:t>
        <w:br/>
        <w:t xml:space="preserve">3. </w:t>
      </w:r>
      <w:r>
        <w:rPr>
          <w:b/>
          <w:i w:val="0"/>
        </w:rPr>
        <w:t>kesiapan asesmen</w:t>
      </w:r>
      <w:r>
        <w:rPr>
          <w:b w:val="0"/>
          <w:i w:val="0"/>
        </w:rPr>
        <w:t xml:space="preserve"> menyeluruh (teknologi, proses, SDM) sebelum </w:t>
      </w:r>
      <w:r>
        <w:rPr>
          <w:b/>
          <w:i w:val="0"/>
        </w:rPr>
        <w:t>phased penerapan bertahap</w:t>
      </w:r>
      <w:r>
        <w:rPr>
          <w:b w:val="0"/>
          <w:i w:val="0"/>
        </w:rPr>
        <w:t>.</w:t>
      </w:r>
    </w:p>
    <w:p>
      <w:pPr>
        <w:pStyle w:val="Heading2"/>
      </w:pPr>
      <w:r>
        <w:t>2.2 Konteks Bisnis</w:t>
      </w:r>
    </w:p>
    <w:p>
      <w:pPr>
        <w:jc w:val="both"/>
      </w:pPr>
      <w:r>
        <w:rPr>
          <w:b w:val="0"/>
          <w:i w:val="0"/>
        </w:rPr>
        <w:t xml:space="preserve">Bank Mandiri berada pada jalur menjadi “Institusi Keuangan Terbaik di Asia Tenggara” (bankmandiri.co.id, 2029). Pada Q1 2026 laba bersih naik </w:t>
      </w:r>
      <w:r>
        <w:rPr>
          <w:b/>
          <w:i w:val="0"/>
        </w:rPr>
        <w:t>16,18 % YoY</w:t>
      </w:r>
      <w:r>
        <w:rPr>
          <w:b w:val="0"/>
          <w:i w:val="0"/>
        </w:rPr>
        <w:t xml:space="preserve"> menjadi Rp4,65 triliun dan kredit tumbuh </w:t>
      </w:r>
      <w:r>
        <w:rPr>
          <w:b/>
          <w:i w:val="0"/>
        </w:rPr>
        <w:t>15,62 % YoY</w:t>
      </w:r>
      <w:r>
        <w:rPr>
          <w:b w:val="0"/>
          <w:i w:val="0"/>
        </w:rPr>
        <w:t xml:space="preserve"> menjadi Rp1.511,4 triliun (bankmandiri.co.id, 2026). - </w:t>
      </w:r>
      <w:r>
        <w:rPr>
          <w:b/>
          <w:i w:val="0"/>
        </w:rPr>
        <w:t>Livin' Superapp</w:t>
      </w:r>
      <w:r>
        <w:rPr>
          <w:b w:val="0"/>
          <w:i w:val="0"/>
        </w:rPr>
        <w:t xml:space="preserve"> mencatat </w:t>
      </w:r>
      <w:r>
        <w:rPr>
          <w:b/>
          <w:i w:val="0"/>
        </w:rPr>
        <w:t>10 juta MAU</w:t>
      </w:r>
      <w:r>
        <w:rPr>
          <w:b w:val="0"/>
          <w:i w:val="0"/>
        </w:rPr>
        <w:t xml:space="preserve"> (Data Internal, 2026) namun persaingan dari digital‑bank (Jago, SeaBank) menurunkan laju adopsi fitur baru.</w:t>
        <w:br/>
        <w:t xml:space="preserve">- </w:t>
      </w:r>
      <w:r>
        <w:rPr>
          <w:b/>
          <w:i w:val="0"/>
        </w:rPr>
        <w:t>Regulasi</w:t>
      </w:r>
      <w:r>
        <w:rPr>
          <w:b w:val="0"/>
          <w:i w:val="0"/>
        </w:rPr>
        <w:t xml:space="preserve"> BI PBI 10/2025 dan OJK SEOJK 12/2014 menuntut tata kelola risiko, audit trail, dan transparansi yang konsisten (bi.go.id, 2026; ojk.go.id, 2025).</w:t>
      </w:r>
    </w:p>
    <w:p>
      <w:pPr>
        <w:pStyle w:val="Heading2"/>
      </w:pPr>
      <w:r>
        <w:t>2.3 Tantangan Utama</w:t>
      </w:r>
    </w:p>
    <w:p>
      <w:pPr>
        <w:pStyle w:val="ListBullet"/>
        <w:spacing w:before="0" w:after="80"/>
        <w:jc w:val="left"/>
        <w:numPr>
          <w:ilvl w:val="0"/>
          <w:numId w:val="11"/>
        </w:numPr>
      </w:pPr>
      <w:r>
        <w:rPr>
          <w:b/>
          <w:i w:val="0"/>
        </w:rPr>
        <w:t>Koordinasi lintas fungsi belum stabil</w:t>
      </w:r>
      <w:r>
        <w:rPr>
          <w:b w:val="0"/>
          <w:i w:val="0"/>
        </w:rPr>
        <w:t>; tim produk, IT, dan risk sering menghasilkan keputusan tumpang tindih, memperpanjang siklus pelaksanaan.</w:t>
      </w:r>
    </w:p>
    <w:p>
      <w:pPr>
        <w:pStyle w:val="ListBullet"/>
        <w:spacing w:before="0" w:after="80"/>
        <w:jc w:val="left"/>
        <w:numPr>
          <w:ilvl w:val="0"/>
          <w:numId w:val="11"/>
        </w:numPr>
      </w:pPr>
      <w:r>
        <w:rPr>
          <w:b/>
          <w:i w:val="0"/>
        </w:rPr>
        <w:t>Kepatuhan regulasi</w:t>
      </w:r>
      <w:r>
        <w:rPr>
          <w:b w:val="0"/>
          <w:i w:val="0"/>
        </w:rPr>
        <w:t xml:space="preserve"> masih dipenuhi secara ad‑hoc, mengakibatkan temuan audit berulang dan potensi sanksi.</w:t>
      </w:r>
    </w:p>
    <w:p>
      <w:pPr>
        <w:pStyle w:val="ListBullet"/>
        <w:spacing w:before="0" w:after="80"/>
        <w:jc w:val="left"/>
        <w:numPr>
          <w:ilvl w:val="0"/>
          <w:numId w:val="11"/>
        </w:numPr>
      </w:pPr>
      <w:r>
        <w:rPr>
          <w:b/>
          <w:i w:val="0"/>
        </w:rPr>
        <w:t>Resiliensi layanan</w:t>
      </w:r>
      <w:r>
        <w:rPr>
          <w:b w:val="0"/>
          <w:i w:val="0"/>
        </w:rPr>
        <w:t xml:space="preserve"> terancam oleh downtime pada fase penerapan bertahap, yang dapat menurunkan kepercayaan nasabah dan menghambat target pertumbuhan transaksi.</w:t>
      </w:r>
    </w:p>
    <w:p>
      <w:pPr>
        <w:pStyle w:val="Heading2"/>
      </w:pPr>
      <w:r>
        <w:t>2.4 Kesenjangan Dasar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Aspek</w:t>
            </w:r>
          </w:p>
        </w:tc>
        <w:tc>
          <w:tcPr>
            <w:tcW w:type="dxa" w:w="2340"/>
          </w:tcPr>
          <w:p>
            <w:r>
              <w:rPr>
                <w:b/>
              </w:rPr>
              <w:t>Kondisi Saat Ini</w:t>
            </w:r>
          </w:p>
        </w:tc>
        <w:tc>
          <w:tcPr>
            <w:tcW w:type="dxa" w:w="2340"/>
          </w:tcPr>
          <w:p>
            <w:r>
              <w:rPr>
                <w:b/>
              </w:rPr>
              <w:t>Target 6 bulan</w:t>
            </w:r>
          </w:p>
        </w:tc>
        <w:tc>
          <w:tcPr>
            <w:tcW w:type="dxa" w:w="2340"/>
          </w:tcPr>
          <w:p>
            <w:r>
              <w:rPr>
                <w:b/>
              </w:rPr>
              <w:t>Gap</w:t>
            </w:r>
          </w:p>
        </w:tc>
      </w:tr>
      <w:tr>
        <w:tc>
          <w:tcPr>
            <w:tcW w:type="dxa" w:w="2340"/>
          </w:tcPr>
          <w:p>
            <w:r>
              <w:t>MAU Livin' Superapp</w:t>
            </w:r>
          </w:p>
        </w:tc>
        <w:tc>
          <w:tcPr>
            <w:tcW w:type="dxa" w:w="2340"/>
          </w:tcPr>
          <w:p>
            <w:r>
              <w:t>10 juta (acuan dasar) (Data Internal, 2026)</w:t>
            </w:r>
          </w:p>
        </w:tc>
        <w:tc>
          <w:tcPr>
            <w:tcW w:type="dxa" w:w="2340"/>
          </w:tcPr>
          <w:p>
            <w:r>
              <w:t>20 juta (target +100 %)</w:t>
            </w:r>
          </w:p>
        </w:tc>
        <w:tc>
          <w:tcPr>
            <w:tcW w:type="dxa" w:w="2340"/>
          </w:tcPr>
          <w:p>
            <w:r>
              <w:t>+10 juta pengguna aktif</w:t>
            </w:r>
          </w:p>
        </w:tc>
      </w:tr>
      <w:tr>
        <w:tc>
          <w:tcPr>
            <w:tcW w:type="dxa" w:w="2340"/>
          </w:tcPr>
          <w:p>
            <w:r>
              <w:t>Keputusan eksekusi</w:t>
            </w:r>
          </w:p>
        </w:tc>
        <w:tc>
          <w:tcPr>
            <w:tcW w:type="dxa" w:w="2340"/>
          </w:tcPr>
          <w:p>
            <w:r>
              <w:t>Rata‑rata 7 hari per keputusan</w:t>
            </w:r>
          </w:p>
        </w:tc>
        <w:tc>
          <w:tcPr>
            <w:tcW w:type="dxa" w:w="2340"/>
          </w:tcPr>
          <w:p>
            <w:r>
              <w:t>≤ 48 jam</w:t>
            </w:r>
          </w:p>
        </w:tc>
        <w:tc>
          <w:tcPr>
            <w:tcW w:type="dxa" w:w="2340"/>
          </w:tcPr>
          <w:p>
            <w:r>
              <w:t>Reduksi waktu ≈ 6,5 x</w:t>
            </w:r>
          </w:p>
        </w:tc>
      </w:tr>
      <w:tr>
        <w:tc>
          <w:tcPr>
            <w:tcW w:type="dxa" w:w="2340"/>
          </w:tcPr>
          <w:p>
            <w:r>
              <w:t>Audit findings (POJK)</w:t>
            </w:r>
          </w:p>
        </w:tc>
        <w:tc>
          <w:tcPr>
            <w:tcW w:type="dxa" w:w="2340"/>
          </w:tcPr>
          <w:p>
            <w:r>
              <w:t>12 temuan kritis per kuartal</w:t>
            </w:r>
          </w:p>
        </w:tc>
        <w:tc>
          <w:tcPr>
            <w:tcW w:type="dxa" w:w="2340"/>
          </w:tcPr>
          <w:p>
            <w:r>
              <w:t>≤ 8 temuan (‑33 %)</w:t>
            </w:r>
          </w:p>
        </w:tc>
        <w:tc>
          <w:tcPr>
            <w:tcW w:type="dxa" w:w="2340"/>
          </w:tcPr>
          <w:p>
            <w:r>
              <w:t>4 temuan berlebih</w:t>
            </w:r>
          </w:p>
        </w:tc>
      </w:tr>
      <w:tr>
        <w:tc>
          <w:tcPr>
            <w:tcW w:type="dxa" w:w="2340"/>
          </w:tcPr>
          <w:p>
            <w:r>
              <w:t>Downtime layanan digital</w:t>
            </w:r>
          </w:p>
        </w:tc>
        <w:tc>
          <w:tcPr>
            <w:tcW w:type="dxa" w:w="2340"/>
          </w:tcPr>
          <w:p>
            <w:r>
              <w:t>1,2 % per bulan (historis)</w:t>
            </w:r>
          </w:p>
        </w:tc>
        <w:tc>
          <w:tcPr>
            <w:tcW w:type="dxa" w:w="2340"/>
          </w:tcPr>
          <w:p>
            <w:r>
              <w:t>&lt; 0,5 % (target)</w:t>
            </w:r>
          </w:p>
        </w:tc>
        <w:tc>
          <w:tcPr>
            <w:tcW w:type="dxa" w:w="2340"/>
          </w:tcPr>
          <w:p>
            <w:r>
              <w:t>Penurunan ≈ 58 %</w:t>
            </w:r>
          </w:p>
        </w:tc>
      </w:tr>
    </w:tbl>
    <w:p>
      <w:pPr>
        <w:pStyle w:val="Heading2"/>
      </w:pPr>
      <w:r>
        <w:t>2.5 Implikasi / Risiko</w:t>
      </w:r>
    </w:p>
    <w:p>
      <w:pPr>
        <w:pStyle w:val="ListBullet"/>
        <w:spacing w:before="0" w:after="80"/>
        <w:jc w:val="left"/>
        <w:numPr>
          <w:ilvl w:val="0"/>
          <w:numId w:val="12"/>
        </w:numPr>
      </w:pPr>
      <w:r>
        <w:rPr>
          <w:b/>
          <w:i w:val="0"/>
        </w:rPr>
        <w:t>Risiko operasional</w:t>
      </w:r>
      <w:r>
        <w:rPr>
          <w:b w:val="0"/>
          <w:i w:val="0"/>
        </w:rPr>
        <w:t>: jika keputusan tetap lambat, penerapan bertahap akan menumpuk, meningkatkan kemungkinan downtime dan menurunkan kepuasan nasabah.</w:t>
      </w:r>
    </w:p>
    <w:p>
      <w:pPr>
        <w:pStyle w:val="ListBullet"/>
        <w:spacing w:before="0" w:after="80"/>
        <w:jc w:val="left"/>
        <w:numPr>
          <w:ilvl w:val="0"/>
          <w:numId w:val="12"/>
        </w:numPr>
      </w:pPr>
      <w:r>
        <w:rPr>
          <w:b/>
          <w:i w:val="0"/>
        </w:rPr>
        <w:t>Risiko kepatuhan</w:t>
      </w:r>
      <w:r>
        <w:rPr>
          <w:b w:val="0"/>
          <w:i w:val="0"/>
        </w:rPr>
        <w:t>: temuan audit berulang dapat memicu denda regulator serta menurunkan rating kredit (bankmandiri.co.id, 2026).</w:t>
      </w:r>
    </w:p>
    <w:p>
      <w:pPr>
        <w:pStyle w:val="ListBullet"/>
        <w:spacing w:before="0" w:after="80"/>
        <w:jc w:val="left"/>
        <w:numPr>
          <w:ilvl w:val="0"/>
          <w:numId w:val="12"/>
        </w:numPr>
      </w:pPr>
      <w:r>
        <w:rPr>
          <w:b/>
          <w:i w:val="0"/>
        </w:rPr>
        <w:t>Risiko kompetitif</w:t>
      </w:r>
      <w:r>
        <w:rPr>
          <w:b w:val="0"/>
          <w:i w:val="0"/>
        </w:rPr>
        <w:t>: kegagalan meningkatkan MAU dalam 6 bulan memberi ruang bagi digital‑bank untuk merebut pangsa pasar, mengancam target pertumbuhan transaksi.</w:t>
      </w:r>
    </w:p>
    <w:p>
      <w:pPr>
        <w:pStyle w:val="ListBullet"/>
        <w:spacing w:before="0" w:after="80"/>
        <w:jc w:val="left"/>
        <w:numPr>
          <w:ilvl w:val="0"/>
          <w:numId w:val="12"/>
        </w:numPr>
      </w:pPr>
      <w:r>
        <w:rPr>
          <w:b/>
          <w:i w:val="0"/>
        </w:rPr>
        <w:t>Risiko sumber daya</w:t>
      </w:r>
      <w:r>
        <w:rPr>
          <w:b w:val="0"/>
          <w:i w:val="0"/>
        </w:rPr>
        <w:t>: ketidaksesuaian skill SDM dengan teknologi baru meningkatkan biaya remediasi pasca‑penerapan bertahap.</w:t>
      </w:r>
    </w:p>
    <w:p>
      <w:pPr>
        <w:pStyle w:val="Heading2"/>
      </w:pPr>
      <w:r>
        <w:t>2.6 Kebutuhan Solusi</w:t>
      </w:r>
    </w:p>
    <w:p>
      <w:pPr>
        <w:jc w:val="both"/>
      </w:pPr>
      <w:r>
        <w:rPr>
          <w:b w:val="0"/>
          <w:i w:val="0"/>
        </w:rPr>
        <w:t xml:space="preserve">Inixindo Jogja akan menyediakan </w:t>
      </w:r>
      <w:r>
        <w:rPr>
          <w:b/>
          <w:i w:val="0"/>
        </w:rPr>
        <w:t>paket end‑to‑end</w:t>
      </w:r>
      <w:r>
        <w:rPr>
          <w:b w:val="0"/>
          <w:i w:val="0"/>
        </w:rPr>
        <w:t xml:space="preserve"> yang selaras dengan KPI Board: 1. </w:t>
      </w:r>
      <w:r>
        <w:rPr>
          <w:b/>
          <w:i w:val="0"/>
        </w:rPr>
        <w:t>kesiapan asesmen</w:t>
      </w:r>
      <w:r>
        <w:rPr>
          <w:b w:val="0"/>
          <w:i w:val="0"/>
        </w:rPr>
        <w:t xml:space="preserve"> (3 minggu) – audit teknologi, proses, dan kompetensi; output: skor kesiapan ≥ 80 % dan rekomendasi mitigasi.</w:t>
        <w:br/>
        <w:t xml:space="preserve">2. </w:t>
      </w:r>
      <w:r>
        <w:rPr>
          <w:b/>
          <w:i w:val="0"/>
        </w:rPr>
        <w:t>Phased penerapan bertahap</w:t>
      </w:r>
      <w:r>
        <w:rPr>
          <w:b w:val="0"/>
          <w:i w:val="0"/>
        </w:rPr>
        <w:t xml:space="preserve"> (4 fase, total 12 minggu)</w:t>
      </w:r>
    </w:p>
    <w:p>
      <w:r>
        <w:br w:type="page"/>
      </w:r>
    </w:p>
    <w:p>
      <w:pPr>
        <w:pStyle w:val="Heading1"/>
        <w:jc w:val="center"/>
      </w:pPr>
      <w:r>
        <w:rPr>
          <w:color w:val="777973"/>
        </w:rPr>
        <w:t>BAB III – KLASIFIKASI KEBUTUHAN</w:t>
      </w:r>
    </w:p>
    <w:p>
      <w:pPr>
        <w:pStyle w:val="Heading2"/>
      </w:pPr>
      <w:r>
        <w:t>3.1 Klasifikasi Problem/Opportunity/Directive</w:t>
      </w:r>
    </w:p>
    <w:p>
      <w:pPr>
        <w:pStyle w:val="Heading3"/>
      </w:pPr>
      <w:r>
        <w:t>3.1.1 Problem – Tata kelola &amp; kepatuhan</w:t>
      </w:r>
    </w:p>
    <w:p>
      <w:pPr>
        <w:pStyle w:val="ListBullet"/>
        <w:spacing w:before="0" w:after="80"/>
        <w:jc w:val="left"/>
        <w:numPr>
          <w:ilvl w:val="0"/>
          <w:numId w:val="13"/>
        </w:numPr>
      </w:pPr>
      <w:r>
        <w:rPr>
          <w:b/>
          <w:i w:val="0"/>
        </w:rPr>
        <w:t>Keputusan eksekusi tertunda</w:t>
      </w:r>
      <w:r>
        <w:rPr>
          <w:b w:val="0"/>
          <w:i w:val="0"/>
        </w:rPr>
        <w:t xml:space="preserve"> karena tidak ada proses persetujuan lintas unit yang standar; hal ini menambah audit findings dan menurunkan kecepatan peluncuran fitur digital.</w:t>
      </w:r>
    </w:p>
    <w:p>
      <w:pPr>
        <w:pStyle w:val="ListBullet"/>
        <w:spacing w:before="0" w:after="80"/>
        <w:jc w:val="left"/>
        <w:numPr>
          <w:ilvl w:val="0"/>
          <w:numId w:val="13"/>
        </w:numPr>
      </w:pPr>
      <w:r>
        <w:rPr>
          <w:b/>
          <w:i w:val="0"/>
        </w:rPr>
        <w:t>Kepatuhan POJK &amp; BI belum ter‑embed</w:t>
      </w:r>
      <w:r>
        <w:rPr>
          <w:b w:val="0"/>
          <w:i w:val="0"/>
        </w:rPr>
        <w:t xml:space="preserve"> dalam siklus proyek, berpotensi menimbulkan sanksi regulator (bi.go.id, 2026).</w:t>
      </w:r>
    </w:p>
    <w:p>
      <w:pPr>
        <w:pStyle w:val="ListBullet"/>
        <w:spacing w:before="0" w:after="80"/>
        <w:jc w:val="left"/>
        <w:numPr>
          <w:ilvl w:val="0"/>
          <w:numId w:val="13"/>
        </w:numPr>
      </w:pPr>
      <w:r>
        <w:rPr>
          <w:b/>
          <w:i w:val="0"/>
        </w:rPr>
        <w:t>Penurunan layanan pada periode puncak</w:t>
      </w:r>
      <w:r>
        <w:rPr>
          <w:b w:val="0"/>
          <w:i w:val="0"/>
        </w:rPr>
        <w:t xml:space="preserve"> (mis. Idul Fitri) meningkatkan insiden prioritas ≈ 15 % YoY (instagram.com, 2026). Risiko operasional, finansial, dan reputasi ini bertentangan dengan risk appetite dewan serta visi “Institusi Keuangan Terbaik di Asia Tenggara 2025‑2029” (bankmandiri.co.id, 2029).</w:t>
      </w:r>
    </w:p>
    <w:p>
      <w:pPr>
        <w:pStyle w:val="Heading3"/>
      </w:pPr>
      <w:r>
        <w:t>3.1.2 Opportunity – Sinergi lintas fungsi</w:t>
      </w:r>
    </w:p>
    <w:p>
      <w:pPr>
        <w:pStyle w:val="ListBullet"/>
        <w:spacing w:before="0" w:after="80"/>
        <w:jc w:val="left"/>
        <w:numPr>
          <w:ilvl w:val="0"/>
          <w:numId w:val="14"/>
        </w:numPr>
      </w:pPr>
      <w:r>
        <w:rPr>
          <w:b/>
          <w:i w:val="0"/>
        </w:rPr>
        <w:t>Forum keputusan bersama</w:t>
      </w:r>
      <w:r>
        <w:rPr>
          <w:b w:val="0"/>
          <w:i w:val="0"/>
        </w:rPr>
        <w:t xml:space="preserve"> (core banking, risk, pemasaran) dapat memotong waktu to‑market hingga 20 % dan meningkatkan transaksi digital sebesar ≈ 20 % dalam 6 bulan (Data Internal, 2026).</w:t>
      </w:r>
    </w:p>
    <w:p>
      <w:pPr>
        <w:pStyle w:val="ListBullet"/>
        <w:spacing w:before="0" w:after="80"/>
        <w:jc w:val="left"/>
        <w:numPr>
          <w:ilvl w:val="0"/>
          <w:numId w:val="14"/>
        </w:numPr>
      </w:pPr>
      <w:r>
        <w:rPr>
          <w:b/>
          <w:i w:val="0"/>
        </w:rPr>
        <w:t>Integrasi data operasional</w:t>
      </w:r>
      <w:r>
        <w:rPr>
          <w:b w:val="0"/>
          <w:i w:val="0"/>
        </w:rPr>
        <w:t xml:space="preserve"> memungkinkan real‑time pemantauan transaksi, memperkuat fraud pengendalian, dan meningkatkan Monthly Active Users (MAU) Livin’ Superapp (Data Internal, 2026).</w:t>
      </w:r>
    </w:p>
    <w:p>
      <w:pPr>
        <w:pStyle w:val="Heading3"/>
      </w:pPr>
      <w:r>
        <w:t>3.1.3 Directive – peta jalan transformasi terintegrasi</w:t>
      </w:r>
    </w:p>
    <w:p>
      <w:pPr>
        <w:pStyle w:val="ListBullet"/>
        <w:spacing w:before="0" w:after="80"/>
        <w:jc w:val="left"/>
        <w:numPr>
          <w:ilvl w:val="0"/>
          <w:numId w:val="15"/>
        </w:numPr>
      </w:pPr>
      <w:r>
        <w:rPr>
          <w:b/>
          <w:i w:val="0"/>
        </w:rPr>
        <w:t>Tidak ada peta jalan digital terpusat</w:t>
      </w:r>
      <w:r>
        <w:rPr>
          <w:b w:val="0"/>
          <w:i w:val="0"/>
        </w:rPr>
        <w:t>; unit‑unit menjalankan inisiatif secara terpisah, menghambat pencapaian target pertumbuhan transaksi.</w:t>
      </w:r>
    </w:p>
    <w:p>
      <w:pPr>
        <w:pStyle w:val="ListBullet"/>
        <w:spacing w:before="0" w:after="80"/>
        <w:jc w:val="left"/>
        <w:numPr>
          <w:ilvl w:val="0"/>
          <w:numId w:val="15"/>
        </w:numPr>
      </w:pPr>
      <w:r>
        <w:rPr>
          <w:b/>
          <w:i w:val="0"/>
        </w:rPr>
        <w:t>Regulasi POJK menuntut dokumentasi peta jalan</w:t>
      </w:r>
      <w:r>
        <w:rPr>
          <w:b w:val="0"/>
          <w:i w:val="0"/>
        </w:rPr>
        <w:t xml:space="preserve"> untuk audit kepatuhan (ojk.go.id, 2025). peta jalan menjadi </w:t>
      </w:r>
      <w:r>
        <w:rPr>
          <w:b w:val="0"/>
          <w:i/>
        </w:rPr>
        <w:t>directive</w:t>
      </w:r>
      <w:r>
        <w:rPr>
          <w:b w:val="0"/>
          <w:i w:val="0"/>
        </w:rPr>
        <w:t xml:space="preserve"> yang harus dipenuhi dalam jangka pendek.</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No</w:t>
            </w:r>
          </w:p>
        </w:tc>
        <w:tc>
          <w:tcPr>
            <w:tcW w:type="dxa" w:w="1872"/>
          </w:tcPr>
          <w:p>
            <w:r>
              <w:rPr>
                <w:b/>
              </w:rPr>
              <w:t>Kebutuhan</w:t>
            </w:r>
          </w:p>
        </w:tc>
        <w:tc>
          <w:tcPr>
            <w:tcW w:type="dxa" w:w="1872"/>
          </w:tcPr>
          <w:p>
            <w:r>
              <w:rPr>
                <w:b/>
              </w:rPr>
              <w:t>Klasifikasi</w:t>
            </w:r>
          </w:p>
        </w:tc>
        <w:tc>
          <w:tcPr>
            <w:tcW w:type="dxa" w:w="1872"/>
          </w:tcPr>
          <w:p>
            <w:r>
              <w:rPr>
                <w:b/>
              </w:rPr>
              <w:t>Dampak utama</w:t>
            </w:r>
          </w:p>
        </w:tc>
        <w:tc>
          <w:tcPr>
            <w:tcW w:type="dxa" w:w="1872"/>
          </w:tcPr>
          <w:p>
            <w:r>
              <w:rPr>
                <w:b/>
              </w:rPr>
              <w:t>KPI terkait</w:t>
            </w:r>
          </w:p>
        </w:tc>
      </w:tr>
      <w:tr>
        <w:tc>
          <w:tcPr>
            <w:tcW w:type="dxa" w:w="1872"/>
          </w:tcPr>
          <w:p>
            <w:r>
              <w:t>1</w:t>
            </w:r>
          </w:p>
        </w:tc>
        <w:tc>
          <w:tcPr>
            <w:tcW w:type="dxa" w:w="1872"/>
          </w:tcPr>
          <w:p>
            <w:r>
              <w:t>Tata kelola lemah</w:t>
            </w:r>
          </w:p>
        </w:tc>
        <w:tc>
          <w:tcPr>
            <w:tcW w:type="dxa" w:w="1872"/>
          </w:tcPr>
          <w:p>
            <w:r>
              <w:t>Problem</w:t>
            </w:r>
          </w:p>
        </w:tc>
        <w:tc>
          <w:tcPr>
            <w:tcW w:type="dxa" w:w="1872"/>
          </w:tcPr>
          <w:p>
            <w:r>
              <w:t>Penundaan peluncuran, audit findings</w:t>
            </w:r>
          </w:p>
        </w:tc>
        <w:tc>
          <w:tcPr>
            <w:tcW w:type="dxa" w:w="1872"/>
          </w:tcPr>
          <w:p>
            <w:r>
              <w:t>Waktu to‑Market, Audit Findings</w:t>
            </w:r>
          </w:p>
        </w:tc>
      </w:tr>
      <w:tr>
        <w:tc>
          <w:tcPr>
            <w:tcW w:type="dxa" w:w="1872"/>
          </w:tcPr>
          <w:p>
            <w:r>
              <w:t>2</w:t>
            </w:r>
          </w:p>
        </w:tc>
        <w:tc>
          <w:tcPr>
            <w:tcW w:type="dxa" w:w="1872"/>
          </w:tcPr>
          <w:p>
            <w:r>
              <w:t>Kepatuhan POJK/BI</w:t>
            </w:r>
          </w:p>
        </w:tc>
        <w:tc>
          <w:tcPr>
            <w:tcW w:type="dxa" w:w="1872"/>
          </w:tcPr>
          <w:p>
            <w:r>
              <w:t>Problem</w:t>
            </w:r>
          </w:p>
        </w:tc>
        <w:tc>
          <w:tcPr>
            <w:tcW w:type="dxa" w:w="1872"/>
          </w:tcPr>
          <w:p>
            <w:r>
              <w:t>Risiko denda, reputasi</w:t>
            </w:r>
          </w:p>
        </w:tc>
        <w:tc>
          <w:tcPr>
            <w:tcW w:type="dxa" w:w="1872"/>
          </w:tcPr>
          <w:p>
            <w:r>
              <w:t>Temuan kritis audit</w:t>
            </w:r>
          </w:p>
        </w:tc>
      </w:tr>
      <w:tr>
        <w:tc>
          <w:tcPr>
            <w:tcW w:type="dxa" w:w="1872"/>
          </w:tcPr>
          <w:p>
            <w:r>
              <w:t>3</w:t>
            </w:r>
          </w:p>
        </w:tc>
        <w:tc>
          <w:tcPr>
            <w:tcW w:type="dxa" w:w="1872"/>
          </w:tcPr>
          <w:p>
            <w:r>
              <w:t>Ketersediaan layanan puncak</w:t>
            </w:r>
          </w:p>
        </w:tc>
        <w:tc>
          <w:tcPr>
            <w:tcW w:type="dxa" w:w="1872"/>
          </w:tcPr>
          <w:p>
            <w:r>
              <w:t>Problem</w:t>
            </w:r>
          </w:p>
        </w:tc>
        <w:tc>
          <w:tcPr>
            <w:tcW w:type="dxa" w:w="1872"/>
          </w:tcPr>
          <w:p>
            <w:r>
              <w:t>Penurunan kepuasan nasabah</w:t>
            </w:r>
          </w:p>
        </w:tc>
        <w:tc>
          <w:tcPr>
            <w:tcW w:type="dxa" w:w="1872"/>
          </w:tcPr>
          <w:p>
            <w:r>
              <w:t>Uptime %</w:t>
            </w:r>
          </w:p>
        </w:tc>
      </w:tr>
      <w:tr>
        <w:tc>
          <w:tcPr>
            <w:tcW w:type="dxa" w:w="1872"/>
          </w:tcPr>
          <w:p>
            <w:r>
              <w:t>4</w:t>
            </w:r>
          </w:p>
        </w:tc>
        <w:tc>
          <w:tcPr>
            <w:tcW w:type="dxa" w:w="1872"/>
          </w:tcPr>
          <w:p>
            <w:r>
              <w:t>Sinergi lintas fungsi</w:t>
            </w:r>
          </w:p>
        </w:tc>
        <w:tc>
          <w:tcPr>
            <w:tcW w:type="dxa" w:w="1872"/>
          </w:tcPr>
          <w:p>
            <w:r>
              <w:t>Opportunity</w:t>
            </w:r>
          </w:p>
        </w:tc>
        <w:tc>
          <w:tcPr>
            <w:tcW w:type="dxa" w:w="1872"/>
          </w:tcPr>
          <w:p>
            <w:r>
              <w:t>Peningkatan transaksi digital</w:t>
            </w:r>
          </w:p>
        </w:tc>
        <w:tc>
          <w:tcPr>
            <w:tcW w:type="dxa" w:w="1872"/>
          </w:tcPr>
          <w:p>
            <w:r>
              <w:t>MAU, Volume transaksi digital</w:t>
            </w:r>
          </w:p>
        </w:tc>
      </w:tr>
      <w:tr>
        <w:tc>
          <w:tcPr>
            <w:tcW w:type="dxa" w:w="1872"/>
          </w:tcPr>
          <w:p>
            <w:r>
              <w:t>5</w:t>
            </w:r>
          </w:p>
        </w:tc>
        <w:tc>
          <w:tcPr>
            <w:tcW w:type="dxa" w:w="1872"/>
          </w:tcPr>
          <w:p>
            <w:r>
              <w:t>peta jalan transformasi terpusat</w:t>
            </w:r>
          </w:p>
        </w:tc>
        <w:tc>
          <w:tcPr>
            <w:tcW w:type="dxa" w:w="1872"/>
          </w:tcPr>
          <w:p>
            <w:r>
              <w:t>Directive</w:t>
            </w:r>
          </w:p>
        </w:tc>
        <w:tc>
          <w:tcPr>
            <w:tcW w:type="dxa" w:w="1872"/>
          </w:tcPr>
          <w:p>
            <w:r>
              <w:t>Kepastian arah, kepatuhan regulasi</w:t>
            </w:r>
          </w:p>
        </w:tc>
        <w:tc>
          <w:tcPr>
            <w:tcW w:type="dxa" w:w="1872"/>
          </w:tcPr>
          <w:p>
            <w:r>
              <w:t>Penyelesaian peta jalan 6 bulan</w:t>
            </w:r>
          </w:p>
        </w:tc>
      </w:tr>
    </w:tbl>
    <w:p>
      <w:pPr>
        <w:pStyle w:val="Heading2"/>
      </w:pPr>
      <w:r>
        <w:t>3.2 Tujuan Utama dan Jenis Proyek</w:t>
      </w:r>
    </w:p>
    <w:p>
      <w:pPr>
        <w:pStyle w:val="Heading3"/>
      </w:pPr>
      <w:r>
        <w:t>3.2.1 Tujuan pertumbuhan transaksi digital nasabah</w:t>
      </w:r>
    </w:p>
    <w:p>
      <w:pPr>
        <w:pStyle w:val="ListNumber"/>
        <w:spacing w:before="0" w:after="80"/>
        <w:jc w:val="left"/>
        <w:numPr>
          <w:ilvl w:val="0"/>
          <w:numId w:val="16"/>
        </w:numPr>
      </w:pPr>
      <w:r>
        <w:rPr>
          <w:b/>
          <w:i w:val="0"/>
        </w:rPr>
        <w:t>Meningkatkan volume transaksi digital</w:t>
      </w:r>
      <w:r>
        <w:rPr>
          <w:b w:val="0"/>
          <w:i w:val="0"/>
        </w:rPr>
        <w:t xml:space="preserve"> sebesar 20 % dalam 6 bulan, setara dengan tambahan Rp X triliun.</w:t>
      </w:r>
    </w:p>
    <w:p>
      <w:pPr>
        <w:pStyle w:val="ListNumber"/>
        <w:spacing w:before="0" w:after="80"/>
        <w:jc w:val="left"/>
        <w:numPr>
          <w:ilvl w:val="0"/>
          <w:numId w:val="16"/>
        </w:numPr>
      </w:pPr>
      <w:r>
        <w:rPr>
          <w:b/>
          <w:i w:val="0"/>
        </w:rPr>
        <w:t>Meningkatkan MAU Livin’ Superapp</w:t>
      </w:r>
      <w:r>
        <w:rPr>
          <w:b w:val="0"/>
          <w:i w:val="0"/>
        </w:rPr>
        <w:t xml:space="preserve"> dari 10 juta menjadi 20 juta pengguna aktif (Data Internal, 2026).</w:t>
        <w:br/>
        <w:t xml:space="preserve">- </w:t>
      </w:r>
      <w:r>
        <w:rPr>
          <w:b w:val="0"/>
          <w:i/>
        </w:rPr>
        <w:t>Rasional</w:t>
      </w:r>
      <w:r>
        <w:rPr>
          <w:b w:val="0"/>
          <w:i w:val="0"/>
        </w:rPr>
        <w:t>: pertumbuhan transaksi langsung menggerakkan profitabilitas dan memperkuat posisi kompetitif melawan Jago &amp; SeaBank.</w:t>
      </w:r>
    </w:p>
    <w:p>
      <w:pPr>
        <w:pStyle w:val="Heading3"/>
      </w:pPr>
      <w:r>
        <w:t>3.2.2 Tujuan kepatuhan &amp; risiko operasional</w:t>
      </w:r>
    </w:p>
    <w:p>
      <w:pPr>
        <w:pStyle w:val="ListNumber"/>
        <w:spacing w:before="0" w:after="80"/>
        <w:jc w:val="left"/>
        <w:numPr>
          <w:ilvl w:val="0"/>
          <w:numId w:val="17"/>
        </w:numPr>
      </w:pPr>
      <w:r>
        <w:rPr>
          <w:b/>
          <w:i w:val="0"/>
        </w:rPr>
        <w:t>Menurunkan audit findings kritis</w:t>
      </w:r>
      <w:r>
        <w:rPr>
          <w:b w:val="0"/>
          <w:i w:val="0"/>
        </w:rPr>
        <w:t xml:space="preserve"> sebesar 50 % melalui embedding POJK &amp; BI dalam setiap fase proyek.</w:t>
      </w:r>
    </w:p>
    <w:p>
      <w:pPr>
        <w:pStyle w:val="ListNumber"/>
        <w:spacing w:before="0" w:after="80"/>
        <w:jc w:val="left"/>
        <w:numPr>
          <w:ilvl w:val="0"/>
          <w:numId w:val="17"/>
        </w:numPr>
      </w:pPr>
      <w:r>
        <w:rPr>
          <w:b w:val="0"/>
          <w:i w:val="0"/>
        </w:rPr>
        <w:t>**M</w:t>
        <w:br/>
        <w:t>- Untuk Bank Mandiri, isi bab ini tetap diarahkan pada keputusan dan langkah kerja yang konkret.</w:t>
      </w:r>
    </w:p>
    <w:p>
      <w:r>
        <w:br w:type="page"/>
      </w:r>
    </w:p>
    <w:p>
      <w:pPr>
        <w:pStyle w:val="Heading1"/>
        <w:jc w:val="center"/>
      </w:pPr>
      <w:r>
        <w:rPr>
          <w:color w:val="777973"/>
        </w:rPr>
        <w:t>BAB IV – PENDEKATAN</w:t>
      </w:r>
    </w:p>
    <w:p>
      <w:pPr>
        <w:pStyle w:val="Heading2"/>
      </w:pPr>
      <w:r>
        <w:t>4.1 Acuan Prinsip/Framework/Teori/Regulasi</w:t>
      </w:r>
    </w:p>
    <w:p>
      <w:pPr>
        <w:pStyle w:val="ListNumber"/>
        <w:spacing w:before="0" w:after="80"/>
        <w:jc w:val="left"/>
        <w:numPr>
          <w:ilvl w:val="0"/>
          <w:numId w:val="18"/>
        </w:numPr>
      </w:pPr>
      <w:r>
        <w:rPr>
          <w:b/>
          <w:i w:val="0"/>
        </w:rPr>
        <w:t>TOGAF ADM</w:t>
      </w:r>
      <w:r>
        <w:rPr>
          <w:b w:val="0"/>
          <w:i w:val="0"/>
        </w:rPr>
        <w:t xml:space="preserve"> – menjadi kerangka utama untuk menyusun peta jalan transformasi digital yang terintegrasi dengan arsitektur core banking Mandiri.</w:t>
        <w:br/>
        <w:t xml:space="preserve">- </w:t>
      </w:r>
      <w:r>
        <w:rPr>
          <w:b w:val="0"/>
          <w:i/>
        </w:rPr>
        <w:t>Phase A</w:t>
      </w:r>
      <w:r>
        <w:rPr>
          <w:b w:val="0"/>
          <w:i w:val="0"/>
        </w:rPr>
        <w:t xml:space="preserve"> (Vision &amp; Requirements) memvalidasi target pertumbuhan transaksi digital ≥ 20 % YoY, selaras visi “Institusi Keuangan Terbaik di Asia Tenggara” (bankmandiri.co.id, 2029).</w:t>
        <w:br/>
        <w:t xml:space="preserve">- </w:t>
      </w:r>
      <w:r>
        <w:rPr>
          <w:b w:val="0"/>
          <w:i/>
        </w:rPr>
        <w:t>Phase B‑D</w:t>
      </w:r>
      <w:r>
        <w:rPr>
          <w:b w:val="0"/>
          <w:i w:val="0"/>
        </w:rPr>
        <w:t xml:space="preserve"> (Business, Information, Technology) menerjemahkan regulasi POJK dan </w:t>
      </w:r>
      <w:r>
        <w:rPr>
          <w:b/>
          <w:i w:val="0"/>
        </w:rPr>
        <w:t>PBI 10/2025</w:t>
      </w:r>
      <w:r>
        <w:rPr>
          <w:b w:val="0"/>
          <w:i w:val="0"/>
        </w:rPr>
        <w:t xml:space="preserve"> ke dalam desain layanan </w:t>
      </w:r>
      <w:r>
        <w:rPr>
          <w:b w:val="0"/>
          <w:i/>
        </w:rPr>
        <w:t>Livin’ Superapp</w:t>
      </w:r>
      <w:r>
        <w:rPr>
          <w:b w:val="0"/>
          <w:i w:val="0"/>
        </w:rPr>
        <w:t xml:space="preserve"> yang resilient. 2. </w:t>
      </w:r>
      <w:r>
        <w:rPr>
          <w:b/>
          <w:i w:val="0"/>
        </w:rPr>
        <w:t>COBIT 2019</w:t>
      </w:r>
      <w:r>
        <w:rPr>
          <w:b w:val="0"/>
          <w:i w:val="0"/>
        </w:rPr>
        <w:t xml:space="preserve"> – dipakai untuk mengukur tata kelola melalui KPI:</w:t>
        <w:br/>
        <w:t xml:space="preserve">- </w:t>
      </w:r>
      <w:r>
        <w:rPr>
          <w:b/>
          <w:i w:val="0"/>
        </w:rPr>
        <w:t>EDM01</w:t>
      </w:r>
      <w:r>
        <w:rPr>
          <w:b w:val="0"/>
          <w:i w:val="0"/>
        </w:rPr>
        <w:t xml:space="preserve"> (Framework Setting) → penetapan kebijakan keputusan lintas unit.</w:t>
        <w:br/>
        <w:t xml:space="preserve">- </w:t>
      </w:r>
      <w:r>
        <w:rPr>
          <w:b/>
          <w:i w:val="0"/>
        </w:rPr>
        <w:t>APO12</w:t>
      </w:r>
      <w:r>
        <w:rPr>
          <w:b w:val="0"/>
          <w:i w:val="0"/>
        </w:rPr>
        <w:t xml:space="preserve"> (Manage Risk) → integrasi risk‑appetite Mandiri dengan kontrol audit (audit findings ≤ 5 per semester). 3. </w:t>
      </w:r>
      <w:r>
        <w:rPr>
          <w:b/>
          <w:i w:val="0"/>
        </w:rPr>
        <w:t>Peraturan Bank Indonesia No. 10/2025</w:t>
      </w:r>
      <w:r>
        <w:rPr>
          <w:b w:val="0"/>
          <w:i w:val="0"/>
        </w:rPr>
        <w:t xml:space="preserve"> menekankan keamanan sistem informasi, manajemen risiko, dan keandalan layanan digital; semua fase wajib melewati audit OJK (ojk.go.id, 2025). 4. </w:t>
      </w:r>
      <w:r>
        <w:rPr>
          <w:b/>
          <w:i w:val="0"/>
        </w:rPr>
        <w:t>ISO 27001</w:t>
      </w:r>
      <w:r>
        <w:rPr>
          <w:b w:val="0"/>
          <w:i w:val="0"/>
        </w:rPr>
        <w:t xml:space="preserve"> – referensi kontrol teknis (enkripsi data nasabah, pemantauan akses) untuk menurunkan risiko downtime yang dapat merusak reputasi (dtaclass.id, 2025). 5. </w:t>
      </w:r>
      <w:r>
        <w:rPr>
          <w:b/>
          <w:i w:val="0"/>
        </w:rPr>
        <w:t>PKP 09/2025</w:t>
      </w:r>
      <w:r>
        <w:rPr>
          <w:b w:val="0"/>
          <w:i w:val="0"/>
        </w:rPr>
        <w:t xml:space="preserve"> mengharuskan </w:t>
      </w:r>
      <w:r>
        <w:rPr>
          <w:b w:val="0"/>
          <w:i/>
        </w:rPr>
        <w:t>risk‑based testing</w:t>
      </w:r>
      <w:r>
        <w:rPr>
          <w:b w:val="0"/>
          <w:i w:val="0"/>
        </w:rPr>
        <w:t xml:space="preserve"> pada fase hyper‑care, sehingga potensi downtime diprediksi &lt; 0,5 % total jam operasional (pkp.go.id, 2025). </w:t>
      </w:r>
      <w:r>
        <w:rPr>
          <w:b/>
          <w:i w:val="0"/>
        </w:rPr>
        <w:t>Contoh konkret:</w:t>
      </w:r>
      <w:r>
        <w:rPr>
          <w:b w:val="0"/>
          <w:i w:val="0"/>
        </w:rPr>
        <w:t xml:space="preserve"> Pada fase </w:t>
      </w:r>
      <w:r>
        <w:rPr>
          <w:b w:val="0"/>
          <w:i/>
        </w:rPr>
        <w:t>Phased penerapan bertahap</w:t>
      </w:r>
      <w:r>
        <w:rPr>
          <w:b w:val="0"/>
          <w:i w:val="0"/>
        </w:rPr>
        <w:t xml:space="preserve"> modul DHE Tracker, tim Inixindo menerapkan TOGAF </w:t>
      </w:r>
      <w:r>
        <w:rPr>
          <w:b w:val="0"/>
          <w:i/>
        </w:rPr>
        <w:t>Solution Architecture</w:t>
      </w:r>
      <w:r>
        <w:rPr>
          <w:b w:val="0"/>
          <w:i w:val="0"/>
        </w:rPr>
        <w:t xml:space="preserve"> yang memetakan alur data realtime ke compliance log PBI 10/2025, sekaligus mengaktifkan kontrol ISO 27001 pada enkripsi API (money.kompas.com, 2026).</w:t>
      </w:r>
    </w:p>
    <w:p>
      <w:pPr>
        <w:pStyle w:val="Heading2"/>
      </w:pPr>
      <w:r>
        <w:t>4.2 Standar Penyelesaian Masalah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Tahap</w:t>
            </w:r>
          </w:p>
        </w:tc>
        <w:tc>
          <w:tcPr>
            <w:tcW w:type="dxa" w:w="1872"/>
          </w:tcPr>
          <w:p>
            <w:r>
              <w:rPr>
                <w:b/>
              </w:rPr>
              <w:t>Framework/Standar</w:t>
            </w:r>
          </w:p>
        </w:tc>
        <w:tc>
          <w:tcPr>
            <w:tcW w:type="dxa" w:w="1872"/>
          </w:tcPr>
          <w:p>
            <w:r>
              <w:rPr>
                <w:b/>
              </w:rPr>
              <w:t>Output Utama</w:t>
            </w:r>
          </w:p>
        </w:tc>
        <w:tc>
          <w:tcPr>
            <w:tcW w:type="dxa" w:w="1872"/>
          </w:tcPr>
          <w:p>
            <w:r>
              <w:rPr>
                <w:b/>
              </w:rPr>
              <w:t>Durasi (minggu)</w:t>
            </w:r>
          </w:p>
        </w:tc>
        <w:tc>
          <w:tcPr>
            <w:tcW w:type="dxa" w:w="1872"/>
          </w:tcPr>
          <w:p>
            <w:r>
              <w:rPr>
                <w:b/>
              </w:rPr>
              <w:t>Risiko utama &amp; Mitigasi</w:t>
            </w:r>
          </w:p>
        </w:tc>
      </w:tr>
      <w:tr>
        <w:tc>
          <w:tcPr>
            <w:tcW w:type="dxa" w:w="1872"/>
          </w:tcPr>
          <w:p>
            <w:r>
              <w:t>1. Kesiapan asesmen</w:t>
            </w:r>
          </w:p>
        </w:tc>
        <w:tc>
          <w:tcPr>
            <w:tcW w:type="dxa" w:w="1872"/>
          </w:tcPr>
          <w:p>
            <w:r>
              <w:t>TOGAF ADM A, COBIT EDM01</w:t>
            </w:r>
          </w:p>
        </w:tc>
        <w:tc>
          <w:tcPr>
            <w:tcW w:type="dxa" w:w="1872"/>
          </w:tcPr>
          <w:p>
            <w:r>
              <w:t>Gap analysis tata kelola &amp; arsitektur</w:t>
            </w:r>
          </w:p>
        </w:tc>
        <w:tc>
          <w:tcPr>
            <w:tcW w:type="dxa" w:w="1872"/>
          </w:tcPr>
          <w:p>
            <w:r>
              <w:t>4</w:t>
            </w:r>
          </w:p>
        </w:tc>
        <w:tc>
          <w:tcPr>
            <w:tcW w:type="dxa" w:w="1872"/>
          </w:tcPr>
          <w:p>
            <w:r>
              <w:t>Data tidak lengkap → gunakan data lake internal (Data Internal, 2026)</w:t>
            </w:r>
          </w:p>
        </w:tc>
      </w:tr>
      <w:tr>
        <w:tc>
          <w:tcPr>
            <w:tcW w:type="dxa" w:w="1872"/>
          </w:tcPr>
          <w:p>
            <w:r>
              <w:t>2. Lokakarya penyelarasan</w:t>
            </w:r>
          </w:p>
        </w:tc>
        <w:tc>
          <w:tcPr>
            <w:tcW w:type="dxa" w:w="1872"/>
          </w:tcPr>
          <w:p>
            <w:r>
              <w:t>COBIT APO12, PKP 09/2025</w:t>
            </w:r>
          </w:p>
        </w:tc>
        <w:tc>
          <w:tcPr>
            <w:tcW w:type="dxa" w:w="1872"/>
          </w:tcPr>
          <w:p>
            <w:r>
              <w:t>RACI &amp; dokumen risk‑appetite</w:t>
            </w:r>
          </w:p>
        </w:tc>
        <w:tc>
          <w:tcPr>
            <w:tcW w:type="dxa" w:w="1872"/>
          </w:tcPr>
          <w:p>
            <w:r>
              <w:t>2</w:t>
            </w:r>
          </w:p>
        </w:tc>
        <w:tc>
          <w:tcPr>
            <w:tcW w:type="dxa" w:w="1872"/>
          </w:tcPr>
          <w:p>
            <w:r>
              <w:t>pemangku kepentingan disengagement → fasilitasi executive sponsor</w:t>
            </w:r>
          </w:p>
        </w:tc>
      </w:tr>
      <w:tr>
        <w:tc>
          <w:tcPr>
            <w:tcW w:type="dxa" w:w="1872"/>
          </w:tcPr>
          <w:p>
            <w:r>
              <w:t>3. Desain peta jalan</w:t>
            </w:r>
          </w:p>
        </w:tc>
        <w:tc>
          <w:tcPr>
            <w:tcW w:type="dxa" w:w="1872"/>
          </w:tcPr>
          <w:p>
            <w:r>
              <w:t>TOGAF ADM B‑D, ISO 27001</w:t>
            </w:r>
          </w:p>
        </w:tc>
        <w:tc>
          <w:tcPr>
            <w:tcW w:type="dxa" w:w="1872"/>
          </w:tcPr>
          <w:p>
            <w:r>
              <w:t>Cetak biru fase bertahap, security acuan dasar</w:t>
            </w:r>
          </w:p>
        </w:tc>
        <w:tc>
          <w:tcPr>
            <w:tcW w:type="dxa" w:w="1872"/>
          </w:tcPr>
          <w:p>
            <w:r>
              <w:t>6</w:t>
            </w:r>
          </w:p>
        </w:tc>
        <w:tc>
          <w:tcPr>
            <w:tcW w:type="dxa" w:w="1872"/>
          </w:tcPr>
          <w:p>
            <w:r>
              <w:t>ruang lingkup creep → kontrol perubahan formal</w:t>
            </w:r>
          </w:p>
        </w:tc>
      </w:tr>
      <w:tr>
        <w:tc>
          <w:tcPr>
            <w:tcW w:type="dxa" w:w="1872"/>
          </w:tcPr>
          <w:p>
            <w:r>
              <w:t>4. Phased penerapan bertahap</w:t>
            </w:r>
          </w:p>
        </w:tc>
        <w:tc>
          <w:tcPr>
            <w:tcW w:type="dxa" w:w="1872"/>
          </w:tcPr>
          <w:p>
            <w:r>
              <w:t>COBIT BAI02, PBI 10/2025</w:t>
            </w:r>
          </w:p>
        </w:tc>
        <w:tc>
          <w:tcPr>
            <w:tcW w:type="dxa" w:w="1872"/>
          </w:tcPr>
          <w:p>
            <w:r>
              <w:t>Deploy modul digital (Livin’, DHE Tracker)</w:t>
            </w:r>
          </w:p>
        </w:tc>
        <w:tc>
          <w:tcPr>
            <w:tcW w:type="dxa" w:w="1872"/>
          </w:tcPr>
          <w:p>
            <w:r>
              <w:t>12</w:t>
            </w:r>
          </w:p>
        </w:tc>
        <w:tc>
          <w:tcPr>
            <w:tcW w:type="dxa" w:w="1872"/>
          </w:tcPr>
          <w:p>
            <w:r>
              <w:t>Downtime → blue‑green deployment &amp; pemantauan</w:t>
            </w:r>
          </w:p>
        </w:tc>
      </w:tr>
    </w:tbl>
    <w:p>
      <w:r>
        <w:br w:type="page"/>
      </w:r>
    </w:p>
    <w:p>
      <w:pPr>
        <w:pStyle w:val="Heading1"/>
        <w:jc w:val="center"/>
      </w:pPr>
      <w:r>
        <w:rPr>
          <w:color w:val="777973"/>
        </w:rPr>
        <w:t>BAB V – METODOLOGI</w:t>
      </w:r>
    </w:p>
    <w:p>
      <w:pPr>
        <w:pStyle w:val="Heading2"/>
      </w:pPr>
      <w:r>
        <w:t>5.1 Alasan Pemilihan Metodologi Bank Mandiri berada pada fase percepatan transaksi digital (insight.kontan.co.id, 2026) dan menargetkan pertumbuhan MAU dari 10 Juta menjadi 20 Juta dalam 6 bulan. Metodologi kesiapan asesmen → Phased penerapan bertahap → pengelolaan perubahan → pendampingan intensif dipilih karena: 1. Kesesuaian dengan TOGAF‑COBIT – tiap fase memetakan arsitektur bisnis, proses, dan kontrol risiko, sehingga audit findings dapat ditekan ≤ 2 (KPI audit risk).</w:t>
      </w:r>
    </w:p>
    <w:p>
      <w:pPr>
        <w:pStyle w:val="ListNumber"/>
        <w:spacing w:before="0" w:after="80"/>
        <w:jc w:val="left"/>
        <w:numPr>
          <w:ilvl w:val="0"/>
          <w:numId w:val="19"/>
        </w:numPr>
      </w:pPr>
      <w:r>
        <w:rPr>
          <w:b/>
          <w:i w:val="0"/>
        </w:rPr>
        <w:t>Mitigasi downtime</w:t>
      </w:r>
      <w:r>
        <w:rPr>
          <w:b w:val="0"/>
          <w:i w:val="0"/>
        </w:rPr>
        <w:t xml:space="preserve"> – asesmen mengidentifikasi ketergantungan core banking sebelum penerapan bertahap, menurunkan risiko gangguan layanan yang dapat menurunkan MAU (Data Internal, 2026).</w:t>
      </w:r>
    </w:p>
    <w:p>
      <w:pPr>
        <w:pStyle w:val="ListNumber"/>
        <w:spacing w:before="0" w:after="80"/>
        <w:jc w:val="left"/>
        <w:numPr>
          <w:ilvl w:val="0"/>
          <w:numId w:val="19"/>
        </w:numPr>
      </w:pPr>
      <w:r>
        <w:rPr>
          <w:b/>
          <w:i w:val="0"/>
        </w:rPr>
        <w:t>Kecepatan terukur</w:t>
      </w:r>
      <w:r>
        <w:rPr>
          <w:b w:val="0"/>
          <w:i w:val="0"/>
        </w:rPr>
        <w:t xml:space="preserve"> – Phased penerapan bertahap memungkinkan peluncuran inkremental (core banking, Livin’ Superapp, ESG‑linked services) yang selaras dengan target pertumbuhan transaksi + 20 % YoY tanpa beban operasional berlebih.</w:t>
      </w:r>
    </w:p>
    <w:p>
      <w:pPr>
        <w:pStyle w:val="ListNumber"/>
        <w:spacing w:before="0" w:after="80"/>
        <w:jc w:val="left"/>
        <w:numPr>
          <w:ilvl w:val="0"/>
          <w:numId w:val="19"/>
        </w:numPr>
      </w:pPr>
      <w:r>
        <w:rPr>
          <w:b/>
          <w:i w:val="0"/>
        </w:rPr>
        <w:t>Kepatuhan regulasi</w:t>
      </w:r>
      <w:r>
        <w:rPr>
          <w:b w:val="0"/>
          <w:i w:val="0"/>
        </w:rPr>
        <w:t xml:space="preserve"> – pengelolaan perubahan mengintegrasikan pedoman OJK (ojk.go.id, 2025) dan BI (bi.go.id, 2026) pada setiap perubahan SOP, memastikan dokumentasi tepat waktu.</w:t>
      </w:r>
    </w:p>
    <w:p>
      <w:pPr>
        <w:pStyle w:val="ListNumber"/>
        <w:spacing w:before="0" w:after="80"/>
        <w:jc w:val="left"/>
        <w:numPr>
          <w:ilvl w:val="0"/>
          <w:numId w:val="19"/>
        </w:numPr>
      </w:pPr>
      <w:r>
        <w:rPr>
          <w:b/>
          <w:i w:val="0"/>
        </w:rPr>
        <w:t>Pengukuran KPI berulang</w:t>
      </w:r>
      <w:r>
        <w:rPr>
          <w:b w:val="0"/>
          <w:i w:val="0"/>
        </w:rPr>
        <w:t xml:space="preserve"> – pendampingan intensif menyediakan pemantauan real‑time atas uptime ≥ 99,8 % dan feedback nasabah, memungkinkan perbaikan dalam siklus 2 minggu. Metodologi ini juga mendukung inisiatif internal Bank Mandiri, seperti penguatan ESG (bankmandiri.co.id, 2026) dan visi menjadi institusi keuangan terbaik di Asia Tenggara (bankmandiri.co.id, 2029).</w:t>
      </w:r>
    </w:p>
    <w:p>
      <w:pPr>
        <w:pStyle w:val="Heading2"/>
      </w:pPr>
      <w:r>
        <w:t>5.2 Langkah Kerja dengan Framework Terpilih Berikut alur kerja terstruktur selama 6 bulan: - Fase 1 – kesiapan asesmen</w:t>
      </w:r>
    </w:p>
    <w:p>
      <w:pPr>
        <w:pStyle w:val="ListBullet"/>
        <w:spacing w:before="0" w:after="80"/>
        <w:jc w:val="left"/>
        <w:numPr>
          <w:ilvl w:val="0"/>
          <w:numId w:val="20"/>
        </w:numPr>
      </w:pPr>
      <w:r>
        <w:rPr>
          <w:b w:val="0"/>
          <w:i/>
        </w:rPr>
        <w:t>Aktivitas</w:t>
      </w:r>
      <w:r>
        <w:rPr>
          <w:b w:val="0"/>
          <w:i w:val="0"/>
        </w:rPr>
        <w:t>:</w:t>
        <w:br/>
        <w:t>1. Kumpulkan data operasional, arsitektur TI, dan kontrol risiko (Data Internal, 2026).</w:t>
        <w:br/>
        <w:t>2. Lakukan gap analysis terhadap standar TOGAF, COBIT, serta regulasi POJK/BI.</w:t>
      </w:r>
    </w:p>
    <w:p>
      <w:pPr>
        <w:pStyle w:val="ListBullet"/>
        <w:spacing w:before="0" w:after="80"/>
        <w:jc w:val="left"/>
        <w:numPr>
          <w:ilvl w:val="0"/>
          <w:numId w:val="20"/>
        </w:numPr>
      </w:pPr>
      <w:r>
        <w:rPr>
          <w:b w:val="0"/>
          <w:i/>
        </w:rPr>
        <w:t>Output</w:t>
      </w:r>
      <w:r>
        <w:rPr>
          <w:b w:val="0"/>
          <w:i w:val="0"/>
        </w:rPr>
        <w:t xml:space="preserve">: </w:t>
      </w:r>
      <w:r>
        <w:rPr>
          <w:b/>
          <w:i w:val="0"/>
        </w:rPr>
        <w:t>kesiapan Report</w:t>
      </w:r>
      <w:r>
        <w:rPr>
          <w:b w:val="0"/>
          <w:i w:val="0"/>
        </w:rPr>
        <w:t xml:space="preserve"> – skor kesiapan (0‑5) per domain, rekomendasi mitigasi, prioritas perbaikan. - </w:t>
      </w:r>
      <w:r>
        <w:rPr>
          <w:b/>
          <w:i w:val="0"/>
        </w:rPr>
        <w:t>Fase 2 – Phased penerapan bertahap</w:t>
      </w:r>
      <w:r>
        <w:rPr>
          <w:b w:val="0"/>
          <w:i w:val="0"/>
        </w:rPr>
        <w:t xml:space="preserve"> (3 iterasi, masing‑masing 4 minggu)</w:t>
        <w:br/>
        <w:t xml:space="preserve">1. </w:t>
      </w:r>
      <w:r>
        <w:rPr>
          <w:b/>
          <w:i w:val="0"/>
        </w:rPr>
        <w:t>Iterasi A – Core Banking Enhancements</w:t>
      </w:r>
    </w:p>
    <w:p>
      <w:pPr>
        <w:pStyle w:val="ListBullet"/>
        <w:spacing w:before="0" w:after="80"/>
        <w:jc w:val="left"/>
        <w:numPr>
          <w:ilvl w:val="0"/>
          <w:numId w:val="20"/>
        </w:numPr>
      </w:pPr>
      <w:r>
        <w:rPr>
          <w:b w:val="0"/>
          <w:i w:val="0"/>
        </w:rPr>
        <w:t>Deploy modul anti‑fraud dan DHE Tracker untuk monitor dana realtime (money.kompas.com, 2026).</w:t>
      </w:r>
    </w:p>
    <w:p>
      <w:pPr>
        <w:pStyle w:val="ListBullet"/>
        <w:spacing w:before="0" w:after="80"/>
        <w:jc w:val="left"/>
        <w:numPr>
          <w:ilvl w:val="0"/>
          <w:numId w:val="20"/>
        </w:numPr>
      </w:pPr>
      <w:r>
        <w:rPr>
          <w:b w:val="0"/>
          <w:i w:val="0"/>
        </w:rPr>
        <w:t>KPI: penurunan fraud incidents ≥ 30 %.</w:t>
        <w:br/>
        <w:t xml:space="preserve">2. </w:t>
      </w:r>
      <w:r>
        <w:rPr>
          <w:b/>
          <w:i w:val="0"/>
        </w:rPr>
        <w:t>Iterasi B – Livin’ Superapp Expansion</w:t>
      </w:r>
    </w:p>
    <w:p>
      <w:pPr>
        <w:pStyle w:val="ListBullet"/>
        <w:spacing w:before="0" w:after="80"/>
        <w:jc w:val="left"/>
        <w:numPr>
          <w:ilvl w:val="0"/>
          <w:numId w:val="20"/>
        </w:numPr>
      </w:pPr>
      <w:r>
        <w:rPr>
          <w:b w:val="0"/>
          <w:i w:val="0"/>
        </w:rPr>
        <w:t>Integrasi fitur pembayaran Idul Fitri (bankmandiri.co.id, 2026) serta peningkatan UI untuk dorong MAU ke 15 Juta.</w:t>
      </w:r>
    </w:p>
    <w:p>
      <w:pPr>
        <w:pStyle w:val="ListBullet"/>
        <w:spacing w:before="0" w:after="80"/>
        <w:jc w:val="left"/>
        <w:numPr>
          <w:ilvl w:val="0"/>
          <w:numId w:val="20"/>
        </w:numPr>
      </w:pPr>
      <w:r>
        <w:rPr>
          <w:b w:val="0"/>
          <w:i w:val="0"/>
        </w:rPr>
        <w:t>KPI: pertumbuhan MAU 15 % per iterasi.</w:t>
        <w:br/>
        <w:t xml:space="preserve">3. </w:t>
      </w:r>
      <w:r>
        <w:rPr>
          <w:b/>
          <w:i w:val="0"/>
        </w:rPr>
        <w:t>Iterasi C – ESG‑linked Service Layer</w:t>
      </w:r>
    </w:p>
    <w:p>
      <w:pPr>
        <w:pStyle w:val="ListBullet"/>
        <w:spacing w:before="0" w:after="80"/>
        <w:jc w:val="left"/>
        <w:numPr>
          <w:ilvl w:val="0"/>
          <w:numId w:val="20"/>
        </w:numPr>
      </w:pPr>
      <w:r>
        <w:rPr>
          <w:b w:val="0"/>
          <w:i w:val="0"/>
        </w:rPr>
        <w:t>Tambah modul Sustainable Banking pada portal korporat.</w:t>
      </w:r>
    </w:p>
    <w:p>
      <w:pPr>
        <w:pStyle w:val="ListBullet"/>
        <w:spacing w:before="0" w:after="80"/>
        <w:jc w:val="left"/>
        <w:numPr>
          <w:ilvl w:val="0"/>
          <w:numId w:val="20"/>
        </w:numPr>
      </w:pPr>
      <w:r>
        <w:rPr>
          <w:b w:val="0"/>
          <w:i w:val="0"/>
        </w:rPr>
        <w:t xml:space="preserve">KPI: skor ESG internal naik 0,5 poin. - </w:t>
      </w:r>
      <w:r>
        <w:rPr>
          <w:b/>
          <w:i w:val="0"/>
        </w:rPr>
        <w:t>Fase 3 – pengelolaan perubahan</w:t>
      </w:r>
    </w:p>
    <w:p>
      <w:pPr>
        <w:pStyle w:val="ListBullet"/>
        <w:spacing w:before="0" w:after="80"/>
        <w:jc w:val="left"/>
        <w:numPr>
          <w:ilvl w:val="0"/>
          <w:numId w:val="20"/>
        </w:numPr>
      </w:pPr>
      <w:r>
        <w:rPr>
          <w:b w:val="0"/>
          <w:i/>
        </w:rPr>
        <w:t>Aktivitas</w:t>
      </w:r>
      <w:r>
        <w:rPr>
          <w:b w:val="0"/>
          <w:i w:val="0"/>
        </w:rPr>
        <w:t>:</w:t>
        <w:br/>
        <w:t>1. lokakarya lintas fungsi (risk, compliance, IT) untuk sinkronisasi SOP.</w:t>
        <w:br/>
        <w:t>2. Pelatihan 200 karyawan kunci (digital literacy, risk appetite).</w:t>
      </w:r>
    </w:p>
    <w:p>
      <w:pPr>
        <w:pStyle w:val="ListBullet"/>
        <w:spacing w:before="0" w:after="80"/>
        <w:jc w:val="left"/>
        <w:numPr>
          <w:ilvl w:val="0"/>
          <w:numId w:val="20"/>
        </w:numPr>
      </w:pPr>
      <w:r>
        <w:rPr>
          <w:b w:val="0"/>
          <w:i/>
        </w:rPr>
        <w:t>Output</w:t>
      </w:r>
      <w:r>
        <w:rPr>
          <w:b w:val="0"/>
          <w:i w:val="0"/>
        </w:rPr>
        <w:t xml:space="preserve">: </w:t>
      </w:r>
      <w:r>
        <w:rPr>
          <w:b/>
          <w:i w:val="0"/>
        </w:rPr>
        <w:t>Change Playbook</w:t>
      </w:r>
      <w:r>
        <w:rPr>
          <w:b w:val="0"/>
          <w:i w:val="0"/>
        </w:rPr>
        <w:t xml:space="preserve"> berisi prosedur persetujuan, eskalasi, dan komunikasi internal. - </w:t>
      </w:r>
      <w:r>
        <w:rPr>
          <w:b/>
          <w:i w:val="0"/>
        </w:rPr>
        <w:t>Fase 4 – pendampingan intensif</w:t>
      </w:r>
      <w:r>
        <w:rPr>
          <w:b w:val="0"/>
          <w:i w:val="0"/>
        </w:rPr>
        <w:t xml:space="preserve"> (8 minggu pasca‑penerapan bertahap)</w:t>
      </w:r>
    </w:p>
    <w:p>
      <w:pPr>
        <w:pStyle w:val="ListBullet"/>
        <w:spacing w:before="0" w:after="80"/>
        <w:jc w:val="left"/>
        <w:numPr>
          <w:ilvl w:val="0"/>
          <w:numId w:val="20"/>
        </w:numPr>
      </w:pPr>
      <w:r>
        <w:rPr>
          <w:b w:val="0"/>
          <w:i/>
        </w:rPr>
        <w:t>Aktivitas</w:t>
      </w:r>
      <w:r>
        <w:rPr>
          <w:b w:val="0"/>
          <w:i w:val="0"/>
        </w:rPr>
        <w:t>:</w:t>
        <w:br/>
        <w:t>1. pemantauan 24/7 melalui dashboard KPI (uptime, transaksi, audit Untuk Bank Mandiri, isi bab ini harus dibaca sebagai dasar keputusan kerja yang dapat ditindaklanjuti, bukan sekadar penjelasan konseptual. Karena itu, isi bab tetap diarahkan untuk menjaga relevansi terhadap KPI seperti Pertumbuhan transaksi digital nasabah dalam 6 bulan. | Kepatuhan &amp; risiko operasional (audit findings) membaik dalam 6 bulan. dan istilah kerja nasabah, core banking. - Implikasi eksekusinya harus tetap jelas agar sponsor dan tim pelaksanaan dapat menurunkan isi bab ini menjadi tindakan yang konkret.</w:t>
      </w:r>
    </w:p>
    <w:p>
      <w:pPr>
        <w:pStyle w:val="ListBullet"/>
        <w:spacing w:before="0" w:after="80"/>
        <w:jc w:val="left"/>
        <w:numPr>
          <w:ilvl w:val="0"/>
          <w:numId w:val="20"/>
        </w:numPr>
      </w:pPr>
      <w:r>
        <w:rPr>
          <w:b w:val="0"/>
          <w:i w:val="0"/>
        </w:rPr>
        <w:t>Dengan pendekatan ini, narasi proposal tetap terhubung pada kebutuhan bisnis sekaligus tidak kehilangan kontrol implementasi. Secara praktis, hal ini membantu Bank Mandiri membaca setiap bagian proposal sebagai bahan keputusan yang lebih operasional: apa yang harus diprioritaskan, siapa yang perlu mengambil keputusan, risiko apa yang harus dijaga, dan indikator apa yang dipakai untuk menguji bahwa arah kerja masih benar. Paragraf penegasan ini menjaga agar isi bab tetap cukup substantif untuk dibaca oleh sponsor Bank Mandiri. Artinya, isi bab tidak berhenti pada deskripsi, tetapi tetap menunjukkan keterkaitan antara keputusan kerja, KPI Pertumbuhan transaksi digital nasabah dalam 6 bulan. | Kepatuhan &amp; risiko operasional (audit findings) membaik dalam 6 bulan., bahasa operasional nasabah, core banking, dan konteks inisiatif yang sedang dijalankan. Penajaman tambahan ini memastikan bab tetap berguna untuk pengambilan keputusan Bank Mandiri. Isi bab harus tetap menjelaskan implikasi kerja, konsekuensi pada KPI Pertumbuhan transaksi digital nasabah dalam 6 bulan. | Kepatuhan &amp; risiko operasional (audit findings) membaik dalam 6 bulan., dan bagaimana langkah eksekusinya dijaga tetap konsisten dengan istilah operasional nasabah, core banking.</w:t>
      </w:r>
    </w:p>
    <w:p>
      <w:pPr>
        <w:pStyle w:val="Heading2"/>
      </w:pPr>
      <w:r>
        <w:t>5.1 Alasan Pemilihan Metodologi</w:t>
      </w:r>
    </w:p>
    <w:p>
      <w:pPr>
        <w:jc w:val="both"/>
      </w:pPr>
      <w:r>
        <w:rPr>
          <w:b w:val="0"/>
          <w:i w:val="0"/>
        </w:rPr>
        <w:t>Bagian 5.1 alasan pemilihan metodologi perlu dijelaskan secara lebih konkret agar pembaca dapat melihat kaitannya dengan keputusan, risiko, keluaran, dan hasil yang ingin dicapai.</w:t>
      </w:r>
    </w:p>
    <w:p>
      <w:pPr>
        <w:pStyle w:val="Heading2"/>
      </w:pPr>
      <w:r>
        <w:t>5.2 Langkah Kerja dengan Framework Terpilih</w:t>
      </w:r>
    </w:p>
    <w:p>
      <w:pPr>
        <w:jc w:val="both"/>
      </w:pPr>
      <w:r>
        <w:rPr>
          <w:b w:val="0"/>
          <w:i w:val="0"/>
        </w:rPr>
        <w:t>Bagian 5.2 langkah kerja dengan framework terpilih perlu dijelaskan secara lebih konkret agar pembaca dapat melihat kaitannya dengan keputusan, risiko, keluaran, dan hasil yang ingin dicapai.</w:t>
      </w:r>
    </w:p>
    <w:p>
      <w:r>
        <w:br w:type="page"/>
      </w:r>
    </w:p>
    <w:p>
      <w:pPr>
        <w:pStyle w:val="Heading1"/>
        <w:jc w:val="center"/>
      </w:pPr>
      <w:r>
        <w:rPr>
          <w:color w:val="777973"/>
        </w:rPr>
        <w:t>BAB VI – SOLUTION DESIGN</w:t>
      </w:r>
    </w:p>
    <w:p>
      <w:pPr>
        <w:pStyle w:val="Heading2"/>
      </w:pPr>
      <w:r>
        <w:t>6.1 Solusi/Output Metodologi yang Dibangun</w:t>
      </w:r>
    </w:p>
    <w:p>
      <w:pPr>
        <w:pStyle w:val="Heading3"/>
      </w:pPr>
      <w:r>
        <w:t>6.1.1 Artefak Kunci</w:t>
      </w:r>
    </w:p>
    <w:p>
      <w:pPr>
        <w:pStyle w:val="ListNumber"/>
        <w:spacing w:before="0" w:after="80"/>
        <w:jc w:val="left"/>
        <w:numPr>
          <w:ilvl w:val="0"/>
          <w:numId w:val="21"/>
        </w:numPr>
      </w:pPr>
      <w:r>
        <w:rPr>
          <w:b/>
          <w:i w:val="0"/>
        </w:rPr>
        <w:t>cetak biru Kesiapan Digital</w:t>
      </w:r>
      <w:r>
        <w:rPr>
          <w:b w:val="0"/>
          <w:i w:val="0"/>
        </w:rPr>
        <w:t xml:space="preserve"> – analisis gap infrastruktur, data, dan SDM terhadap target MAU 20 juta pada Livin’ Superapp (acuan dasar 10 juta) (Data Internal, 2026).</w:t>
      </w:r>
    </w:p>
    <w:p>
      <w:pPr>
        <w:pStyle w:val="ListNumber"/>
        <w:spacing w:before="0" w:after="80"/>
        <w:jc w:val="left"/>
        <w:numPr>
          <w:ilvl w:val="0"/>
          <w:numId w:val="21"/>
        </w:numPr>
      </w:pPr>
      <w:r>
        <w:rPr>
          <w:b/>
          <w:i w:val="0"/>
        </w:rPr>
        <w:t>Model Tata Kelola pelaksanaan</w:t>
      </w:r>
      <w:r>
        <w:rPr>
          <w:b w:val="0"/>
          <w:i w:val="0"/>
        </w:rPr>
        <w:t xml:space="preserve"> – struktur keputusan (Komite Pengarah, Office Operasional, Risk &amp; Compliance Hub) lengkap RACI, SLA, dan kontrol audit sesuai POJK (ojk.go.id, 2025).</w:t>
      </w:r>
    </w:p>
    <w:p>
      <w:pPr>
        <w:pStyle w:val="ListNumber"/>
        <w:spacing w:before="0" w:after="80"/>
        <w:jc w:val="left"/>
        <w:numPr>
          <w:ilvl w:val="0"/>
          <w:numId w:val="21"/>
        </w:numPr>
      </w:pPr>
      <w:r>
        <w:rPr>
          <w:b/>
          <w:i w:val="0"/>
        </w:rPr>
        <w:t>Rencana Phased penerapan bertahap (3 fase)</w:t>
      </w:r>
      <w:r>
        <w:rPr>
          <w:b w:val="0"/>
          <w:i w:val="0"/>
        </w:rPr>
        <w:br/>
        <w:t xml:space="preserve">- </w:t>
      </w:r>
      <w:r>
        <w:rPr>
          <w:b w:val="0"/>
          <w:i/>
        </w:rPr>
        <w:t>Pilot</w:t>
      </w:r>
      <w:r>
        <w:rPr>
          <w:b w:val="0"/>
          <w:i w:val="0"/>
        </w:rPr>
        <w:t>: aktivasi DHE Tracker pada 5 % nasabah korporat, pemantauan realtime reconciliation (money.kompas.com, 2026).</w:t>
        <w:br/>
        <w:t xml:space="preserve">- </w:t>
      </w:r>
      <w:r>
        <w:rPr>
          <w:b w:val="0"/>
          <w:i/>
        </w:rPr>
        <w:t>Scale‑out</w:t>
      </w:r>
      <w:r>
        <w:rPr>
          <w:b w:val="0"/>
          <w:i w:val="0"/>
        </w:rPr>
        <w:t>: integrasi “Livin’ by Mandiri Siap Temani” untuk 50 % nasabah retail selama libur Idul Fitri (bankmandiri.co.id, 2026).</w:t>
        <w:br/>
        <w:t xml:space="preserve">- </w:t>
      </w:r>
      <w:r>
        <w:rPr>
          <w:b w:val="0"/>
          <w:i/>
        </w:rPr>
        <w:t>Stabilization</w:t>
      </w:r>
      <w:r>
        <w:rPr>
          <w:b w:val="0"/>
          <w:i w:val="0"/>
        </w:rPr>
        <w:t>: full‑deployment dengan pendampingan intensif (pendampingan intensif).</w:t>
      </w:r>
    </w:p>
    <w:p>
      <w:pPr>
        <w:pStyle w:val="ListNumber"/>
        <w:spacing w:before="0" w:after="80"/>
        <w:jc w:val="left"/>
        <w:numPr>
          <w:ilvl w:val="0"/>
          <w:numId w:val="21"/>
        </w:numPr>
      </w:pPr>
      <w:r>
        <w:rPr>
          <w:b/>
          <w:i w:val="0"/>
        </w:rPr>
        <w:t>Playbook Change &amp; pendampingan intensif</w:t>
      </w:r>
      <w:r>
        <w:rPr>
          <w:b w:val="0"/>
          <w:i w:val="0"/>
        </w:rPr>
        <w:t xml:space="preserve"> – prosedur pelatihan, komunikasi, dan support desk 30 hari pasca‑go‑live; target downtime &lt; 0,2 % dan resolusi insiden prioritas ≤ 4 jam.</w:t>
      </w:r>
    </w:p>
    <w:p>
      <w:pPr>
        <w:pStyle w:val="Heading3"/>
      </w:pPr>
      <w:r>
        <w:t>6.1.2 Jadwal, Kepemilikan, dan KPI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Artefak</w:t>
            </w:r>
          </w:p>
        </w:tc>
        <w:tc>
          <w:tcPr>
            <w:tcW w:type="dxa" w:w="2340"/>
          </w:tcPr>
          <w:p>
            <w:r>
              <w:rPr>
                <w:b/>
              </w:rPr>
              <w:t>Pemilik</w:t>
            </w:r>
          </w:p>
        </w:tc>
        <w:tc>
          <w:tcPr>
            <w:tcW w:type="dxa" w:w="2340"/>
          </w:tcPr>
          <w:p>
            <w:r>
              <w:rPr>
                <w:b/>
              </w:rPr>
              <w:t>Durasi (minggu)</w:t>
            </w:r>
          </w:p>
        </w:tc>
        <w:tc>
          <w:tcPr>
            <w:tcW w:type="dxa" w:w="2340"/>
          </w:tcPr>
          <w:p>
            <w:r>
              <w:rPr>
                <w:b/>
              </w:rPr>
              <w:t>KPI utama</w:t>
            </w:r>
          </w:p>
        </w:tc>
      </w:tr>
      <w:tr>
        <w:tc>
          <w:tcPr>
            <w:tcW w:type="dxa" w:w="2340"/>
          </w:tcPr>
          <w:p>
            <w:r>
              <w:t>cetak biru Kesiapan</w:t>
            </w:r>
          </w:p>
        </w:tc>
        <w:tc>
          <w:tcPr>
            <w:tcW w:type="dxa" w:w="2340"/>
          </w:tcPr>
          <w:p>
            <w:r>
              <w:t>Program Manager</w:t>
            </w:r>
          </w:p>
        </w:tc>
        <w:tc>
          <w:tcPr>
            <w:tcW w:type="dxa" w:w="2340"/>
          </w:tcPr>
          <w:p>
            <w:r>
              <w:t>2</w:t>
            </w:r>
          </w:p>
        </w:tc>
        <w:tc>
          <w:tcPr>
            <w:tcW w:type="dxa" w:w="2340"/>
          </w:tcPr>
          <w:p>
            <w:r>
              <w:t>Gap digital maturity ≤ 15 %</w:t>
            </w:r>
          </w:p>
        </w:tc>
      </w:tr>
      <w:tr>
        <w:tc>
          <w:tcPr>
            <w:tcW w:type="dxa" w:w="2340"/>
          </w:tcPr>
          <w:p>
            <w:r>
              <w:t>Model Tata Kelola</w:t>
            </w:r>
          </w:p>
        </w:tc>
        <w:tc>
          <w:tcPr>
            <w:tcW w:type="dxa" w:w="2340"/>
          </w:tcPr>
          <w:p>
            <w:r>
              <w:t>Chief Risk Officer</w:t>
            </w:r>
          </w:p>
        </w:tc>
        <w:tc>
          <w:tcPr>
            <w:tcW w:type="dxa" w:w="2340"/>
          </w:tcPr>
          <w:p>
            <w:r>
              <w:t>3</w:t>
            </w:r>
          </w:p>
        </w:tc>
        <w:tc>
          <w:tcPr>
            <w:tcW w:type="dxa" w:w="2340"/>
          </w:tcPr>
          <w:p>
            <w:r>
              <w:t>Audit findings ≤ 2 per semester</w:t>
            </w:r>
          </w:p>
        </w:tc>
      </w:tr>
      <w:tr>
        <w:tc>
          <w:tcPr>
            <w:tcW w:type="dxa" w:w="2340"/>
          </w:tcPr>
          <w:p>
            <w:r>
              <w:t>Phased penerapan bertahap</w:t>
            </w:r>
          </w:p>
        </w:tc>
        <w:tc>
          <w:tcPr>
            <w:tcW w:type="dxa" w:w="2340"/>
          </w:tcPr>
          <w:p>
            <w:r>
              <w:t>Tech Lead Livin’</w:t>
            </w:r>
          </w:p>
        </w:tc>
        <w:tc>
          <w:tcPr>
            <w:tcW w:type="dxa" w:w="2340"/>
          </w:tcPr>
          <w:p>
            <w:r>
              <w:t>12</w:t>
            </w:r>
          </w:p>
        </w:tc>
        <w:tc>
          <w:tcPr>
            <w:tcW w:type="dxa" w:w="2340"/>
          </w:tcPr>
          <w:p>
            <w:r>
              <w:t>Transaksi digital + 30 % per fase; MAU + 20 % dalam 6 bulan</w:t>
            </w:r>
          </w:p>
        </w:tc>
      </w:tr>
      <w:tr>
        <w:tc>
          <w:tcPr>
            <w:tcW w:type="dxa" w:w="2340"/>
          </w:tcPr>
          <w:p>
            <w:r>
              <w:t>Playbook Change &amp; pendampingan intensif</w:t>
            </w:r>
          </w:p>
        </w:tc>
        <w:tc>
          <w:tcPr>
            <w:tcW w:type="dxa" w:w="2340"/>
          </w:tcPr>
          <w:p>
            <w:r>
              <w:t>Change Expert</w:t>
            </w:r>
          </w:p>
        </w:tc>
        <w:tc>
          <w:tcPr>
            <w:tcW w:type="dxa" w:w="2340"/>
          </w:tcPr>
          <w:p>
            <w:r>
              <w:t>4</w:t>
            </w:r>
          </w:p>
        </w:tc>
        <w:tc>
          <w:tcPr>
            <w:tcW w:type="dxa" w:w="2340"/>
          </w:tcPr>
          <w:p>
            <w:r>
              <w:t>Downtime &lt; 0,2 %; insiden prioritas ≤ 4 jam</w:t>
            </w:r>
          </w:p>
        </w:tc>
      </w:tr>
    </w:tbl>
    <w:p>
      <w:pPr>
        <w:pStyle w:val="Heading3"/>
      </w:pPr>
      <w:r>
        <w:t>6.1.3 Langkah Operasional (kesiapan → pendampingan intensif)</w:t>
      </w:r>
    </w:p>
    <w:p>
      <w:pPr>
        <w:pStyle w:val="ListNumber"/>
        <w:spacing w:before="0" w:after="80"/>
        <w:jc w:val="left"/>
        <w:numPr>
          <w:ilvl w:val="0"/>
          <w:numId w:val="22"/>
        </w:numPr>
      </w:pPr>
      <w:r>
        <w:rPr>
          <w:b/>
          <w:i w:val="0"/>
        </w:rPr>
        <w:t>Kick‑off &amp; penyelarasan</w:t>
      </w:r>
      <w:r>
        <w:rPr>
          <w:b w:val="0"/>
          <w:i w:val="0"/>
        </w:rPr>
        <w:t xml:space="preserve"> – lokakarya 2 hari melibatkan unit bisnis, IT, dan regulator untuk menyepakati risk appetite dan KPI.</w:t>
      </w:r>
    </w:p>
    <w:p>
      <w:pPr>
        <w:pStyle w:val="ListNumber"/>
        <w:spacing w:before="0" w:after="80"/>
        <w:jc w:val="left"/>
        <w:numPr>
          <w:ilvl w:val="0"/>
          <w:numId w:val="22"/>
        </w:numPr>
      </w:pPr>
      <w:r>
        <w:rPr>
          <w:b/>
          <w:i w:val="0"/>
        </w:rPr>
        <w:t>Audit Infrastruktur &amp; Data</w:t>
      </w:r>
      <w:r>
        <w:rPr>
          <w:b w:val="0"/>
          <w:i w:val="0"/>
        </w:rPr>
        <w:t xml:space="preserve"> – gunakan tool otomatisasi untuk memetakan latency API, kapasitas server, serta integrasi core banking.</w:t>
      </w:r>
    </w:p>
    <w:p>
      <w:pPr>
        <w:pStyle w:val="ListNumber"/>
        <w:spacing w:before="0" w:after="80"/>
        <w:jc w:val="left"/>
        <w:numPr>
          <w:ilvl w:val="0"/>
          <w:numId w:val="22"/>
        </w:numPr>
      </w:pPr>
      <w:r>
        <w:rPr>
          <w:b/>
          <w:i w:val="0"/>
        </w:rPr>
        <w:t>Desain Tata Kelola</w:t>
      </w:r>
      <w:r>
        <w:rPr>
          <w:b w:val="0"/>
          <w:i w:val="0"/>
        </w:rPr>
        <w:t xml:space="preserve"> – susun charter Komite Pengarah, definisikan authority level, dan embed kontrol POJK (bi.go.id, 2026).</w:t>
      </w:r>
    </w:p>
    <w:p>
      <w:pPr>
        <w:pStyle w:val="ListNumber"/>
        <w:spacing w:before="0" w:after="80"/>
        <w:jc w:val="left"/>
        <w:numPr>
          <w:ilvl w:val="0"/>
          <w:numId w:val="22"/>
        </w:numPr>
      </w:pPr>
      <w:r>
        <w:rPr>
          <w:b/>
          <w:i w:val="0"/>
        </w:rPr>
        <w:t>Pilot Deployment</w:t>
      </w:r>
      <w:r>
        <w:rPr>
          <w:b w:val="0"/>
          <w:i w:val="0"/>
        </w:rPr>
        <w:t xml:space="preserve"> – aktifkan DHE Tracker pada 5 % nasabah korporat, kumpulkan feedback realtime.</w:t>
      </w:r>
    </w:p>
    <w:p>
      <w:pPr>
        <w:pStyle w:val="ListNumber"/>
        <w:spacing w:before="0" w:after="80"/>
        <w:jc w:val="left"/>
        <w:numPr>
          <w:ilvl w:val="0"/>
          <w:numId w:val="22"/>
        </w:numPr>
      </w:pPr>
      <w:r>
        <w:rPr>
          <w:b/>
          <w:i w:val="0"/>
        </w:rPr>
        <w:t>Scale‑out Execution</w:t>
      </w:r>
      <w:r>
        <w:rPr>
          <w:b w:val="0"/>
          <w:i w:val="0"/>
        </w:rPr>
        <w:t xml:space="preserve"> – perluas ke 50 % nasabah retail, aktifkan fitur “Livin’ by Mandiri Siap Temani” selama Idul Fitri.</w:t>
      </w:r>
    </w:p>
    <w:p>
      <w:pPr>
        <w:pStyle w:val="ListNumber"/>
        <w:spacing w:before="0" w:after="80"/>
        <w:jc w:val="left"/>
        <w:numPr>
          <w:ilvl w:val="0"/>
          <w:numId w:val="22"/>
        </w:numPr>
      </w:pPr>
      <w:r>
        <w:rPr>
          <w:b/>
          <w:i w:val="0"/>
        </w:rPr>
        <w:t>Stabilization &amp; pendampingan intensif</w:t>
      </w:r>
      <w:r>
        <w:rPr>
          <w:b w:val="0"/>
          <w:i w:val="0"/>
        </w:rPr>
        <w:t xml:space="preserve"> – transfer ke tim operasi, jalankan sesi pelatihan berkelanjutan, dan monitor KPI harian melalui dashboard. </w:t>
      </w:r>
      <w:r>
        <w:rPr>
          <w:b/>
          <w:i w:val="0"/>
        </w:rPr>
        <w:t>Risiko utama</w:t>
      </w:r>
      <w:r>
        <w:rPr>
          <w:b w:val="0"/>
          <w:i w:val="0"/>
        </w:rPr>
        <w:t>: downtime saat cut‑over (mitigasi blue‑green deployment) dan resistensi perubahan nasabah (kampanye edukasi tersegmentasi).</w:t>
      </w:r>
    </w:p>
    <w:p>
      <w:pPr>
        <w:pStyle w:val="Heading2"/>
      </w:pPr>
      <w:r>
        <w:t>6.2 Kesesuaian Solusi terhadap Kebutuhan Klien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Kebutuhan Klien</w:t>
            </w:r>
          </w:p>
        </w:tc>
        <w:tc>
          <w:tcPr>
            <w:tcW w:type="dxa" w:w="3120"/>
          </w:tcPr>
          <w:p>
            <w:r>
              <w:rPr>
                <w:b/>
              </w:rPr>
              <w:t>Solusi yang Dipetakan</w:t>
            </w:r>
          </w:p>
        </w:tc>
        <w:tc>
          <w:tcPr>
            <w:tcW w:type="dxa" w:w="3120"/>
          </w:tcPr>
          <w:p>
            <w:r>
              <w:rPr>
                <w:b/>
              </w:rPr>
              <w:t>Rationale &amp; Dampak pada KPI</w:t>
            </w:r>
          </w:p>
        </w:tc>
      </w:tr>
      <w:tr>
        <w:tc>
          <w:tcPr>
            <w:tcW w:type="dxa" w:w="3120"/>
          </w:tcPr>
          <w:p>
            <w:r>
              <w:t>Pertumbuhan transaksi digital – target MAU 20 juta dalam 6 bulan</w:t>
            </w:r>
          </w:p>
        </w:tc>
        <w:tc>
          <w:tcPr>
            <w:tcW w:type="dxa" w:w="3120"/>
          </w:tcPr>
          <w:p>
            <w:r>
              <w:t>Phased penerapan bertahap dengan pilot DHE Tracker dan fitur “Livin’ by Mandiri Siap Temani”</w:t>
            </w:r>
          </w:p>
        </w:tc>
        <w:tc>
          <w:tcPr>
            <w:tcW w:type="dxa" w:w="3120"/>
          </w:tcPr>
          <w:p>
            <w:r>
              <w:t>Peningkatan transaksi digital diproyeksikan +30 % per fase, menghasilkan MAU + 20 % dan transaksi digital nasabah naik 25 % dalam periode 6 bulan (insight.kontan.co.id, 2026).</w:t>
            </w:r>
          </w:p>
        </w:tc>
      </w:tr>
      <w:tr>
        <w:tc>
          <w:tcPr>
            <w:tcW w:type="dxa" w:w="3120"/>
          </w:tcPr>
          <w:p>
            <w:r>
              <w:t>Kepatuhan &amp; risiko operasional – audit findings ≤ 2 per semester</w:t>
            </w:r>
          </w:p>
        </w:tc>
        <w:tc>
          <w:tcPr>
            <w:tcW w:type="dxa" w:w="3120"/>
          </w:tcPr>
          <w:p>
            <w:r>
              <w:t>Model Tata Kelola pelaksanaan terintegrasi POJK &amp; BI, RACI jelas, SLA ketat</w:t>
            </w:r>
          </w:p>
        </w:tc>
        <w:tc>
          <w:tcPr>
            <w:tcW w:type="dxa" w:w="3120"/>
          </w:tcPr>
          <w:p>
            <w:r>
              <w:t>Kontrol audit terpusat menurunkan temuan audit hingga 60 % dalam 6 bulan, sejalan dengan target kepatuhan (bi.go.id, 2026).</w:t>
            </w:r>
          </w:p>
        </w:tc>
      </w:tr>
      <w:tr>
        <w:tc>
          <w:tcPr>
            <w:tcW w:type="dxa" w:w="3120"/>
          </w:tcPr>
          <w:p>
            <w:r>
              <w:t>**Ketersediaan layanan digital</w:t>
            </w:r>
          </w:p>
        </w:tc>
        <w:tc>
          <w:tcPr>
            <w:tcW w:type="dxa" w:w="3120"/>
          </w:tcPr>
          <w:p>
            <w:r/>
          </w:p>
        </w:tc>
        <w:tc>
          <w:tcPr>
            <w:tcW w:type="dxa" w:w="3120"/>
          </w:tcPr>
          <w:p>
            <w:r/>
          </w:p>
        </w:tc>
      </w:tr>
    </w:tbl>
    <w:p>
      <w:r>
        <w:br w:type="page"/>
      </w:r>
    </w:p>
    <w:p>
      <w:pPr>
        <w:pStyle w:val="Heading1"/>
        <w:jc w:val="center"/>
      </w:pPr>
      <w:r>
        <w:rPr>
          <w:color w:val="777973"/>
        </w:rPr>
        <w:t>BAB VII – RUANG LINGKUP PEKERJAAN</w:t>
      </w:r>
    </w:p>
    <w:p>
      <w:pPr>
        <w:jc w:val="both"/>
      </w:pPr>
      <w:r>
        <w:rPr>
          <w:b w:val="0"/>
          <w:i w:val="0"/>
        </w:rPr>
        <w:t>Ruang lingkup pekerjaan untuk Bank Mandiri dirancang agar inisiatif penguatan pelaksanaan tata kelola dan peta jalan transformasi digital tidak melebar menjadi daftar aktivitas yang sulit dikendalikan. Fokus utamanya adalah memastikan setiap aktivitas, keluaran utama, dan kebutuhan keterlibatan klien tetap langsung berkontribusi pada menegaskan arah transformasi yang lebih terukur dan lebih kuat dipertanggungjawabkan dan bergerak sesuai skala bisnis yang diharapkan, yaitu lintas unit prioritas nasional.</w:t>
        <w:br/>
        <w:t>Ruang lingkup utama disusun sebagai daftar kerja yang mudah ditindaklanjuti, bukan narasi umum. Dengan pendekatan ini, Bank Mandiri dapat melihat hubungan antara aktivitas, jenis keluaran, dan manfaat bisnis yang dikejar seperti Pertumbuhan transaksi digital nasabah dalam 6 bulan.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No</w:t>
            </w:r>
          </w:p>
        </w:tc>
        <w:tc>
          <w:tcPr>
            <w:tcW w:type="dxa" w:w="3120"/>
          </w:tcPr>
          <w:p>
            <w:r>
              <w:rPr>
                <w:b/>
              </w:rPr>
              <w:t>Ruang Lingkup / Keluaran</w:t>
            </w:r>
          </w:p>
        </w:tc>
        <w:tc>
          <w:tcPr>
            <w:tcW w:type="dxa" w:w="3120"/>
          </w:tcPr>
          <w:p>
            <w:r>
              <w:rPr>
                <w:b/>
              </w:rPr>
              <w:t>Bentuk Output</w:t>
            </w:r>
          </w:p>
        </w:tc>
      </w:tr>
      <w:tr>
        <w:tc>
          <w:tcPr>
            <w:tcW w:type="dxa" w:w="3120"/>
          </w:tcPr>
          <w:p>
            <w:r>
              <w:t>1</w:t>
            </w:r>
          </w:p>
        </w:tc>
        <w:tc>
          <w:tcPr>
            <w:tcW w:type="dxa" w:w="3120"/>
          </w:tcPr>
          <w:p>
            <w:r>
              <w:t>asesmen kesiapan</w:t>
            </w:r>
          </w:p>
        </w:tc>
        <w:tc>
          <w:tcPr>
            <w:tcW w:type="dxa" w:w="3120"/>
          </w:tcPr>
          <w:p>
            <w:r>
              <w:t>Dokumen / Lokakarya / Pendampingan</w:t>
            </w:r>
          </w:p>
        </w:tc>
      </w:tr>
      <w:tr>
        <w:tc>
          <w:tcPr>
            <w:tcW w:type="dxa" w:w="3120"/>
          </w:tcPr>
          <w:p>
            <w:r>
              <w:t>2</w:t>
            </w:r>
          </w:p>
        </w:tc>
        <w:tc>
          <w:tcPr>
            <w:tcW w:type="dxa" w:w="3120"/>
          </w:tcPr>
          <w:p>
            <w:r>
              <w:t>lokakarya penyelarasan</w:t>
            </w:r>
          </w:p>
        </w:tc>
        <w:tc>
          <w:tcPr>
            <w:tcW w:type="dxa" w:w="3120"/>
          </w:tcPr>
          <w:p>
            <w:r>
              <w:t>Dokumen / Lokakarya / Pendampingan</w:t>
            </w:r>
          </w:p>
        </w:tc>
      </w:tr>
      <w:tr>
        <w:tc>
          <w:tcPr>
            <w:tcW w:type="dxa" w:w="3120"/>
          </w:tcPr>
          <w:p>
            <w:r>
              <w:t>3</w:t>
            </w:r>
          </w:p>
        </w:tc>
        <w:tc>
          <w:tcPr>
            <w:tcW w:type="dxa" w:w="3120"/>
          </w:tcPr>
          <w:p>
            <w:r>
              <w:t>penyusunan peta jalan</w:t>
            </w:r>
          </w:p>
        </w:tc>
        <w:tc>
          <w:tcPr>
            <w:tcW w:type="dxa" w:w="3120"/>
          </w:tcPr>
          <w:p>
            <w:r>
              <w:t>Dokumen / Lokakarya / Pendampingan</w:t>
            </w:r>
          </w:p>
        </w:tc>
      </w:tr>
      <w:tr>
        <w:tc>
          <w:tcPr>
            <w:tcW w:type="dxa" w:w="3120"/>
          </w:tcPr>
          <w:p>
            <w:r>
              <w:t>4</w:t>
            </w:r>
          </w:p>
        </w:tc>
        <w:tc>
          <w:tcPr>
            <w:tcW w:type="dxa" w:w="3120"/>
          </w:tcPr>
          <w:p>
            <w:r>
              <w:t>tata kelola design</w:t>
            </w:r>
          </w:p>
        </w:tc>
        <w:tc>
          <w:tcPr>
            <w:tcW w:type="dxa" w:w="3120"/>
          </w:tcPr>
          <w:p>
            <w:r>
              <w:t>Keluaran Terkait</w:t>
            </w:r>
          </w:p>
        </w:tc>
      </w:tr>
    </w:tbl>
    <w:p>
      <w:pPr>
        <w:pStyle w:val="Heading2"/>
      </w:pPr>
      <w:r>
        <w:t>7.2 Batasan, Asumsi, dan Kebutuhan Keterlibatan Klien</w:t>
      </w:r>
    </w:p>
    <w:p>
      <w:pPr>
        <w:jc w:val="both"/>
      </w:pPr>
      <w:r>
        <w:rPr>
          <w:b w:val="0"/>
          <w:i w:val="0"/>
        </w:rPr>
        <w:t>Selain ruang lingkup utama, proposal ini juga menegaskan batasan dan asumsi agar ekspektasi kedua belah pihak tetap bersih sejak awal. Bagi Bank Mandiri, kejelasan ini penting karena program penguatan pelaksanaan tata kelola dan peta jalan transformasi digital berpotensi melibatkan banyak ketergantungan keputusan, akses data, dan ketersediaan PIC.</w:t>
        <w:br/>
        <w:t>Bagian 7.1 ruang lingkup utama dan keluaran perlu dijelaskan secara lebih konkret agar pembaca dapat melihat kaitannya dengan keputusan, risiko, keluaran, dan hasil yang ingin dicapai. 1.</w:t>
        <w:br/>
        <w:t>2. Keputusan pelaksanaan dan gerbang mutu pada bab ini harus konsisten dengan istilah kerja nasabah, core banking.</w:t>
      </w:r>
    </w:p>
    <w:p>
      <w:pPr>
        <w:pStyle w:val="Heading2"/>
      </w:pPr>
      <w:r>
        <w:t>7.1 Ruang Lingkup Utama dan keluaran</w:t>
      </w:r>
    </w:p>
    <w:p>
      <w:pPr>
        <w:jc w:val="both"/>
      </w:pPr>
      <w:r>
        <w:rPr>
          <w:b w:val="0"/>
          <w:i w:val="0"/>
        </w:rPr>
        <w:t>Bagian 7.1 ruang lingkup utama dan keluaran perlu dijelaskan secara lebih konkret agar pembaca dapat melihat kaitannya dengan keputusan, risiko, keluaran, dan hasil yang ingin dicapai.</w:t>
        <w:br/>
        <w:t>- Konteks Bank Mandiri tetap menjadi acuan utama agar isi bab tidak bergeser menjadi generik.</w:t>
        <w:br/>
        <w:t>- Setiap butir pada bab ini harus bisa ditelusuri ke KPI, risiko, atau keputusan kerja yang nyata.</w:t>
      </w:r>
    </w:p>
    <w:p>
      <w:pPr>
        <w:pStyle w:val="Heading2"/>
      </w:pPr>
      <w:r>
        <w:t>7.1 Ruang Lingkup Utama dan keluaran</w:t>
      </w:r>
    </w:p>
    <w:p>
      <w:pPr>
        <w:jc w:val="both"/>
      </w:pPr>
      <w:r>
        <w:rPr>
          <w:b w:val="0"/>
          <w:i w:val="0"/>
        </w:rPr>
        <w:t>Bagian 7.1 ruang lingkup utama dan keluaran perlu dijelaskan secara lebih konkret agar pembaca dapat melihat kaitannya dengan keputusan, risiko, keluaran, dan hasil yang ingin dicapai.</w:t>
      </w:r>
    </w:p>
    <w:p>
      <w:r>
        <w:br w:type="page"/>
      </w:r>
    </w:p>
    <w:p>
      <w:pPr>
        <w:pStyle w:val="Heading1"/>
        <w:jc w:val="center"/>
      </w:pPr>
      <w:r>
        <w:rPr>
          <w:color w:val="777973"/>
        </w:rPr>
        <w:t>BAB VIII – TIMELINE PEKERJAAN</w:t>
      </w:r>
    </w:p>
    <w:p>
      <w:r>
        <w:drawing>
          <wp:inline xmlns:a="http://schemas.openxmlformats.org/drawingml/2006/main" xmlns:pic="http://schemas.openxmlformats.org/drawingml/2006/picture">
            <wp:extent cx="5486400" cy="247014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470140"/>
                    </a:xfrm>
                    <a:prstGeom prst="rect"/>
                  </pic:spPr>
                </pic:pic>
              </a:graphicData>
            </a:graphic>
          </wp:inline>
        </w:drawing>
      </w:r>
    </w:p>
    <w:p>
      <w:pPr>
        <w:jc w:val="both"/>
      </w:pPr>
      <w:r>
        <w:rPr>
          <w:b w:val="0"/>
          <w:i w:val="0"/>
        </w:rPr>
        <w:t>Untuk Bank Mandiri, jadwal pekerjaan disusun agar inisiatif Penguatan pelaksanaan tata kelola dan peta jalan transformasi digital dapat bergerak stabil selama 6 bulan. Rencana ini mengikat ritme pelaksanaan ke KPI seperti Pertumbuhan transaksi digital nasabah dalam 6 bulan.</w:t>
        <w:br/>
        <w:t xml:space="preserve">1. </w:t>
      </w:r>
      <w:r>
        <w:rPr>
          <w:b/>
          <w:i w:val="0"/>
        </w:rPr>
        <w:t>Asesmen Kesiapan</w:t>
      </w:r>
      <w:r>
        <w:rPr>
          <w:b w:val="0"/>
          <w:i w:val="0"/>
        </w:rPr>
        <w:t xml:space="preserve"> (Bulan 1): Nilai kesiapan organisasi, proses, data, dan sponsor. Output utama: gambaran kesiapan dan daftar gap.</w:t>
        <w:br/>
        <w:t xml:space="preserve">2. </w:t>
      </w:r>
      <w:r>
        <w:rPr>
          <w:b/>
          <w:i w:val="0"/>
        </w:rPr>
        <w:t>Cetak Biru dan Mobilisasi</w:t>
      </w:r>
      <w:r>
        <w:rPr>
          <w:b w:val="0"/>
          <w:i w:val="0"/>
        </w:rPr>
        <w:t xml:space="preserve"> (Bulan 2-3): Tetapkan rancangan solusi, tata kelola, dan model pelaksanaan. Output utama: cetak biru, penguncian ruang lingkup, dan rencana mobilisasi.</w:t>
        <w:br/>
        <w:t xml:space="preserve">3. </w:t>
      </w:r>
      <w:r>
        <w:rPr>
          <w:b/>
          <w:i w:val="0"/>
        </w:rPr>
        <w:t>Penerapan Bertahap</w:t>
      </w:r>
      <w:r>
        <w:rPr>
          <w:b w:val="0"/>
          <w:i w:val="0"/>
        </w:rPr>
        <w:t xml:space="preserve"> (Bulan 4-5): Eksekusi perubahan prioritas melalui alur kerja terukur. Output utama: keluaran inti dan tonggak capaian penerapan.</w:t>
        <w:br/>
        <w:t xml:space="preserve">4. </w:t>
      </w:r>
      <w:r>
        <w:rPr>
          <w:b/>
          <w:i w:val="0"/>
        </w:rPr>
        <w:t>Stabilisasi dan Penutupan</w:t>
      </w:r>
      <w:r>
        <w:rPr>
          <w:b w:val="0"/>
          <w:i w:val="0"/>
        </w:rPr>
        <w:t xml:space="preserve"> (Bulan 6): Amankan adopsi, kualitas layanan, dan transisi operasi. Output utama: laporan stabilisasi dan daftar tindak lanjut.</w:t>
      </w:r>
    </w:p>
    <w:p>
      <w:pPr>
        <w:pStyle w:val="Heading2"/>
      </w:pPr>
      <w:r>
        <w:t>8.2 Waktu Pelaksanaan dan Keluaran Tiap Fase</w:t>
      </w:r>
    </w:p>
    <w:p>
      <w:pPr>
        <w:jc w:val="both"/>
      </w:pPr>
      <w:r>
        <w:rPr>
          <w:b w:val="0"/>
          <w:i w:val="0"/>
        </w:rPr>
        <w:t>Pengaturan waktu tidak hanya membagi durasi, tetapi memastikan setiap keluaran langsung mendukung kebutuhan problem, opportunity dan memberi bahan keputusan yang rapi pada forum pengarah proyek Bank Mandiri. Karena itu, keluaran dibangun berlapis: mulai dari acuan dasar,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Fase</w:t>
            </w:r>
          </w:p>
        </w:tc>
        <w:tc>
          <w:tcPr>
            <w:tcW w:type="dxa" w:w="2340"/>
          </w:tcPr>
          <w:p>
            <w:r>
              <w:rPr>
                <w:b/>
              </w:rPr>
              <w:t>Periode</w:t>
            </w:r>
          </w:p>
        </w:tc>
        <w:tc>
          <w:tcPr>
            <w:tcW w:type="dxa" w:w="2340"/>
          </w:tcPr>
          <w:p>
            <w:r>
              <w:rPr>
                <w:b/>
              </w:rPr>
              <w:t>Keluaran Utama</w:t>
            </w:r>
          </w:p>
        </w:tc>
        <w:tc>
          <w:tcPr>
            <w:tcW w:type="dxa" w:w="2340"/>
          </w:tcPr>
          <w:p>
            <w:r>
              <w:rPr>
                <w:b/>
              </w:rPr>
              <w:t>Kontribusi Bisnis</w:t>
            </w:r>
          </w:p>
        </w:tc>
      </w:tr>
      <w:tr>
        <w:tc>
          <w:tcPr>
            <w:tcW w:type="dxa" w:w="2340"/>
          </w:tcPr>
          <w:p>
            <w:r>
              <w:t>Asesmen Kesiapan</w:t>
            </w:r>
          </w:p>
        </w:tc>
        <w:tc>
          <w:tcPr>
            <w:tcW w:type="dxa" w:w="2340"/>
          </w:tcPr>
          <w:p>
            <w:r>
              <w:t>Bulan 1</w:t>
            </w:r>
          </w:p>
        </w:tc>
        <w:tc>
          <w:tcPr>
            <w:tcW w:type="dxa" w:w="2340"/>
          </w:tcPr>
          <w:p>
            <w:r>
              <w:t>gambaran kesiapan dan daftar gap</w:t>
            </w:r>
          </w:p>
        </w:tc>
        <w:tc>
          <w:tcPr>
            <w:tcW w:type="dxa" w:w="2340"/>
          </w:tcPr>
          <w:p>
            <w:r>
              <w:t>Menjaga progres problem, opportunity</w:t>
            </w:r>
          </w:p>
        </w:tc>
      </w:tr>
      <w:tr>
        <w:tc>
          <w:tcPr>
            <w:tcW w:type="dxa" w:w="2340"/>
          </w:tcPr>
          <w:p>
            <w:r>
              <w:t>Cetak Biru dan Mobilisasi</w:t>
            </w:r>
          </w:p>
        </w:tc>
        <w:tc>
          <w:tcPr>
            <w:tcW w:type="dxa" w:w="2340"/>
          </w:tcPr>
          <w:p>
            <w:r>
              <w:t>Bulan 2-3</w:t>
            </w:r>
          </w:p>
        </w:tc>
        <w:tc>
          <w:tcPr>
            <w:tcW w:type="dxa" w:w="2340"/>
          </w:tcPr>
          <w:p>
            <w:r>
              <w:t>cetak biru, penguncian ruang lingkup, dan rencana mobilisasi</w:t>
            </w:r>
          </w:p>
        </w:tc>
        <w:tc>
          <w:tcPr>
            <w:tcW w:type="dxa" w:w="2340"/>
          </w:tcPr>
          <w:p>
            <w:r>
              <w:t>Menjaga progres problem, opportunity</w:t>
            </w:r>
          </w:p>
        </w:tc>
      </w:tr>
      <w:tr>
        <w:tc>
          <w:tcPr>
            <w:tcW w:type="dxa" w:w="2340"/>
          </w:tcPr>
          <w:p>
            <w:r>
              <w:t>Penerapan Bertahap</w:t>
            </w:r>
          </w:p>
        </w:tc>
        <w:tc>
          <w:tcPr>
            <w:tcW w:type="dxa" w:w="2340"/>
          </w:tcPr>
          <w:p>
            <w:r>
              <w:t>Bulan 4-5</w:t>
            </w:r>
          </w:p>
        </w:tc>
        <w:tc>
          <w:tcPr>
            <w:tcW w:type="dxa" w:w="2340"/>
          </w:tcPr>
          <w:p>
            <w:r>
              <w:t>keluaran inti dan tonggak capaian penerapan</w:t>
            </w:r>
          </w:p>
        </w:tc>
        <w:tc>
          <w:tcPr>
            <w:tcW w:type="dxa" w:w="2340"/>
          </w:tcPr>
          <w:p>
            <w:r>
              <w:t>Menjaga progres problem, opportunity</w:t>
            </w:r>
          </w:p>
        </w:tc>
      </w:tr>
      <w:tr>
        <w:tc>
          <w:tcPr>
            <w:tcW w:type="dxa" w:w="2340"/>
          </w:tcPr>
          <w:p>
            <w:r>
              <w:t>Stabilisasi dan Penutupan</w:t>
            </w:r>
          </w:p>
        </w:tc>
        <w:tc>
          <w:tcPr>
            <w:tcW w:type="dxa" w:w="2340"/>
          </w:tcPr>
          <w:p>
            <w:r>
              <w:t>Bulan 6</w:t>
            </w:r>
          </w:p>
        </w:tc>
        <w:tc>
          <w:tcPr>
            <w:tcW w:type="dxa" w:w="2340"/>
          </w:tcPr>
          <w:p>
            <w:r>
              <w:t>laporan stabilisasi dan daftar tindak lanjut</w:t>
            </w:r>
          </w:p>
        </w:tc>
        <w:tc>
          <w:tcPr>
            <w:tcW w:type="dxa" w:w="2340"/>
          </w:tcPr>
          <w:p>
            <w:r>
              <w:t>Menjaga progres problem, opportunity</w:t>
            </w:r>
          </w:p>
        </w:tc>
      </w:tr>
    </w:tbl>
    <w:p>
      <w:pPr>
        <w:pStyle w:val="Heading2"/>
      </w:pPr>
      <w:r>
        <w:t>8.1 Aktivitas per Fase</w:t>
      </w:r>
    </w:p>
    <w:p>
      <w:pPr>
        <w:jc w:val="both"/>
      </w:pPr>
      <w:r>
        <w:rPr>
          <w:b w:val="0"/>
          <w:i w:val="0"/>
        </w:rPr>
        <w:t>Bagian 8.1 aktivitas per fase perlu dijelaskan secara lebih konkret agar pembaca dapat melihat kaitannya dengan keputusan, risiko, keluaran, dan hasil yang ingin dicapai. Bagian 8.2 waktu pelaksanaan dan keluaran tiap fase perlu dijelaskan secara lebih konkret agar pembaca dapat melihat kaitannya dengan keputusan, risiko, keluaran, dan hasil yang ingin dicapai.</w:t>
      </w:r>
    </w:p>
    <w:p>
      <w:pPr>
        <w:pStyle w:val="Heading2"/>
      </w:pPr>
      <w:r>
        <w:t>8.2 Waktu Pelaksanaan dan keluaran Tiap Fase</w:t>
      </w:r>
    </w:p>
    <w:p>
      <w:pPr>
        <w:jc w:val="both"/>
      </w:pPr>
      <w:r>
        <w:rPr>
          <w:b w:val="0"/>
          <w:i w:val="0"/>
        </w:rPr>
        <w:t>Bagian 8.2 waktu pelaksanaan dan keluaran tiap fase perlu dijelaskan secara lebih konkret agar pembaca dapat melihat kaitannya dengan keputusan, risiko, keluaran, dan hasil yang ingin dicapai.</w:t>
        <w:br/>
        <w:t>- Konteks Bank Mandiri tetap menjadi acuan utama agar isi bab tidak bergeser menjadi generik.</w:t>
        <w:br/>
        <w:t>- Setiap butir pada bab ini harus bisa ditelusuri ke KPI, risiko, atau keputusan kerja yang nyata.</w:t>
      </w:r>
    </w:p>
    <w:p>
      <w:r>
        <w:br w:type="page"/>
      </w:r>
    </w:p>
    <w:p>
      <w:pPr>
        <w:pStyle w:val="Heading1"/>
        <w:jc w:val="center"/>
      </w:pPr>
      <w:r>
        <w:rPr>
          <w:color w:val="777973"/>
        </w:rPr>
        <w:t>BAB IX – TATA KELOLA PROYEK</w:t>
      </w:r>
    </w:p>
    <w:p>
      <w:pPr>
        <w:jc w:val="both"/>
      </w:pPr>
      <w:r>
        <w:rPr>
          <w:b w:val="0"/>
          <w:i w:val="0"/>
        </w:rPr>
        <w:t>Tata kelola proyek untuk Bank Mandiri dirancang agar keputusan strategis, pengendalian eksekusi, dan penanganan risiko berjalan dalam satu sistem kerja yang konsisten. Fokusnya adalah menjaga penguatan pelaksanaan tata kelola dan peta jalan transformasi digital tetap selaras dengan KPI seperti Pertumbuhan transaksi digital nasabah dalam 6 bulan.</w:t>
      </w:r>
    </w:p>
    <w:p>
      <w:pPr>
        <w:pStyle w:val="Heading2"/>
      </w:pPr>
      <w:r>
        <w:t>9.1 Mekanisme Pengambilan Keputusan</w:t>
      </w:r>
    </w:p>
    <w:p>
      <w:pPr>
        <w:pStyle w:val="ListNumber"/>
        <w:spacing w:before="0" w:after="80"/>
        <w:jc w:val="left"/>
        <w:numPr>
          <w:ilvl w:val="0"/>
          <w:numId w:val="23"/>
        </w:numPr>
      </w:pPr>
      <w:r>
        <w:rPr>
          <w:b/>
          <w:i w:val="0"/>
        </w:rPr>
        <w:t>Komite Pengarah</w:t>
      </w:r>
      <w:r>
        <w:rPr>
          <w:b w:val="0"/>
          <w:i w:val="0"/>
        </w:rPr>
        <w:t xml:space="preserve"> menetapkan arah, prioritas, dan keputusan yang berdampak pada ruang lingkup, biaya, atau jadwal program Bank Mandiri.</w:t>
      </w:r>
    </w:p>
    <w:p>
      <w:pPr>
        <w:pStyle w:val="ListNumber"/>
        <w:spacing w:before="0" w:after="80"/>
        <w:jc w:val="left"/>
        <w:numPr>
          <w:ilvl w:val="0"/>
          <w:numId w:val="23"/>
        </w:numPr>
      </w:pPr>
      <w:r>
        <w:rPr>
          <w:b/>
          <w:i w:val="0"/>
        </w:rPr>
        <w:t>Forum Kendali Proyek</w:t>
      </w:r>
      <w:r>
        <w:rPr>
          <w:b w:val="0"/>
          <w:i w:val="0"/>
        </w:rPr>
        <w:t xml:space="preserve"> memutuskan isu lintas alur kerja, persetujuan keluaran utama, dan tindakan korektif terhadap deviasi progres.</w:t>
      </w:r>
    </w:p>
    <w:p>
      <w:pPr>
        <w:pStyle w:val="ListNumber"/>
        <w:spacing w:before="0" w:after="80"/>
        <w:jc w:val="left"/>
        <w:numPr>
          <w:ilvl w:val="0"/>
          <w:numId w:val="23"/>
        </w:numPr>
      </w:pPr>
      <w:r>
        <w:rPr>
          <w:b/>
          <w:i w:val="0"/>
        </w:rPr>
        <w:t>Sesi Kerja</w:t>
      </w:r>
      <w:r>
        <w:rPr>
          <w:b w:val="0"/>
          <w:i w:val="0"/>
        </w:rPr>
        <w:t xml:space="preserve"> mingguan dipakai untuk memvalidasi kebutuhan, ketergantungan, dan kesiapan data atau perwakilan pengguna.</w:t>
      </w:r>
    </w:p>
    <w:p>
      <w:pPr>
        <w:pStyle w:val="ListNumber"/>
        <w:spacing w:before="0" w:after="80"/>
        <w:jc w:val="left"/>
        <w:numPr>
          <w:ilvl w:val="0"/>
          <w:numId w:val="23"/>
        </w:numPr>
      </w:pPr>
      <w:r>
        <w:rPr>
          <w:b/>
          <w:i w:val="0"/>
        </w:rPr>
        <w:t>Jalur eskalasi</w:t>
      </w:r>
      <w:r>
        <w:rPr>
          <w:b w:val="0"/>
          <w:i w:val="0"/>
        </w:rPr>
        <w:t xml:space="preserve"> dibuat berjenjang agar isu operasional tidak langsung membebani forum eksekutif, tetapi tetap bisa naik cepat bila berdampak material.</w:t>
      </w:r>
    </w:p>
    <w:p>
      <w:pPr>
        <w:pStyle w:val="Heading2"/>
      </w:pPr>
      <w:r>
        <w:t>9.2 Mekanisme Pengendalian Proyek</w:t>
      </w:r>
    </w:p>
    <w:p>
      <w:pPr>
        <w:jc w:val="both"/>
      </w:pPr>
      <w:r>
        <w:rPr>
          <w:b w:val="0"/>
          <w:i w:val="0"/>
        </w:rPr>
        <w:t>Pengendalian proyek dilakukan lewat kombinasi ringkasan progres, daftar risiko, catatan isu, gerbang mutu, dan persetujuan keluaran. Model kontrol ini memastikan aktivitas pelaksanaan tetap terkunci pada hasil bisnis, bukan sekadar penyelesaian aktivitas administratif.</w:t>
        <w:br/>
        <w:t>Untuk Bank Mandiri, pengendalian semacam ini penting karena program penguatan pelaksanaan tata kelola dan peta jalan transformasi digital berpotensi melibatkan banyak ketergantungan dan keputusan cepat. Oleh sebab itu, indikator kontrol tidak cukup hanya melihat status tugas, tetapi juga harus membaca dampaknya pada target bisnis, pengalaman nasabah, dan risiko operasional.</w:t>
        <w:br/>
        <w:t>- Konteks Bank Mandiri tetap menjadi acuan utama agar isi bab tidak bergeser menjadi generik.</w:t>
        <w:br/>
        <w:t>- Setiap butir pada bab ini harus bisa ditelusuri ke KPI, risiko, atau keputusan kerja yang nyata. Untuk Bank Mandiri, isi bab ini harus dibaca sebagai dasar keputusan kerja yang dapat ditindaklanjuti, bukan sekadar penjelasan konseptual. Karena itu, isi bab tetap diarahkan untuk menjaga relevansi terhadap KPI seperti Pertumbuhan transaksi digital nasabah dalam 6 bulan. | Kepatuhan &amp; risiko operasional (audit findings) membaik dalam 6 bulan. dan istilah kerja nasabah, core banking.</w:t>
      </w:r>
    </w:p>
    <w:p>
      <w:r>
        <w:br w:type="page"/>
      </w:r>
    </w:p>
    <w:p>
      <w:pPr>
        <w:pStyle w:val="Heading1"/>
        <w:jc w:val="center"/>
      </w:pPr>
      <w:r>
        <w:rPr>
          <w:color w:val="777973"/>
        </w:rPr>
        <w:t>BAB X – PROFIL PERUSAHAAN</w:t>
      </w:r>
    </w:p>
    <w:p>
      <w:pPr>
        <w:jc w:val="both"/>
      </w:pPr>
      <w:r>
        <w:rPr>
          <w:b w:val="0"/>
          <w:i w:val="0"/>
        </w:rPr>
        <w:t>Profil perusahaan dalam proposal ini ditujukan untuk menjawab satu pertanyaan penting dari Bank Mandiri: apakah Inixindo Jogja memiliki pijakan pengalaman dan kapabilitas yang cukup relevan untuk mengawal inisiatif penguatan pelaksanaan tata kelola dan peta jalan transformasi digital secara kredibel. Karena itu, bab ini tidak diposisikan sebagai brosur perusahaan, tetapi sebagai rangkuman bukti pengalaman yang paling dekat dengan konteks kebutuhan Bank Mandiri, ruang lingkup Transformation, dan nilai yang ingin dicapai, yaitu Inixindo Jogja menempatkan engagement Bank Mandiri sebagai upaya untuk mengubah kebutuhan klien menjadi program perubahan yang lebih terkendali, dengan memanfaatkan kapabilitas kesiapan asesmen, penerapan bertahap orchestration, pengelolaan perubahan, dan.... Rangkuman ini juga menjaga posisi Inixindo Jogja sebagai mitra yang membangun kepercayaan melalui bukti kerja, pengendalian pelaksanaan, dan konsistensi kualitas, bukan semata klaim promosi (Data Internal, 2026).</w:t>
      </w:r>
    </w:p>
    <w:p>
      <w:pPr>
        <w:pStyle w:val="Heading2"/>
      </w:pPr>
      <w:r>
        <w:t>10.1 Pengalaman Relevan dan Jejak Pekerjaan</w:t>
      </w:r>
    </w:p>
    <w:p>
      <w:pPr>
        <w:pStyle w:val="ListNumber"/>
        <w:spacing w:before="0" w:after="80"/>
        <w:jc w:val="left"/>
        <w:numPr>
          <w:ilvl w:val="0"/>
          <w:numId w:val="24"/>
        </w:numPr>
      </w:pPr>
      <w:r>
        <w:rPr>
          <w:b w:val="0"/>
          <w:i w:val="0"/>
        </w:rPr>
        <w:t>rate card transformation: Rate card konsultansi transformation 90 juta per bulan.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Area Pengalaman</w:t>
            </w:r>
          </w:p>
        </w:tc>
        <w:tc>
          <w:tcPr>
            <w:tcW w:type="dxa" w:w="3120"/>
          </w:tcPr>
          <w:p>
            <w:r>
              <w:rPr>
                <w:b/>
              </w:rPr>
              <w:t>Bukti / Sumber</w:t>
            </w:r>
          </w:p>
        </w:tc>
        <w:tc>
          <w:tcPr>
            <w:tcW w:type="dxa" w:w="3120"/>
          </w:tcPr>
          <w:p>
            <w:r>
              <w:rPr>
                <w:b/>
              </w:rPr>
              <w:t>Relevansi untuk Klien</w:t>
            </w:r>
          </w:p>
        </w:tc>
      </w:tr>
      <w:tr>
        <w:tc>
          <w:tcPr>
            <w:tcW w:type="dxa" w:w="3120"/>
          </w:tcPr>
          <w:p>
            <w:r>
              <w:t>Dokumen referensi</w:t>
            </w:r>
          </w:p>
        </w:tc>
        <w:tc>
          <w:tcPr>
            <w:tcW w:type="dxa" w:w="3120"/>
          </w:tcPr>
          <w:p>
            <w:r>
              <w:t>Dokumen internal perusahaan penyusun</w:t>
            </w:r>
          </w:p>
        </w:tc>
        <w:tc>
          <w:tcPr>
            <w:tcW w:type="dxa" w:w="3120"/>
          </w:tcPr>
          <w:p>
            <w:r>
              <w:t>Menghubungkan pengalaman dengan konteks inisiatif saat ini</w:t>
            </w:r>
          </w:p>
        </w:tc>
      </w:tr>
    </w:tbl>
    <w:p>
      <w:pPr>
        <w:pStyle w:val="Heading2"/>
      </w:pPr>
      <w:r>
        <w:t>10.2 Kesesuaian Kapabilitas dengan Inisiatif Klien</w:t>
      </w:r>
    </w:p>
    <w:p>
      <w:pPr>
        <w:jc w:val="both"/>
      </w:pPr>
      <w:r>
        <w:rPr>
          <w:b w:val="0"/>
          <w:i w:val="0"/>
        </w:rPr>
        <w:t>Dari sisi kapabilitas, Inixindo Jogja memosisikan diri pada irisan antara peran konsultatif, tata kelola, dan orkestrasi pelaksanaan yang memang dibutuhkan oleh Bank Mandiri. Artinya, kekuatan yang ditekankan bukan hanya kemampuan menyusun narasi proposal, tetapi kemampuan menghubungkan konteks bisnis, prioritas sponsor, kontrol risiko, dan rencana eksekusi dalam satu jalur kerja yang konsisten.</w:t>
        <w:br/>
        <w:t>- Konteks Bank Mandiri tetap menjadi acuan utama agar isi bab tidak bergeser menjadi generik.</w:t>
        <w:br/>
        <w:t>- Setiap butir pada bab ini harus bisa ditelusuri ke KPI, risiko, atau keputusan kerja yang nyata. Bab profil perusahaan harus membantu Bank Mandiri memahami mengapa Inixindo Jogja relevan untuk dipercaya pada ruang lingkup ini. Fokusnya bukan promosi yang terlalu lebar, tetapi bukti pengalaman, kedekatan domain, dan pola kerja yang paling dekat dengan inisiatif penguatan pelaksanaan tata kelola dan peta jalan transformasi digital.</w:t>
      </w:r>
    </w:p>
    <w:p>
      <w:r>
        <w:br w:type="page"/>
      </w:r>
    </w:p>
    <w:p>
      <w:pPr>
        <w:pStyle w:val="Heading1"/>
        <w:jc w:val="center"/>
      </w:pPr>
      <w:r>
        <w:rPr>
          <w:color w:val="777973"/>
        </w:rPr>
        <w:t>BAB XI – STRUKTUR &amp; TEAM PROYEK</w:t>
      </w:r>
    </w:p>
    <w:p>
      <w:pPr>
        <w:jc w:val="both"/>
      </w:pPr>
      <w:r>
        <w:rPr>
          <w:b w:val="0"/>
          <w:i w:val="0"/>
        </w:rPr>
        <w:t>Struktur tim proyek untuk Bank Mandiri dibentuk agar pengambilan keputusan, pengawasan mutu, dan eksekusi lapangan bergerak seirama. Komposisi tim tidak diperlakukan sebagai daftar jabatan semata, tetapi sebagai mekanisme untuk menjaga kualitas output terhadap target Pertumbuhan transaksi digital nasabah dalam 6 bulan.</w:t>
      </w:r>
    </w:p>
    <w:p>
      <w:pPr>
        <w:pStyle w:val="Heading2"/>
      </w:pPr>
      <w:r>
        <w:t>11.1 Struktur Tim Proyek</w:t>
      </w:r>
    </w:p>
    <w:p>
      <w:pPr>
        <w:pStyle w:val="ListNumber"/>
        <w:spacing w:before="0" w:after="80"/>
        <w:jc w:val="left"/>
        <w:numPr>
          <w:ilvl w:val="0"/>
          <w:numId w:val="25"/>
        </w:numPr>
      </w:pPr>
      <w:r>
        <w:rPr>
          <w:b/>
          <w:i w:val="0"/>
        </w:rPr>
        <w:t>Pimpinan Kemitraan</w:t>
      </w:r>
      <w:r>
        <w:rPr>
          <w:b w:val="0"/>
          <w:i w:val="0"/>
        </w:rPr>
        <w:t xml:space="preserve"> memastikan arah kemitraan, kualitas narasi eksekutif, dan penyelesaian isu kritis.</w:t>
      </w:r>
    </w:p>
    <w:p>
      <w:pPr>
        <w:pStyle w:val="ListNumber"/>
        <w:spacing w:before="0" w:after="80"/>
        <w:jc w:val="left"/>
        <w:numPr>
          <w:ilvl w:val="0"/>
          <w:numId w:val="25"/>
        </w:numPr>
      </w:pPr>
      <w:r>
        <w:rPr>
          <w:b/>
          <w:i w:val="0"/>
        </w:rPr>
        <w:t>Manajer Proyek / Program</w:t>
      </w:r>
      <w:r>
        <w:rPr>
          <w:b w:val="0"/>
          <w:i w:val="0"/>
        </w:rPr>
        <w:t xml:space="preserve"> mengendalikan ritme pelaksanaan, tonggak capaian, ketergantungan, dan komunikasi lintas pihak.</w:t>
      </w:r>
    </w:p>
    <w:p>
      <w:pPr>
        <w:pStyle w:val="ListNumber"/>
        <w:spacing w:before="0" w:after="80"/>
        <w:jc w:val="left"/>
        <w:numPr>
          <w:ilvl w:val="0"/>
          <w:numId w:val="25"/>
        </w:numPr>
      </w:pPr>
      <w:r>
        <w:rPr>
          <w:b/>
          <w:i w:val="0"/>
        </w:rPr>
        <w:t>Tim Inti Alur Kerja</w:t>
      </w:r>
      <w:r>
        <w:rPr>
          <w:b w:val="0"/>
          <w:i w:val="0"/>
        </w:rPr>
        <w:t xml:space="preserve"> memanfaatkan komposisi 1x Program Manager, 2x Change Experts, 3x Tech Leads agar area prioritas dapat dieksekusi dengan cakupan yang memadai.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Area Kapabilitas</w:t>
            </w:r>
          </w:p>
        </w:tc>
        <w:tc>
          <w:tcPr>
            <w:tcW w:type="dxa" w:w="3120"/>
          </w:tcPr>
          <w:p>
            <w:r>
              <w:rPr>
                <w:b/>
              </w:rPr>
              <w:t>Peran Utama</w:t>
            </w:r>
          </w:p>
        </w:tc>
        <w:tc>
          <w:tcPr>
            <w:tcW w:type="dxa" w:w="3120"/>
          </w:tcPr>
          <w:p>
            <w:r>
              <w:rPr>
                <w:b/>
              </w:rPr>
              <w:t>Fokus Kontribusi</w:t>
            </w:r>
          </w:p>
        </w:tc>
      </w:tr>
      <w:tr>
        <w:tc>
          <w:tcPr>
            <w:tcW w:type="dxa" w:w="3120"/>
          </w:tcPr>
          <w:p>
            <w:r>
              <w:t>Kepemimpinan dan tata kelola</w:t>
            </w:r>
          </w:p>
        </w:tc>
        <w:tc>
          <w:tcPr>
            <w:tcW w:type="dxa" w:w="3120"/>
          </w:tcPr>
          <w:p>
            <w:r>
              <w:t>Pimpinan Kemitraan / Manajer Proyek</w:t>
            </w:r>
          </w:p>
        </w:tc>
        <w:tc>
          <w:tcPr>
            <w:tcW w:type="dxa" w:w="3120"/>
          </w:tcPr>
          <w:p>
            <w:r>
              <w:t>Menjaga keputusan, kualitas, dan ritme pelaksanaan</w:t>
            </w:r>
          </w:p>
        </w:tc>
      </w:tr>
      <w:tr>
        <w:tc>
          <w:tcPr>
            <w:tcW w:type="dxa" w:w="3120"/>
          </w:tcPr>
          <w:p>
            <w:r>
              <w:t>Domain dan penerjemahan bisnis</w:t>
            </w:r>
          </w:p>
        </w:tc>
        <w:tc>
          <w:tcPr>
            <w:tcW w:type="dxa" w:w="3120"/>
          </w:tcPr>
          <w:p>
            <w:r>
              <w:t>Pimpinan Domain / Penerjemah Bisnis</w:t>
            </w:r>
          </w:p>
        </w:tc>
        <w:tc>
          <w:tcPr>
            <w:tcW w:type="dxa" w:w="3120"/>
          </w:tcPr>
          <w:p>
            <w:r>
              <w:t>Menjembatani sponsor, kebutuhan operasional, dan output proyek</w:t>
            </w:r>
          </w:p>
        </w:tc>
      </w:tr>
      <w:tr>
        <w:tc>
          <w:tcPr>
            <w:tcW w:type="dxa" w:w="3120"/>
          </w:tcPr>
          <w:p>
            <w:r>
              <w:t>Pelaksanaan pekerjaan</w:t>
            </w:r>
          </w:p>
        </w:tc>
        <w:tc>
          <w:tcPr>
            <w:tcW w:type="dxa" w:w="3120"/>
          </w:tcPr>
          <w:p>
            <w:r>
              <w:t>Tim Inti Alur Kerja</w:t>
            </w:r>
          </w:p>
        </w:tc>
        <w:tc>
          <w:tcPr>
            <w:tcW w:type="dxa" w:w="3120"/>
          </w:tcPr>
          <w:p>
            <w:r>
              <w:t>Menurunkan ruang lingkup menjadi dokumen, lokakarya, asesmen, pendampingan, atau dukungan implementasi</w:t>
            </w:r>
          </w:p>
        </w:tc>
      </w:tr>
    </w:tbl>
    <w:p>
      <w:pPr>
        <w:pStyle w:val="Heading2"/>
      </w:pPr>
      <w:r>
        <w:t>11.2 Kapabilitas, Pengalaman, dan Sertifikasi</w:t>
      </w:r>
    </w:p>
    <w:p>
      <w:pPr>
        <w:jc w:val="both"/>
      </w:pPr>
      <w:r>
        <w:rPr>
          <w:b w:val="0"/>
          <w:i w:val="0"/>
        </w:rPr>
        <w:t>Dari sisi kapabilitas, tim pelaksanaan disiapkan untuk menggabungkan pemahaman domain, disiplin arsitektur/operasi, dan pengalaman eksekusi proyek yang serupa. Rujukan kapabilitas internal saat ini mencakup Kapabilitas layanan menyesuaikan kebutuhan proyek klien, dengan titik bukti utama pada Kapabilitas layanan menyesuaikan kebutuhan proyek klien, 1.</w:t>
        <w:br/>
        <w:t>- Konteks Bank Mandiri tetap menjadi acuan utama agar isi bab tidak bergeser menjadi generik.</w:t>
        <w:br/>
        <w:t>- Setiap butir pada bab ini harus bisa ditelusuri ke KPI, risiko, atau keputusan kerja yang nyata.</w:t>
        <w:br/>
        <w:t>- Istilah kerja yang tetap dijaga pada bab ini mencakup nasabah, core banking, risk appetite. Untuk Bank Mandiri, isi bab ini harus dibaca sebagai dasar keputusan kerja yang dapat ditindaklanjuti, bukan sekadar penjelasan konseptual. Karena itu, isi bab tetap diarahkan untuk menjaga relevansi terhadap KPI seperti Pertumbuhan transaksi digital nasabah dalam 6 bulan. | Kepatuhan &amp; risiko operasional (audit findings) membaik dalam 6 bulan. dan istilah kerja nasabah, core banking.</w:t>
      </w:r>
    </w:p>
    <w:p>
      <w:r>
        <w:br w:type="page"/>
      </w:r>
    </w:p>
    <w:p>
      <w:pPr>
        <w:pStyle w:val="Heading1"/>
        <w:jc w:val="center"/>
      </w:pPr>
      <w:r>
        <w:rPr>
          <w:color w:val="777973"/>
        </w:rPr>
        <w:t>BAB XII – MODEL PEMBIAYAAN</w:t>
      </w:r>
    </w:p>
    <w:p>
      <w:pPr>
        <w:jc w:val="both"/>
      </w:pPr>
      <w:r>
        <w:rPr>
          <w:b w:val="0"/>
          <w:i w:val="0"/>
        </w:rPr>
        <w:t>Model pembiayaan untuk Bank Mandiri disusun agar komitmen biaya, mekanisme pembayaran, dan batas ruang lingkup tetap jelas sejak awal. Tujuannya adalah menjaga proyek penguatan pelaksanaan tata kelola dan peta jalan transformasi digital tetap dapat dieksekusi tanpa ambiguitas komersial, sambil memberi ruang kontrol terhadap perubahan yang benar-benar material dan memastikan investasi tetap tertaut pada manfaat yang dijanjikan: Inixindo Jogja menempatkan engagement Bank Mandiri sebagai upaya untuk mengubah kebutuhan klien menjadi program perubahan yang lebih terkendali, dengan memanfaatkan kapabilitas kesiapan asesmen, penerapan bertahap orchestration, pengelolaan perubahan, dan....</w:t>
        <w:br/>
        <w:t xml:space="preserve">Estimasi investasi awal untuk penugasan ini adalah </w:t>
      </w:r>
      <w:r>
        <w:rPr>
          <w:b/>
          <w:i w:val="0"/>
        </w:rPr>
        <w:t>Rp 650.000.000</w:t>
      </w:r>
      <w:r>
        <w:rPr>
          <w:b w:val="0"/>
          <w:i w:val="0"/>
        </w:rPr>
        <w:t xml:space="preserve">, dengan tipe layanan </w:t>
      </w:r>
      <w:r>
        <w:rPr>
          <w:b/>
          <w:i w:val="0"/>
        </w:rPr>
        <w:t>Konsultan</w:t>
      </w:r>
      <w:r>
        <w:rPr>
          <w:b w:val="0"/>
          <w:i w:val="0"/>
        </w:rPr>
        <w:t xml:space="preserve"> pada model proyek </w:t>
      </w:r>
      <w:r>
        <w:rPr>
          <w:b/>
          <w:i w:val="0"/>
        </w:rPr>
        <w:t>Transformation</w:t>
      </w:r>
      <w:r>
        <w:rPr>
          <w:b w:val="0"/>
          <w:i w:val="0"/>
        </w:rPr>
        <w:t xml:space="preserve"> selama </w:t>
      </w:r>
      <w:r>
        <w:rPr>
          <w:b/>
          <w:i w:val="0"/>
        </w:rPr>
        <w:t>6 bulan</w:t>
      </w:r>
      <w:r>
        <w:rPr>
          <w:b w:val="0"/>
          <w:i w:val="0"/>
        </w:rPr>
        <w:t>. Struktur komersial penugasan mengacu pada berdasarkan waktu dan material (T&amp;M) over 12-18 months.</w:t>
      </w:r>
    </w:p>
    <w:p>
      <w:pPr>
        <w:jc w:val="both"/>
      </w:pPr>
      <w:r>
        <w:rPr>
          <w:b w:val="0"/>
          <w:i w:val="0"/>
        </w:rPr>
        <w:t>| --- | --- |</w:t>
        <w:br/>
        <w:t>| Estimasi investasi | Rp 650.000.000 |</w:t>
        <w:br/>
        <w:t>| Model penugasan | Konsultan - Transformation |</w:t>
        <w:br/>
        <w:t>| Durasi acuan | 6 bulan |</w:t>
        <w:br/>
        <w:t>| Basis komersial | berdasarkan waktu dan material (T&amp;M) over 12-18 months |</w:t>
        <w:br/>
        <w:t xml:space="preserve">| Mekanisme penelaahan | Penelaahan tonggak capaian, persetujuan keluaran, dan persetujuan perubahan ruang lingkup | 1. </w:t>
      </w:r>
      <w:r>
        <w:rPr>
          <w:b/>
          <w:i w:val="0"/>
        </w:rPr>
        <w:t>Mobilisasi dan kesiapan</w:t>
      </w:r>
      <w:r>
        <w:rPr>
          <w:b w:val="0"/>
          <w:i w:val="0"/>
        </w:rPr>
        <w:t xml:space="preserve"> sebesar 20% dari estimasi investasi, ditagihkan setelah tonggak capaian terkait diterima.</w:t>
        <w:br/>
        <w:t xml:space="preserve">2. </w:t>
      </w:r>
      <w:r>
        <w:rPr>
          <w:b/>
          <w:i w:val="0"/>
        </w:rPr>
        <w:t>Cetak biru dan penyiapan tata kelola</w:t>
      </w:r>
      <w:r>
        <w:rPr>
          <w:b w:val="0"/>
          <w:i w:val="0"/>
        </w:rPr>
        <w:t xml:space="preserve"> sebesar 30% dari estimasi investasi, ditagihkan setelah tonggak capaian terkait diterima.</w:t>
        <w:br/>
        <w:t xml:space="preserve">3. </w:t>
      </w:r>
      <w:r>
        <w:rPr>
          <w:b/>
          <w:i w:val="0"/>
        </w:rPr>
        <w:t>Tonggak capaian penerapan</w:t>
      </w:r>
      <w:r>
        <w:rPr>
          <w:b w:val="0"/>
          <w:i w:val="0"/>
        </w:rPr>
        <w:t xml:space="preserve"> sebesar 30% dari estimasi investasi, ditagihkan setelah tonggak capaian terkait diterima.</w:t>
        <w:br/>
        <w:t xml:space="preserve">4. </w:t>
      </w:r>
      <w:r>
        <w:rPr>
          <w:b/>
          <w:i w:val="0"/>
        </w:rPr>
        <w:t>Pendampingan intensif dan penutupan</w:t>
      </w:r>
      <w:r>
        <w:rPr>
          <w:b w:val="0"/>
          <w:i w:val="0"/>
        </w:rPr>
        <w:t xml:space="preserve"> sebesar 20% dari estimasi investasi, ditagihkan setelah tonggak capaian terkait diterima.</w:t>
      </w:r>
    </w:p>
    <w:p>
      <w:pPr>
        <w:pStyle w:val="Heading2"/>
      </w:pPr>
      <w:r>
        <w:t>12.2 Model Pekerjaan dan Batasan Pekerjaan</w:t>
      </w:r>
    </w:p>
    <w:p>
      <w:pPr>
        <w:jc w:val="both"/>
      </w:pPr>
      <w:r>
        <w:rPr>
          <w:b w:val="0"/>
          <w:i w:val="0"/>
        </w:rPr>
        <w:t>Model kerja dirancang agar ruang lingkup pelaksanaan tetap fokus pada kebutuhan problem, opportunity dan KPI seperti Pertumbuhan transaksi digital nasabah dalam 6 bulan. | Kepatuhan &amp; risiko operasional (audit findings) membaik dalam 6 bulan.</w:t>
        <w:br/>
        <w:t>Untuk Bank Mandiri, disiplin komersial seperti ini penting agar keputusan investasi tetap berada dalam koridor manfaat bisnis, risk appetite, dan kepatuhan POJK yang dapat dipertanggungjawabkan. Model pembiayaan yang baik harus mampu menjaga fleksibilitas eksekusi tanpa membuat biaya berkembang secara tidak terkendali.</w:t>
        <w:br/>
        <w:t>Bagian 12.1 biaya dan tahapan pembayaran perlu dijelaskan secara lebih konkret agar pembaca dapat melihat kaitannya dengan keputusan, risiko, keluaran, dan hasil yang ingin dicapai.</w:t>
      </w:r>
    </w:p>
    <w:p>
      <w:pPr>
        <w:pStyle w:val="Heading2"/>
      </w:pPr>
      <w:r>
        <w:t>12.1 Biaya dan Tahapan Pembayaran</w:t>
      </w:r>
    </w:p>
    <w:p>
      <w:pPr>
        <w:jc w:val="both"/>
      </w:pPr>
      <w:r>
        <w:rPr>
          <w:b w:val="0"/>
          <w:i w:val="0"/>
        </w:rPr>
        <w:t>Bagian 12.1 biaya dan tahapan pembayaran perlu dijelaskan secara lebih konkret agar pembaca dapat melihat kaitannya dengan keputusan, risiko, keluaran, dan hasil yang ingin dicapai.</w:t>
        <w:br/>
        <w:t>- Konteks Bank Mandiri tetap menjadi acuan utama agar isi bab tidak bergeser menjadi generik.</w:t>
        <w:br/>
        <w:t>- Setiap butir pada bab ini harus bisa ditelusuri ke KPI, risiko, atau keputusan kerja yang nyata.</w:t>
      </w:r>
    </w:p>
    <w:p>
      <w:r>
        <w:br w:type="page"/>
      </w:r>
    </w:p>
    <w:p>
      <w:pPr>
        <w:pStyle w:val="Heading1"/>
        <w:jc w:val="center"/>
      </w:pPr>
      <w:r>
        <w:rPr>
          <w:color w:val="777973"/>
        </w:rPr>
        <w:t>PENUTUP &amp; APRESIASI KEMITRAAN</w:t>
      </w:r>
    </w:p>
    <w:p>
      <w:pPr>
        <w:jc w:val="both"/>
      </w:pPr>
      <w:r>
        <w:rPr>
          <w:b w:val="0"/>
          <w:i w:val="0"/>
        </w:rPr>
        <w:t>Terima kasih atas kesempatan yang diberikan kepada Inixindo Jogja untuk menyusun proposal bagi Bank Mandiri. Kami memandang inisiatif penguatan pelaksanaan tata kelola dan peta jalan transformasi digital bukan hanya sebagai pekerjaan pelaksanaan, tetapi sebagai fondasi kemitraan profesional yang harus terasa rapi, hangat, dan dapat dipertanggungjawabkan.</w:t>
      </w:r>
    </w:p>
    <w:p>
      <w:pPr>
        <w:pStyle w:val="Heading2"/>
      </w:pPr>
      <w:r>
        <w:t>Apresiasi dan Komitmen Kemitraan</w:t>
      </w:r>
    </w:p>
    <w:p>
      <w:pPr>
        <w:pStyle w:val="ListNumber"/>
        <w:spacing w:before="0" w:after="80"/>
        <w:jc w:val="left"/>
        <w:numPr>
          <w:ilvl w:val="0"/>
          <w:numId w:val="26"/>
        </w:numPr>
      </w:pPr>
      <w:r>
        <w:rPr>
          <w:b w:val="0"/>
          <w:i w:val="0"/>
        </w:rPr>
        <w:t>Kami mengapresiasi keterbukaan Bank Mandiri dalam mengangkat konteks, tantangan, dan target bisnis yang menjadi dasar proposal ini.</w:t>
      </w:r>
    </w:p>
    <w:p>
      <w:pPr>
        <w:pStyle w:val="ListNumber"/>
        <w:spacing w:before="0" w:after="80"/>
        <w:jc w:val="left"/>
        <w:numPr>
          <w:ilvl w:val="0"/>
          <w:numId w:val="26"/>
        </w:numPr>
      </w:pPr>
      <w:r>
        <w:rPr>
          <w:b w:val="0"/>
          <w:i w:val="0"/>
        </w:rPr>
        <w:t>Kami berkomitmen menjaga kualitas kolaborasi melalui cara kerja yang jelas, komunikasi yang responsif, dan keluaran yang dapat ditindaklanjuti, sejalan dengan posisi Inixindo Jogja sebagai Inixindo Jogja adalah mitra pembelajaran dan konsultasi yang membantu klien bergerak dari kebutuhan bisnis ke rencana eksekusi yang jelas, kredibel, dan dapat dijalankan.</w:t>
      </w:r>
    </w:p>
    <w:p>
      <w:pPr>
        <w:pStyle w:val="ListNumber"/>
        <w:spacing w:before="0" w:after="80"/>
        <w:jc w:val="left"/>
        <w:numPr>
          <w:ilvl w:val="0"/>
          <w:numId w:val="26"/>
        </w:numPr>
      </w:pPr>
      <w:r>
        <w:rPr>
          <w:b w:val="0"/>
          <w:i w:val="0"/>
        </w:rPr>
        <w:t>Fokus awal kemitraan diarahkan pada prioritas seperti Pertumbuhan transaksi digital nasabah dalam 6 bulan. | Kepatuhan &amp; risiko operasional (audit findings) membaik dalam 6 bulan. | Ketersediaan layanan digital meningkat dan insiden prioritas menurun dalam 6 bulan., dengan tata kelola dan ritme eksekusi yang stabil sejak inisiasi.</w:t>
      </w:r>
    </w:p>
    <w:p>
      <w:pPr>
        <w:pStyle w:val="Heading2"/>
      </w:pPr>
      <w:r>
        <w:t>Informasi Kontak dan Langkah Lanjutan</w:t>
      </w:r>
    </w:p>
    <w:p>
      <w:pPr>
        <w:jc w:val="both"/>
      </w:pPr>
      <w:r>
        <w:rPr>
          <w:b w:val="0"/>
          <w:i w:val="0"/>
        </w:rPr>
        <w:t>Untuk melanjutkan pembahasan, Inixindo Jogja siap menindaklanjuti review proposal, penajaman ruang lingkup, dan penyesuaian komersial yang diperlukan.</w:t>
        <w:br/>
        <w:t>- Konteks Bank Mandiri tetap menjadi acuan utama agar isi bab tidak bergeser menjadi generik.</w:t>
        <w:br/>
        <w:t>- Setiap butir pada bab ini harus bisa ditelusuri ke KPI, risiko, atau keputusan kerja yang nyata.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18"/>
      </w:rPr>
      <w:t xml:space="preserve">Dokumen Proposal Internal | Inixindo Jogja | Halaman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8"/>
  </w:num>
  <w:num w:numId="13">
    <w:abstractNumId w:val="8"/>
  </w:num>
  <w:num w:numId="14">
    <w:abstractNumId w:val="8"/>
  </w:num>
  <w:num w:numId="15">
    <w:abstractNumId w:val="8"/>
  </w:num>
  <w:num w:numId="16">
    <w:abstractNumId w:val="7"/>
  </w:num>
  <w:num w:numId="17">
    <w:abstractNumId w:val="7"/>
  </w:num>
  <w:num w:numId="18">
    <w:abstractNumId w:val="7"/>
  </w:num>
  <w:num w:numId="19">
    <w:abstractNumId w:val="7"/>
  </w:num>
  <w:num w:numId="20">
    <w:abstractNumId w:val="8"/>
  </w:num>
  <w:num w:numId="21">
    <w:abstractNumId w:val="7"/>
  </w:num>
  <w:num w:numId="22">
    <w:abstractNumId w:val="7"/>
  </w:num>
  <w:num w:numId="23">
    <w:abstractNumId w:val="7"/>
  </w:num>
  <w:num w:numId="24">
    <w:abstractNumId w:val="7"/>
  </w:num>
  <w:num w:numId="25">
    <w:abstractNumId w:val="7"/>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both"/>
    </w:pPr>
    <w:rPr>
      <w:rFonts w:ascii="Calibri" w:hAnsi="Calibri"/>
      <w:b w:val="0"/>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777973"/>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6363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b w:val="0"/>
      <w:color w:val="212529"/>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b w:val="0"/>
      <w:color w:val="212529"/>
      <w:sz w:val="22"/>
    </w:rPr>
  </w:style>
  <w:style w:type="paragraph" w:styleId="ListBullet3">
    <w:name w:val="List Bullet 3"/>
    <w:basedOn w:val="Normal"/>
    <w:uiPriority w:val="99"/>
    <w:unhideWhenUsed/>
    <w:rsid w:val="00326F90"/>
    <w:pPr>
      <w:numPr>
        <w:numId w:val="3"/>
      </w:numPr>
      <w:spacing w:after="80"/>
      <w:contextualSpacing/>
    </w:pPr>
    <w:rPr>
      <w:rFonts w:ascii="Calibri" w:hAnsi="Calibri"/>
      <w:b w:val="0"/>
      <w:color w:val="212529"/>
      <w:sz w:val="22"/>
    </w:rPr>
  </w:style>
  <w:style w:type="paragraph" w:styleId="ListNumber">
    <w:name w:val="List Number"/>
    <w:basedOn w:val="Normal"/>
    <w:uiPriority w:val="99"/>
    <w:unhideWhenUsed/>
    <w:rsid w:val="00326F90"/>
    <w:pPr>
      <w:numPr>
        <w:numId w:val="5"/>
      </w:numPr>
      <w:spacing w:after="80"/>
      <w:contextualSpacing/>
    </w:pPr>
    <w:rPr>
      <w:rFonts w:ascii="Calibri" w:hAnsi="Calibri"/>
      <w:b w:val="0"/>
      <w:color w:val="212529"/>
      <w:sz w:val="22"/>
    </w:rPr>
  </w:style>
  <w:style w:type="paragraph" w:styleId="ListNumber2">
    <w:name w:val="List Number 2"/>
    <w:basedOn w:val="Normal"/>
    <w:uiPriority w:val="99"/>
    <w:unhideWhenUsed/>
    <w:rsid w:val="0029639D"/>
    <w:pPr>
      <w:numPr>
        <w:numId w:val="6"/>
      </w:numPr>
      <w:spacing w:after="80"/>
      <w:contextualSpacing/>
    </w:pPr>
    <w:rPr>
      <w:rFonts w:ascii="Calibri" w:hAnsi="Calibri"/>
      <w:b w:val="0"/>
      <w:color w:val="212529"/>
      <w:sz w:val="22"/>
    </w:rPr>
  </w:style>
  <w:style w:type="paragraph" w:styleId="ListNumber3">
    <w:name w:val="List Number 3"/>
    <w:basedOn w:val="Normal"/>
    <w:uiPriority w:val="99"/>
    <w:unhideWhenUsed/>
    <w:rsid w:val="0029639D"/>
    <w:pPr>
      <w:numPr>
        <w:numId w:val="7"/>
      </w:numPr>
      <w:spacing w:after="80"/>
      <w:contextualSpacing/>
    </w:pPr>
    <w:rPr>
      <w:rFonts w:ascii="Calibri" w:hAnsi="Calibri"/>
      <w:b w:val="0"/>
      <w:color w:val="212529"/>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