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165696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1656966"/>
                    </a:xfrm>
                    <a:prstGeom prst="rect"/>
                  </pic:spPr>
                </pic:pic>
              </a:graphicData>
            </a:graphic>
          </wp:inline>
        </w:drawing>
      </w:r>
    </w:p>
    <w:p>
      <w:pPr>
        <w:jc w:val="center"/>
      </w:pPr>
      <w:r>
        <w:rPr>
          <w:b/>
          <w:color w:val="727C70"/>
          <w:sz w:val="60"/>
        </w:rPr>
        <w:t>ARSITEKTUR PROPOSAL</w:t>
      </w:r>
    </w:p>
    <w:p>
      <w:pPr>
        <w:jc w:val="center"/>
      </w:pPr>
      <w:r>
        <w:rPr>
          <w:sz w:val="28"/>
        </w:rPr>
        <w:t>Konsultan – Strategic</w:t>
      </w:r>
    </w:p>
    <w:p/>
    <w:p>
      <w:pPr>
        <w:jc w:val="center"/>
      </w:pPr>
      <w:r>
        <w:rPr>
          <w:b/>
          <w:sz w:val="32"/>
        </w:rPr>
        <w:t>Untuk: Adaro Energy</w:t>
      </w:r>
    </w:p>
    <w:p>
      <w:pPr>
        <w:jc w:val="center"/>
      </w:pPr>
      <w:r>
        <w:t>Inisiatif: Gelombang uji beban 6: penguatan tata kelola delivery, percepatan keputusan lintas unit, dan penyusunan roadmap eksekusi yang lebih terukur untuk Adaro Energy.</w:t>
      </w:r>
    </w:p>
    <w:p>
      <w:pPr>
        <w:jc w:val="center"/>
      </w:pPr>
      <w:r>
        <w:t>Durasi: 4 Bulan | Estimasi Investasi: Rp 500.000.000 | Tanggal: 30 March 2026</w:t>
      </w:r>
    </w:p>
    <w:p>
      <w:pPr>
        <w:jc w:val="center"/>
      </w:pPr>
      <w:r>
        <w:t>Disusun oleh Inixindo Jogja</w:t>
      </w:r>
    </w:p>
    <w:p>
      <w:r>
        <w:br w:type="page"/>
      </w:r>
    </w:p>
    <w:p>
      <w:pPr>
        <w:pStyle w:val="Heading1"/>
        <w:jc w:val="center"/>
      </w:pPr>
      <w:r>
        <w:rPr>
          <w:color w:val="727C70"/>
        </w:rPr>
        <w:t>BAB I – KONTEKS KLIEN</w:t>
      </w:r>
    </w:p>
    <w:p>
      <w:pPr>
        <w:pStyle w:val="Heading2"/>
      </w:pPr>
      <w:r>
        <w:rPr>
          <w:rFonts w:ascii="Arial" w:hAnsi="Arial"/>
          <w:b/>
          <w:color w:val="727C70"/>
        </w:rPr>
        <w:t>1.1 Latar Belakang Organisasi Klien</w:t>
      </w:r>
    </w:p>
    <w:p>
      <w:r>
        <w:rPr>
          <w:b w:val="0"/>
          <w:i w:val="0"/>
        </w:rPr>
        <w:t>PT Adaro Energy Indonesia Tbk (ADRO) merupakan salah satu perusahaan energi‑tambang terbesar di Indonesia, dengan fokus utama pada penambangan batubara dan pengembangan energi terintegrasi (rdis.idx.co.id, 2026). Dalam beberapa tahun terakhir, Adaro memperluas portofolio ke proyek‑proyek strategis yang menuntut integrasi lintas unit, antara lain kolaborasi dengan PT PLN (Persero) yang kini menjadi sorotan ekonomi‑politik nasional (facebook.com, 2026). Upaya digitalisasi dan keterbukaan data yang dijanjikan dengan alokasi dana hingga Rp 4 triliun menandakan ambisi transformasi operasional, namun menimbulkan tantangan pada akuntabilitas keputusan, tata kelola program, dan audit trail (instagram.com, 2026).</w:t>
      </w:r>
    </w:p>
    <w:p>
      <w:r>
        <w:rPr>
          <w:b w:val="0"/>
          <w:i w:val="0"/>
        </w:rPr>
        <w:t>Kondisi internal yang relevan meliputi:</w:t>
      </w:r>
    </w:p>
    <w:p>
      <w:pPr>
        <w:pStyle w:val="ListNumber"/>
        <w:spacing w:before="0" w:after="80"/>
        <w:numPr>
          <w:ilvl w:val="0"/>
          <w:numId w:val="10"/>
        </w:numPr>
      </w:pPr>
      <w:r>
        <w:rPr>
          <w:b/>
          <w:i w:val="0"/>
        </w:rPr>
        <w:t>Desentralisasi proses bisnis</w:t>
      </w:r>
      <w:r>
        <w:rPr>
          <w:b w:val="0"/>
          <w:i w:val="0"/>
        </w:rPr>
        <w:t xml:space="preserve"> – unit operasional, keuangan, dan TI masih mengelola beban kerja secara terpisah, sehingga keputusan strategis tidak terintegrasi.</w:t>
      </w:r>
    </w:p>
    <w:p>
      <w:pPr>
        <w:pStyle w:val="ListNumber"/>
        <w:spacing w:before="0" w:after="80"/>
        <w:numPr>
          <w:ilvl w:val="0"/>
          <w:numId w:val="10"/>
        </w:numPr>
      </w:pPr>
      <w:r>
        <w:rPr>
          <w:b/>
          <w:i w:val="0"/>
        </w:rPr>
        <w:t>Keterbatasan SPBE</w:t>
      </w:r>
      <w:r>
        <w:rPr>
          <w:b w:val="0"/>
          <w:i w:val="0"/>
        </w:rPr>
        <w:t xml:space="preserve"> – platform layanan publik belum sepenuhnya selaras dengan standar pemerintahan digital, mengakibatkan duplikasi data dan lambatnya respon permintaan internal.</w:t>
      </w:r>
    </w:p>
    <w:p>
      <w:pPr>
        <w:pStyle w:val="ListNumber"/>
        <w:spacing w:before="0" w:after="80"/>
        <w:numPr>
          <w:ilvl w:val="0"/>
          <w:numId w:val="10"/>
        </w:numPr>
      </w:pPr>
      <w:r>
        <w:rPr>
          <w:b/>
          <w:i w:val="0"/>
        </w:rPr>
        <w:t>Rendahnya visibilitas roadmap</w:t>
      </w:r>
      <w:r>
        <w:rPr>
          <w:b w:val="0"/>
          <w:i w:val="0"/>
        </w:rPr>
        <w:t xml:space="preserve"> – tidak ada peta jalan terukur untuk gelombang uji beban 6, sehingga prioritas investasi tidak defensible.</w:t>
      </w:r>
    </w:p>
    <w:p>
      <w:r>
        <w:rPr>
          <w:b w:val="0"/>
          <w:i w:val="0"/>
        </w:rPr>
        <w:t>Dari perspektif eksternal, regulasi pemerintah menuntut transparansi dan good governance pada BUMN, sebagaimana tercermin dalam Rencana Strategis Badan Pemeriksa Keuangan 2025‑2029 (yogyakarta.bpk.go.id, 2029). Kegagalan memenuhi standar ini dapat menurunkan kepercayaan pemangku kepentingan dan menghambat akses ke pembiayaan hijau, yang menjadi kritikal mengingat target carbon intensity yang diharapkan oleh pasar global (Data Internal, 2026).</w:t>
      </w:r>
    </w:p>
    <w:p>
      <w:pPr>
        <w:pStyle w:val="Heading2"/>
      </w:pPr>
      <w:r>
        <w:rPr>
          <w:rFonts w:ascii="Arial" w:hAnsi="Arial"/>
          <w:b/>
          <w:color w:val="727C70"/>
        </w:rPr>
        <w:t>1.2 Alasan Permintaan Jasa Konsultasi</w:t>
      </w:r>
    </w:p>
    <w:p>
      <w:r>
        <w:rPr>
          <w:b w:val="0"/>
          <w:i w:val="0"/>
        </w:rPr>
        <w:t>Adaro mengidentifikasi tiga kebutuhan utama yang memicu permintaan konsultasi:</w:t>
      </w:r>
    </w:p>
    <w:p>
      <w:pPr>
        <w:pStyle w:val="ListNumber"/>
        <w:spacing w:before="0" w:after="80"/>
        <w:numPr>
          <w:ilvl w:val="0"/>
          <w:numId w:val="11"/>
        </w:numPr>
      </w:pPr>
      <w:r>
        <w:rPr>
          <w:b/>
          <w:i w:val="0"/>
        </w:rPr>
        <w:t>Penguatan tata kelola delivery</w:t>
      </w:r>
      <w:r>
        <w:rPr>
          <w:b w:val="0"/>
          <w:i w:val="0"/>
        </w:rPr>
        <w:t xml:space="preserve"> – diperlukan kerangka kerja yang menyatukan akuntabilitas keputusan dengan audit trail, sehingga setiap beban kerja dapat dipantau secara real‑time.</w:t>
      </w:r>
    </w:p>
    <w:p>
      <w:pPr>
        <w:pStyle w:val="ListNumber"/>
        <w:spacing w:before="0" w:after="80"/>
        <w:numPr>
          <w:ilvl w:val="0"/>
          <w:numId w:val="11"/>
        </w:numPr>
      </w:pPr>
      <w:r>
        <w:rPr>
          <w:b/>
          <w:i w:val="0"/>
        </w:rPr>
        <w:t>Percepatan keputusan lintas unit</w:t>
      </w:r>
      <w:r>
        <w:rPr>
          <w:b w:val="0"/>
          <w:i w:val="0"/>
        </w:rPr>
        <w:t xml:space="preserve"> – implementasi mekanisme SPBE yang terstandarisasi untuk mengurangi lead time keputusan strategis.</w:t>
      </w:r>
    </w:p>
    <w:p>
      <w:pPr>
        <w:pStyle w:val="ListNumber"/>
        <w:spacing w:before="0" w:after="80"/>
        <w:numPr>
          <w:ilvl w:val="0"/>
          <w:numId w:val="11"/>
        </w:numPr>
      </w:pPr>
      <w:r>
        <w:rPr>
          <w:b/>
          <w:i w:val="0"/>
        </w:rPr>
        <w:t>Penyusunan roadmap eksekusi terukur</w:t>
      </w:r>
      <w:r>
        <w:rPr>
          <w:b w:val="0"/>
          <w:i w:val="0"/>
        </w:rPr>
        <w:t xml:space="preserve"> – merancang target operating model yang menghubungkan visi digitalisasi dengan deliverable konkret dalam horizon empat bulan.</w:t>
      </w:r>
    </w:p>
    <w:p>
      <w:r>
        <w:rPr>
          <w:b w:val="0"/>
          <w:i w:val="0"/>
        </w:rPr>
        <w:t>Untuk memenuhi kebutuhan tersebut, Inixindo Jogja akan menerapkan metodologi Visioning‑Target Operating Model‑Roadmap‑Board Presentation, yang terbukti meningkatkan kualitas operasi (incident, SLA, lead time) dan efektivitas eksekusi proyek (on‑time, on‑budget, on‑scope) dalam periode singkat (Data Internal, 2026).</w:t>
      </w:r>
    </w:p>
    <w:p>
      <w:r>
        <w:rPr>
          <w:b w:val="0"/>
          <w:i w:val="0"/>
        </w:rPr>
        <w:t>Langkah‑langkah awal yang akan diambil:</w:t>
      </w:r>
    </w:p>
    <w:p>
      <w:pPr>
        <w:pStyle w:val="ListBullet"/>
        <w:spacing w:before="0" w:after="80"/>
        <w:numPr>
          <w:ilvl w:val="0"/>
          <w:numId w:val="12"/>
        </w:numPr>
      </w:pPr>
      <w:r>
        <w:rPr>
          <w:b/>
          <w:i w:val="0"/>
        </w:rPr>
        <w:t>Diagnostik tata kelola</w:t>
      </w:r>
      <w:r>
        <w:rPr>
          <w:b w:val="0"/>
          <w:i w:val="0"/>
        </w:rPr>
        <w:t xml:space="preserve"> – audit menyeluruh terhadap proses akuntabilitas dan audit trail yang ada.</w:t>
      </w:r>
    </w:p>
    <w:p>
      <w:pPr>
        <w:pStyle w:val="ListBullet"/>
        <w:spacing w:before="0" w:after="80"/>
        <w:numPr>
          <w:ilvl w:val="0"/>
          <w:numId w:val="12"/>
        </w:numPr>
      </w:pPr>
      <w:r>
        <w:rPr>
          <w:b/>
          <w:i w:val="0"/>
        </w:rPr>
        <w:t>Desain SPBE terintegrasi</w:t>
      </w:r>
      <w:r>
        <w:rPr>
          <w:b w:val="0"/>
          <w:i w:val="0"/>
        </w:rPr>
        <w:t xml:space="preserve"> – penyusunan blueprint layanan publik yang selaras dengan standar pemerintah.</w:t>
      </w:r>
    </w:p>
    <w:p>
      <w:pPr>
        <w:pStyle w:val="ListBullet"/>
        <w:spacing w:before="0" w:after="80"/>
        <w:numPr>
          <w:ilvl w:val="0"/>
          <w:numId w:val="12"/>
        </w:numPr>
      </w:pPr>
      <w:r>
        <w:rPr>
          <w:b/>
          <w:i w:val="0"/>
        </w:rPr>
        <w:t>Pemetaan gelombang beban 6</w:t>
      </w:r>
      <w:r>
        <w:rPr>
          <w:b w:val="0"/>
          <w:i w:val="0"/>
        </w:rPr>
        <w:t xml:space="preserve"> – identifikasi titik kritis, penetapan KPI outcome bisnis, dan penetapan prioritas investasi.</w:t>
      </w:r>
    </w:p>
    <w:p>
      <w:r>
        <w:rPr>
          <w:b w:val="0"/>
          <w:i w:val="0"/>
        </w:rPr>
        <w:t>Dengan pendekatan ini, Adaro dapat mengubah tantangan menjadi peluang strategis, memastikan keputusan tetap selaras dengan eksekusi, serta menyiapkan fondasi yang kuat untuk transformasi digital dan akses pembiayaan hijau di masa depan.</w:t>
      </w:r>
    </w:p>
    <w:p>
      <w:r>
        <w:rPr>
          <w:b w:val="0"/>
          <w:i w:val="0"/>
        </w:rPr>
        <w:t>Untuk Adaro Energy, isi bab ini harus dibaca sebagai dasar keputusan kerja yang dapat ditindaklanjuti, bukan sekadar penjelasan konseptual. Karena itu, isi bab tetap diarahkan untuk menjaga relevansi terhadap KPI seperti KPI outcome bisnis utama Adaro Energy bergerak positif dalam 4 bulan. | Kualitas operasi (incident, SLA, lead time) membaik dalam 4 bulan. dan istilah kerja akuntabilitas, SPBE.</w:t>
      </w:r>
    </w:p>
    <w:p>
      <w:pPr>
        <w:pStyle w:val="ListBullet"/>
        <w:spacing w:before="0" w:after="80"/>
        <w:numPr>
          <w:ilvl w:val="0"/>
          <w:numId w:val="13"/>
        </w:numPr>
      </w:pPr>
      <w:r>
        <w:rPr>
          <w:b w:val="0"/>
          <w:i w:val="0"/>
        </w:rPr>
        <w:t>Implikasi eksekusinya harus tetap jelas agar sponsor dan tim delivery dapat menurunkan isi bab ini menjadi tindakan yang konkret.</w:t>
      </w:r>
    </w:p>
    <w:p>
      <w:pPr>
        <w:pStyle w:val="ListBullet"/>
        <w:spacing w:before="0" w:after="80"/>
        <w:numPr>
          <w:ilvl w:val="0"/>
          <w:numId w:val="13"/>
        </w:numPr>
      </w:pPr>
      <w:r>
        <w:rPr>
          <w:b w:val="0"/>
          <w:i w:val="0"/>
        </w:rPr>
        <w:t>Dengan pendekatan ini, narasi proposal tetap terhubung pada kebutuhan bisnis sekaligus tidak kehilangan kontrol implementasi.</w:t>
      </w:r>
    </w:p>
    <w:p>
      <w:r>
        <w:br w:type="page"/>
      </w:r>
    </w:p>
    <w:p>
      <w:pPr>
        <w:pStyle w:val="Heading1"/>
        <w:jc w:val="center"/>
      </w:pPr>
      <w:r>
        <w:rPr>
          <w:color w:val="727C70"/>
        </w:rPr>
        <w:t>BAB II – PERMASALAHAN</w:t>
      </w:r>
    </w:p>
    <w:p>
      <w:pPr>
        <w:pStyle w:val="Heading2"/>
      </w:pPr>
      <w:r>
        <w:rPr>
          <w:rFonts w:ascii="Arial" w:hAnsi="Arial"/>
          <w:b/>
          <w:color w:val="727C70"/>
        </w:rPr>
        <w:t>2.1 Kebutuhan atau Keinginan Klien</w:t>
      </w:r>
    </w:p>
    <w:p>
      <w:r>
        <w:rPr>
          <w:b w:val="0"/>
          <w:i w:val="0"/>
        </w:rPr>
        <w:t>Adaro Energy menuntut penyelesaian</w:t>
      </w:r>
      <w:r>
        <w:rPr>
          <w:b/>
          <w:i w:val="0"/>
        </w:rPr>
        <w:t xml:space="preserve"> Gelombang uji beban 6</w:t>
      </w:r>
      <w:r>
        <w:rPr>
          <w:b w:val="0"/>
          <w:i w:val="0"/>
        </w:rPr>
        <w:t xml:space="preserve"> dalam 4 bulan dengan tiga output terukur: 1. Penguatan</w:t>
      </w:r>
      <w:r>
        <w:rPr>
          <w:b/>
          <w:i w:val="0"/>
        </w:rPr>
        <w:t xml:space="preserve"> tata kelola</w:t>
      </w:r>
      <w:r>
        <w:rPr>
          <w:b w:val="0"/>
          <w:i w:val="0"/>
        </w:rPr>
        <w:t xml:space="preserve"> delivery proyek; 2. Percepatan</w:t>
      </w:r>
      <w:r>
        <w:rPr>
          <w:b/>
          <w:i w:val="0"/>
        </w:rPr>
        <w:t xml:space="preserve"> akuntabilitas</w:t>
      </w:r>
      <w:r>
        <w:rPr>
          <w:b w:val="0"/>
          <w:i w:val="0"/>
        </w:rPr>
        <w:t xml:space="preserve"> keputusan lintas unit bisnis‑teknologi; 3. Penyusunan</w:t>
      </w:r>
      <w:r>
        <w:rPr>
          <w:b/>
          <w:i w:val="0"/>
        </w:rPr>
        <w:t xml:space="preserve"> roadmap</w:t>
      </w:r>
      <w:r>
        <w:rPr>
          <w:b w:val="0"/>
          <w:i w:val="0"/>
        </w:rPr>
        <w:t xml:space="preserve"> eksekusi yang dapat dipresentasikan ke Dewan Direksi.</w:t>
      </w:r>
    </w:p>
    <w:p>
      <w:pPr>
        <w:pStyle w:val="Heading2"/>
      </w:pPr>
      <w:r>
        <w:rPr>
          <w:rFonts w:ascii="Arial" w:hAnsi="Arial"/>
          <w:b/>
          <w:color w:val="727C70"/>
        </w:rPr>
        <w:t>2.2 Business Context</w:t>
      </w:r>
    </w:p>
    <w:p>
      <w:r>
        <w:rPr>
          <w:b w:val="0"/>
          <w:i w:val="0"/>
        </w:rPr>
        <w:t>PT Adaro Energy Indonesia Tbk (ADRO) adalah pemain utama di subsektor Batubara &amp; Energi Terintegrasi (rdis.idx.co.id, 2026). Saat ini perusahaan mengalokasikan dana hingga</w:t>
      </w:r>
      <w:r>
        <w:rPr>
          <w:b/>
          <w:i w:val="0"/>
        </w:rPr>
        <w:t xml:space="preserve"> Rp4 triliun</w:t>
      </w:r>
      <w:r>
        <w:rPr>
          <w:b w:val="0"/>
          <w:i w:val="0"/>
        </w:rPr>
        <w:t xml:space="preserve"> untuk transformasi digital dan keterbukaan data (instagram.com, 2026). Hubungan strategis dengan PT PLN (Persero) menambah urgensi integrasi sistem energi‑digital (facebook.com, 2026). Namun, arsitektur</w:t>
      </w:r>
      <w:r>
        <w:rPr>
          <w:b/>
          <w:i w:val="0"/>
        </w:rPr>
        <w:t xml:space="preserve"> SPBE</w:t>
      </w:r>
      <w:r>
        <w:rPr>
          <w:b w:val="0"/>
          <w:i w:val="0"/>
        </w:rPr>
        <w:t xml:space="preserve"> internal masih terfragmentasi, sehingga koordinasi lintas unit belum optimal dan audit trail terbatas.</w:t>
      </w:r>
    </w:p>
    <w:p>
      <w:pPr>
        <w:pStyle w:val="Heading2"/>
      </w:pPr>
      <w:r>
        <w:rPr>
          <w:rFonts w:ascii="Arial" w:hAnsi="Arial"/>
          <w:b/>
          <w:color w:val="727C70"/>
        </w:rPr>
        <w:t>2.3 Key Challenge</w:t>
      </w:r>
    </w:p>
    <w:p>
      <w:pPr>
        <w:pStyle w:val="ListBullet"/>
        <w:spacing w:before="0" w:after="80"/>
        <w:numPr>
          <w:ilvl w:val="0"/>
          <w:numId w:val="14"/>
        </w:numPr>
      </w:pPr>
      <w:r>
        <w:rPr>
          <w:b/>
          <w:i w:val="0"/>
        </w:rPr>
        <w:t>Prioritas kerja tersebar</w:t>
      </w:r>
      <w:r>
        <w:rPr>
          <w:b w:val="0"/>
          <w:i w:val="0"/>
        </w:rPr>
        <w:t>: Unit operasional, keuangan, dan TI mengusulkan inisiatif tanpa konsensus.</w:t>
      </w:r>
    </w:p>
    <w:p>
      <w:pPr>
        <w:pStyle w:val="ListBullet"/>
        <w:spacing w:before="0" w:after="80"/>
        <w:numPr>
          <w:ilvl w:val="0"/>
          <w:numId w:val="14"/>
        </w:numPr>
      </w:pPr>
      <w:r>
        <w:rPr>
          <w:b/>
          <w:i w:val="0"/>
        </w:rPr>
        <w:t>Koordinasi bisnis‑teknologi tidak konsisten</w:t>
      </w:r>
      <w:r>
        <w:rPr>
          <w:b w:val="0"/>
          <w:i w:val="0"/>
        </w:rPr>
        <w:t>: Tidak ada mekanisme formal untuk menyelaraskan roadmap TI dengan kebutuhan produksi batubara.</w:t>
      </w:r>
    </w:p>
    <w:p>
      <w:pPr>
        <w:pStyle w:val="ListBullet"/>
        <w:spacing w:before="0" w:after="80"/>
        <w:numPr>
          <w:ilvl w:val="0"/>
          <w:numId w:val="14"/>
        </w:numPr>
      </w:pPr>
      <w:r>
        <w:rPr>
          <w:b/>
          <w:i w:val="0"/>
        </w:rPr>
        <w:t>Kejelasan ruang lingkup, deliverable, dan governance belum terdefinisi</w:t>
      </w:r>
      <w:r>
        <w:rPr>
          <w:b w:val="0"/>
          <w:i w:val="0"/>
        </w:rPr>
        <w:t>: Dokumentasi proyek tidak mencakup audit trail yang memadai, menghambat</w:t>
      </w:r>
      <w:r>
        <w:rPr>
          <w:b/>
          <w:i w:val="0"/>
        </w:rPr>
        <w:t xml:space="preserve"> akuntabilitas</w:t>
      </w:r>
      <w:r>
        <w:rPr>
          <w:b w:val="0"/>
          <w:i w:val="0"/>
        </w:rPr>
        <w:t xml:space="preserve"> keputusan.</w:t>
      </w:r>
    </w:p>
    <w:p>
      <w:pPr>
        <w:pStyle w:val="Heading2"/>
      </w:pPr>
      <w:r>
        <w:rPr>
          <w:rFonts w:ascii="Arial" w:hAnsi="Arial"/>
          <w:b/>
          <w:color w:val="727C70"/>
        </w:rPr>
        <w:t>2.4 Underlying Gap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Aspek</w:t>
            </w:r>
          </w:p>
        </w:tc>
        <w:tc>
          <w:tcPr>
            <w:tcW w:type="dxa" w:w="2340"/>
          </w:tcPr>
          <w:p>
            <w:r>
              <w:rPr>
                <w:b w:val="0"/>
                <w:i w:val="0"/>
              </w:rPr>
              <w:t>Current State</w:t>
            </w:r>
          </w:p>
        </w:tc>
        <w:tc>
          <w:tcPr>
            <w:tcW w:type="dxa" w:w="2340"/>
          </w:tcPr>
          <w:p>
            <w:r>
              <w:rPr>
                <w:b w:val="0"/>
                <w:i w:val="0"/>
              </w:rPr>
              <w:t>Target State</w:t>
            </w:r>
          </w:p>
        </w:tc>
        <w:tc>
          <w:tcPr>
            <w:tcW w:type="dxa" w:w="2340"/>
          </w:tcPr>
          <w:p>
            <w:r>
              <w:rPr>
                <w:b w:val="0"/>
                <w:i w:val="0"/>
              </w:rPr>
              <w:t>Gap</w:t>
            </w:r>
          </w:p>
        </w:tc>
      </w:tr>
      <w:tr>
        <w:tc>
          <w:tcPr>
            <w:tcW w:type="dxa" w:w="2340"/>
          </w:tcPr>
          <w:p>
            <w:r>
              <w:rPr>
                <w:b w:val="0"/>
                <w:i w:val="0"/>
              </w:rPr>
              <w:t>Target Operating Model (TOM)</w:t>
            </w:r>
          </w:p>
        </w:tc>
        <w:tc>
          <w:tcPr>
            <w:tcW w:type="dxa" w:w="2340"/>
          </w:tcPr>
          <w:p>
            <w:r>
              <w:rPr>
                <w:b w:val="0"/>
                <w:i w:val="0"/>
              </w:rPr>
              <w:t>Proses silo, tidak terstandarisasi</w:t>
            </w:r>
          </w:p>
        </w:tc>
        <w:tc>
          <w:tcPr>
            <w:tcW w:type="dxa" w:w="2340"/>
          </w:tcPr>
          <w:p>
            <w:r>
              <w:rPr>
                <w:b w:val="0"/>
                <w:i w:val="0"/>
              </w:rPr>
              <w:t>Model terintegrasi berlandaskan TOGAF/COBIT/ISO 27001</w:t>
            </w:r>
          </w:p>
        </w:tc>
        <w:tc>
          <w:tcPr>
            <w:tcW w:type="dxa" w:w="2340"/>
          </w:tcPr>
          <w:p>
            <w:r>
              <w:rPr>
                <w:b w:val="0"/>
                <w:i w:val="0"/>
              </w:rPr>
              <w:t>Tidak ada blueprint TOM</w:t>
            </w:r>
          </w:p>
        </w:tc>
      </w:tr>
      <w:tr>
        <w:tc>
          <w:tcPr>
            <w:tcW w:type="dxa" w:w="2340"/>
          </w:tcPr>
          <w:p>
            <w:r>
              <w:rPr>
                <w:b w:val="0"/>
                <w:i w:val="0"/>
              </w:rPr>
              <w:t>SPBE Alignment</w:t>
            </w:r>
          </w:p>
        </w:tc>
        <w:tc>
          <w:tcPr>
            <w:tcW w:type="dxa" w:w="2340"/>
          </w:tcPr>
          <w:p>
            <w:r>
              <w:rPr>
                <w:b w:val="0"/>
                <w:i w:val="0"/>
              </w:rPr>
              <w:t>Sistem informasi terpisah, data tidak terintegrasi</w:t>
            </w:r>
          </w:p>
        </w:tc>
        <w:tc>
          <w:tcPr>
            <w:tcW w:type="dxa" w:w="2340"/>
          </w:tcPr>
          <w:p>
            <w:r>
              <w:rPr>
                <w:b w:val="0"/>
                <w:i w:val="0"/>
              </w:rPr>
              <w:t>Platform SPBE terhubung dengan audit trail lengkap</w:t>
            </w:r>
          </w:p>
        </w:tc>
        <w:tc>
          <w:tcPr>
            <w:tcW w:type="dxa" w:w="2340"/>
          </w:tcPr>
          <w:p>
            <w:r>
              <w:rPr>
                <w:b w:val="0"/>
                <w:i w:val="0"/>
              </w:rPr>
              <w:t>Ketiadaan integrasi data</w:t>
            </w:r>
          </w:p>
        </w:tc>
      </w:tr>
      <w:tr>
        <w:tc>
          <w:tcPr>
            <w:tcW w:type="dxa" w:w="2340"/>
          </w:tcPr>
          <w:p>
            <w:r>
              <w:rPr>
                <w:b w:val="0"/>
                <w:i w:val="0"/>
              </w:rPr>
              <w:t>Governance Framework</w:t>
            </w:r>
          </w:p>
        </w:tc>
        <w:tc>
          <w:tcPr>
            <w:tcW w:type="dxa" w:w="2340"/>
          </w:tcPr>
          <w:p>
            <w:r>
              <w:rPr>
                <w:b w:val="0"/>
                <w:i w:val="0"/>
              </w:rPr>
              <w:t>Keputusan ad‑hoc, tidak terdokumentasi</w:t>
            </w:r>
          </w:p>
        </w:tc>
        <w:tc>
          <w:tcPr>
            <w:tcW w:type="dxa" w:w="2340"/>
          </w:tcPr>
          <w:p>
            <w:r>
              <w:rPr>
                <w:b w:val="0"/>
                <w:i w:val="0"/>
              </w:rPr>
              <w:t>Struktur governance dengan board‑level oversight &amp; KPI terukur</w:t>
            </w:r>
          </w:p>
        </w:tc>
        <w:tc>
          <w:tcPr>
            <w:tcW w:type="dxa" w:w="2340"/>
          </w:tcPr>
          <w:p>
            <w:r>
              <w:rPr>
                <w:b w:val="0"/>
                <w:i w:val="0"/>
              </w:rPr>
              <w:t>Tidak ada struktur governance formal</w:t>
            </w:r>
          </w:p>
        </w:tc>
      </w:tr>
    </w:tbl>
    <w:p>
      <w:pPr>
        <w:pStyle w:val="Heading2"/>
      </w:pPr>
      <w:r>
        <w:rPr>
          <w:rFonts w:ascii="Arial" w:hAnsi="Arial"/>
          <w:b/>
          <w:color w:val="727C70"/>
        </w:rPr>
        <w:t>2.5 Implication / Risk</w:t>
      </w:r>
    </w:p>
    <w:p>
      <w:pPr>
        <w:pStyle w:val="ListBullet"/>
        <w:spacing w:before="0" w:after="80"/>
        <w:numPr>
          <w:ilvl w:val="0"/>
          <w:numId w:val="15"/>
        </w:numPr>
      </w:pPr>
      <w:r>
        <w:rPr>
          <w:b/>
          <w:i w:val="0"/>
        </w:rPr>
        <w:t>Keterlambatan penyelesaian</w:t>
      </w:r>
      <w:r>
        <w:rPr>
          <w:b w:val="0"/>
          <w:i w:val="0"/>
        </w:rPr>
        <w:t xml:space="preserve"> dapat menambah biaya operasional hingga</w:t>
      </w:r>
      <w:r>
        <w:rPr>
          <w:b/>
          <w:i w:val="0"/>
        </w:rPr>
        <w:t xml:space="preserve"> +5 %</w:t>
      </w:r>
      <w:r>
        <w:rPr>
          <w:b w:val="0"/>
          <w:i w:val="0"/>
        </w:rPr>
        <w:t xml:space="preserve"> (Data Internal, 2026).</w:t>
      </w:r>
    </w:p>
    <w:p>
      <w:pPr>
        <w:pStyle w:val="ListBullet"/>
        <w:spacing w:before="0" w:after="80"/>
        <w:numPr>
          <w:ilvl w:val="0"/>
          <w:numId w:val="15"/>
        </w:numPr>
      </w:pPr>
      <w:r>
        <w:rPr>
          <w:b/>
          <w:i w:val="0"/>
        </w:rPr>
        <w:t>Risiko regulasi</w:t>
      </w:r>
      <w:r>
        <w:rPr>
          <w:b w:val="0"/>
          <w:i w:val="0"/>
        </w:rPr>
        <w:t>: Ketidaksesuaian dengan kebijakan SPBE nasional dapat memicu sanksi atau audit eksternal (yogyakarta.bpk.go.id, 2029).</w:t>
      </w:r>
    </w:p>
    <w:p>
      <w:pPr>
        <w:pStyle w:val="ListBullet"/>
        <w:spacing w:before="0" w:after="80"/>
        <w:numPr>
          <w:ilvl w:val="0"/>
          <w:numId w:val="15"/>
        </w:numPr>
      </w:pPr>
      <w:r>
        <w:rPr>
          <w:b/>
          <w:i w:val="0"/>
        </w:rPr>
        <w:t>Reputasi</w:t>
      </w:r>
      <w:r>
        <w:rPr>
          <w:b w:val="0"/>
          <w:i w:val="0"/>
        </w:rPr>
        <w:t>: Kegagalan digitalisasi menurunkan kepercayaan stakeholder, mengingat catatan publik terbatas tentang performa proyek (Data Internal, 2026).</w:t>
      </w:r>
    </w:p>
    <w:p>
      <w:pPr>
        <w:pStyle w:val="ListBullet"/>
        <w:spacing w:before="0" w:after="80"/>
        <w:numPr>
          <w:ilvl w:val="0"/>
          <w:numId w:val="15"/>
        </w:numPr>
      </w:pPr>
      <w:r>
        <w:rPr>
          <w:b w:val="0"/>
          <w:i w:val="0"/>
        </w:rPr>
        <w:t>**Finansial</w:t>
      </w:r>
    </w:p>
    <w:p>
      <w:pPr>
        <w:pStyle w:val="Heading2"/>
      </w:pPr>
      <w:r>
        <w:rPr>
          <w:rFonts w:ascii="Arial" w:hAnsi="Arial"/>
          <w:b/>
          <w:color w:val="727C70"/>
        </w:rPr>
        <w:t>2.6 Need for Solution</w:t>
      </w:r>
    </w:p>
    <w:p>
      <w:pPr>
        <w:pStyle w:val="Heading3"/>
      </w:pPr>
      <w:r>
        <w:rPr>
          <w:rFonts w:ascii="Arial" w:hAnsi="Arial"/>
          <w:b/>
          <w:color w:val="727C70"/>
        </w:rPr>
        <w:t>Rincian Inti</w:t>
      </w:r>
    </w:p>
    <w:p>
      <w:pPr>
        <w:pStyle w:val="ListNumber"/>
        <w:spacing w:before="0" w:after="80"/>
        <w:numPr>
          <w:ilvl w:val="0"/>
          <w:numId w:val="16"/>
        </w:numPr>
      </w:pPr>
      <w:r>
        <w:rPr>
          <w:b w:val="0"/>
          <w:i w:val="0"/>
        </w:rPr>
        <w:t>Aktivitas utama pada bagian ini disesuaikan langsung dengan kebutuhan bisnis klien. - Risiko, dependensi, dan indikator keberhasilan dijabarkan secara terukur untuk eksekusi.</w:t>
      </w:r>
    </w:p>
    <w:p>
      <w:r>
        <w:rPr>
          <w:b w:val="0"/>
          <w:i w:val="0"/>
        </w:rPr>
        <w:t>Definisi masalah untuk Adaro Energy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Hubungan antara PT Adaro Energy Indonesia Tbk (ADRO) dan PT PLN (Persero) kini menjadi pusat perhatian ekonomi-politik tanah air. Di tengah bayang- bayang... (facebook.com, 2026).</w:t>
      </w:r>
    </w:p>
    <w:p>
      <w:pPr>
        <w:pStyle w:val="ListBullet"/>
        <w:spacing w:before="0" w:after="80"/>
        <w:numPr>
          <w:ilvl w:val="0"/>
          <w:numId w:val="17"/>
        </w:numPr>
      </w:pPr>
      <w:r>
        <w:rPr>
          <w:b w:val="0"/>
          <w:i w:val="0"/>
        </w:rPr>
        <w:t>Pola definisi masalah membantu Adaro Energy membedakan gejala operasional dari akar gap yang perlu diprioritaskan.</w:t>
      </w:r>
    </w:p>
    <w:p>
      <w:pPr>
        <w:pStyle w:val="ListBullet"/>
        <w:spacing w:before="0" w:after="80"/>
        <w:numPr>
          <w:ilvl w:val="0"/>
          <w:numId w:val="17"/>
        </w:numPr>
      </w:pPr>
      <w:r>
        <w:rPr>
          <w:b w:val="0"/>
          <w:i w:val="0"/>
        </w:rPr>
        <w:t>Untuk menjaga relevansi eksekusi, rumusan masalah harus tetap ditautkan ke KPI seperti KPI outcome bisnis utama Adaro Energy bergerak positif dalam 4 bulan. | Kualitas operasi (incident, SLA, lead time) membaik dalam 4 bulan. dan istilah kerja akuntabilitas, SPBE.</w:t>
      </w:r>
    </w:p>
    <w:p>
      <w:r>
        <w:rPr>
          <w:b w:val="0"/>
          <w:i w:val="0"/>
        </w:rPr>
        <w:t>Dengan demikian, bab ini memberi dasar yang lebih kuat untuk bab berikutnya: klasifikasi kebutuhan, pendekatan, metodologi, dan solution design dapat diturunkan dari rumusan masalah yang sama, bukan dari asumsi yang berubah-ubah. Itu membuat proposal lebih defensible, lebih personal terhadap kondisi Adaro Energy, dan lebih berguna sebagai dokumen keputusan.</w:t>
      </w:r>
    </w:p>
    <w:p>
      <w:r>
        <w:rPr>
          <w:b w:val="0"/>
          <w:i w:val="0"/>
        </w:rPr>
        <w:t>Untuk Adaro Energy, isi bab ini harus dibaca sebagai dasar keputusan kerja yang dapat ditindaklanjuti, bukan sekadar penjelasan konseptual. Karena itu, isi bab tetap diarahkan untuk menjaga relevansi terhadap KPI seperti KPI outcome bisnis utama Adaro Energy bergerak positif dalam 4 bulan. | Kualitas operasi (incident, SLA, lead time) membaik dalam 4 bulan. dan istilah kerja akuntabilitas, SPBE.</w:t>
      </w:r>
    </w:p>
    <w:p>
      <w:r>
        <w:br w:type="page"/>
      </w:r>
    </w:p>
    <w:p>
      <w:pPr>
        <w:pStyle w:val="Heading1"/>
        <w:jc w:val="center"/>
      </w:pPr>
      <w:r>
        <w:rPr>
          <w:color w:val="727C70"/>
        </w:rPr>
        <w:t>BAB III – KLASIFIKASI KEBUTUHAN</w:t>
      </w:r>
    </w:p>
    <w:p>
      <w:r>
        <w:rPr>
          <w:b w:val="0"/>
          <w:i w:val="0"/>
        </w:rPr>
        <w:t>Bab klasifikasi kebutuhan untuk Adaro Energy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Directive</w:t>
      </w:r>
      <w:r>
        <w:rPr>
          <w:b w:val="0"/>
          <w:i w:val="0"/>
        </w:rPr>
        <w:t>. Pilihan ini dibuat agar proposal tidak melebar, melainkan langsung mengunci prioritas yang paling berpengaruh pada outcome seperti KPI outcome bisnis utama Adaro Energy bergerak positif dalam 4 bulan. | Kualitas operasi (incident, SLA, lead time) membaik dalam 4 bulan. | Efektivitas eksekusi proyek (on-time, on-budget, on-scope) tercapai dalam 4 bulan.. Bab ini ditulis sebagai penajaman arah penawaran agar sponsor segera melihat fokus kerja yang paling relevan. (Data Internal, 2026).</w:t>
      </w:r>
    </w:p>
    <w:p>
      <w:pPr>
        <w:pStyle w:val="Heading2"/>
      </w:pPr>
      <w:r>
        <w:rPr>
          <w:rFonts w:ascii="Arial" w:hAnsi="Arial"/>
          <w:b/>
          <w:color w:val="727C70"/>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Konteks pendukung</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Fokus utama</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Directive</w:t>
      </w:r>
      <w:r>
        <w:rPr>
          <w:b w:val="0"/>
          <w:i w:val="0"/>
        </w:rPr>
        <w:t>, sedangkan kebutuhan lain diposisikan sebagai konteks pendukung agar arah kerja tetap terkendali. Bagi Adaro Energy,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gelombang uji beban 6: prioritas kerja masih tersebar, koordinasi bisnis-teknologi belum konsisten, dan dibutuhkan kejelasan ruang lingkup, deliverable... dan kaitannya dengan target bisnis KPI outcome bisnis utama Adaro Energy bergerak positif dalam 4 bulan. | Kualitas operasi (incident, SLA, lead time) membaik dalam 4 bulan. | Efektivitas eksekusi proyek (on-time, on-budget, on-scope) tercapai dalam 4 bulan..</w:t>
      </w:r>
    </w:p>
    <w:p>
      <w:pPr>
        <w:pStyle w:val="Heading2"/>
      </w:pPr>
      <w:r>
        <w:rPr>
          <w:rFonts w:ascii="Arial" w:hAnsi="Arial"/>
          <w:b/>
          <w:color w:val="727C70"/>
        </w:rPr>
        <w:t>3.2 Tujuan Utama dan Jenis Proyek</w:t>
      </w:r>
    </w:p>
    <w:p>
      <w:r>
        <w:rPr>
          <w:b w:val="0"/>
          <w:i w:val="0"/>
        </w:rPr>
        <w:t>Dengan fokus kebutuhan yang sudah mengerucut, tujuan utama proyek dapat ditegaskan sebagai upaya membantu Adaro Energy mencapai gelombang uji beban 6: penguatan tata kelola delivery, percepatan keputusan lintas unit, dan penyusunan roadmap eksekusi yang lebih... melalui model kerja</w:t>
      </w:r>
      <w:r>
        <w:rPr>
          <w:b/>
          <w:i w:val="0"/>
        </w:rPr>
        <w:t xml:space="preserve"> Strategic</w:t>
      </w:r>
      <w:r>
        <w:rPr>
          <w:b w:val="0"/>
          <w:i w:val="0"/>
        </w:rPr>
        <w:t>. Jenis proyek ini dipandang paling tepat karena masih sejalan dengan baseline metodologi internal 1. Visioning 2. Target Operating Model 3. Roadmap 4. Board Presentation, sekaligus cukup kuat untuk menerjemahkan kebutuhan directive menjadi deliverable, keputusan, dan quality gate yang dapat dijalankan. - Tujuan utama proposal adalah mengubah kebutuhan directive menjadi program kerja yang lebih terstruktur, terukur, dan mudah dikendalikan. - Jenis proyek</w:t>
      </w:r>
      <w:r>
        <w:rPr>
          <w:b/>
          <w:i w:val="0"/>
        </w:rPr>
        <w:t xml:space="preserve"> Strategic</w:t>
      </w:r>
      <w:r>
        <w:rPr>
          <w:b w:val="0"/>
          <w:i w:val="0"/>
        </w:rPr>
        <w:t xml:space="preserve"> dipilih karena paling sesuai untuk menjaga outcome arah transformasi yang lebih fokus, prioritas investasi yang lebih defensible, roadmap eksekusi yang lebih mudah disetujui tetap realistis dicapai oleh Adaro Energy. - Dengan penajaman ini, bab berikutnya dapat langsung berbicara tentang pendekatan, metodologi, dan solution design yang fokus pada kebutuhan yang benar-benar diputuskan untuk ditangani.</w:t>
      </w:r>
    </w:p>
    <w:p>
      <w:pPr>
        <w:pStyle w:val="ListNumber"/>
        <w:spacing w:before="0" w:after="80"/>
        <w:numPr>
          <w:ilvl w:val="0"/>
          <w:numId w:val="18"/>
        </w:numPr>
      </w:pPr>
      <w:r>
        <w:rPr>
          <w:b w:val="0"/>
          <w:i w:val="0"/>
        </w:rPr>
        <w:t>Prioritas implementasi untuk Adaro Energy diarahkan agar tetap selaras dengan KPI outcome bisnis utama Adaro Energy bergerak positif dalam 4 bulan. | Kualitas operasi (incident, SLA, lead time) membaik dalam 4 bulan..</w:t>
      </w:r>
    </w:p>
    <w:p>
      <w:pPr>
        <w:pStyle w:val="ListNumber"/>
        <w:spacing w:before="0" w:after="80"/>
        <w:numPr>
          <w:ilvl w:val="0"/>
          <w:numId w:val="18"/>
        </w:numPr>
      </w:pPr>
      <w:r>
        <w:rPr>
          <w:b w:val="0"/>
          <w:i w:val="0"/>
        </w:rPr>
        <w:t>Keputusan delivery dan quality gate pada bab ini harus konsisten dengan istilah kerja akuntabilitas, SPBE. - Anchor inisiatif yang tetap dirujuk adalah Hubungan antara PT Adaro Energy Indonesia Tbk (ADRO) dan PT PLN (Persero) kini menjadi pusat perhatian ekonomi-politik tanah air. Di tengah bayang- bayang... (facebook.com, 2026).</w:t>
      </w:r>
    </w:p>
    <w:p>
      <w:r>
        <w:br w:type="page"/>
      </w:r>
    </w:p>
    <w:p>
      <w:pPr>
        <w:pStyle w:val="Heading1"/>
        <w:jc w:val="center"/>
      </w:pPr>
      <w:r>
        <w:rPr>
          <w:color w:val="727C70"/>
        </w:rPr>
        <w:t>BAB IV – PENDEKATAN</w:t>
      </w:r>
    </w:p>
    <w:p>
      <w:pPr>
        <w:pStyle w:val="Heading2"/>
      </w:pPr>
      <w:r>
        <w:rPr>
          <w:rFonts w:ascii="Arial" w:hAnsi="Arial"/>
          <w:b/>
          <w:color w:val="727C70"/>
        </w:rPr>
        <w:t>4.1 Acuan Prinsip/Framework/Teori/Regulasi</w:t>
      </w:r>
    </w:p>
    <w:p>
      <w:pPr>
        <w:pStyle w:val="ListNumber"/>
        <w:spacing w:before="0" w:after="80"/>
        <w:numPr>
          <w:ilvl w:val="0"/>
          <w:numId w:val="19"/>
        </w:numPr>
      </w:pPr>
      <w:r>
        <w:rPr>
          <w:b/>
          <w:i w:val="0"/>
        </w:rPr>
        <w:t>TOGAF – Architecture Development Method</w:t>
      </w:r>
      <w:r>
        <w:rPr>
          <w:b w:val="0"/>
          <w:i w:val="0"/>
        </w:rPr>
        <w:t xml:space="preserve"> -</w:t>
      </w:r>
      <w:r>
        <w:rPr>
          <w:b w:val="0"/>
          <w:i/>
        </w:rPr>
        <w:t xml:space="preserve"> Vision</w:t>
      </w:r>
      <w:r>
        <w:rPr>
          <w:b w:val="0"/>
          <w:i w:val="0"/>
        </w:rPr>
        <w:t>: menetapkan tujuan akuntabilitas keputusan lintas unit (Data Internal, 2026). -</w:t>
      </w:r>
      <w:r>
        <w:rPr>
          <w:b w:val="0"/>
          <w:i/>
        </w:rPr>
        <w:t xml:space="preserve"> Business Architecture</w:t>
      </w:r>
      <w:r>
        <w:rPr>
          <w:b w:val="0"/>
          <w:i w:val="0"/>
        </w:rPr>
        <w:t>: memetakan proses layanan publik yang berinteraksi dengan PLN (facebook.com, 2026). -</w:t>
      </w:r>
      <w:r>
        <w:rPr>
          <w:b w:val="0"/>
          <w:i/>
        </w:rPr>
        <w:t xml:space="preserve"> Implementation Governance</w:t>
      </w:r>
      <w:r>
        <w:rPr>
          <w:b w:val="0"/>
          <w:i w:val="0"/>
        </w:rPr>
        <w:t>: membangun audit‑trail SPBE dan kontrol perubahan.</w:t>
      </w:r>
    </w:p>
    <w:p>
      <w:pPr>
        <w:pStyle w:val="ListNumber"/>
        <w:spacing w:before="0" w:after="80"/>
        <w:numPr>
          <w:ilvl w:val="0"/>
          <w:numId w:val="19"/>
        </w:numPr>
      </w:pPr>
      <w:r>
        <w:rPr>
          <w:b/>
          <w:i w:val="0"/>
        </w:rPr>
        <w:t>ITIL 4 – Service Value System</w:t>
      </w:r>
      <w:r>
        <w:rPr>
          <w:b w:val="0"/>
          <w:i w:val="0"/>
        </w:rPr>
        <w:t xml:space="preserve"> - Menggunakan rangkaian</w:t>
      </w:r>
      <w:r>
        <w:rPr>
          <w:b w:val="0"/>
          <w:i/>
        </w:rPr>
        <w:t xml:space="preserve"> engage‑design‑transition‑operate‑improve</w:t>
      </w:r>
      <w:r>
        <w:rPr>
          <w:b w:val="0"/>
          <w:i w:val="0"/>
        </w:rPr>
        <w:t xml:space="preserve"> untuk mempercepat keputusan operasional dan menjamin SLA beban energi ≥ 98 % selama pilot.</w:t>
      </w:r>
    </w:p>
    <w:p>
      <w:pPr>
        <w:pStyle w:val="ListNumber"/>
        <w:spacing w:before="0" w:after="80"/>
        <w:numPr>
          <w:ilvl w:val="0"/>
          <w:numId w:val="19"/>
        </w:numPr>
      </w:pPr>
      <w:r>
        <w:rPr>
          <w:b/>
          <w:i w:val="0"/>
        </w:rPr>
        <w:t>COBIT 2019 – Governance &amp; Management Objectives</w:t>
      </w:r>
      <w:r>
        <w:rPr>
          <w:b w:val="0"/>
          <w:i w:val="0"/>
        </w:rPr>
        <w:t xml:space="preserve"> - Mengadopsi</w:t>
      </w:r>
      <w:r>
        <w:rPr>
          <w:b w:val="0"/>
          <w:i/>
        </w:rPr>
        <w:t xml:space="preserve"> EDM01</w:t>
      </w:r>
      <w:r>
        <w:rPr>
          <w:b w:val="0"/>
          <w:i w:val="0"/>
        </w:rPr>
        <w:t xml:space="preserve"> (Ensure Governance Framework Setting) dan</w:t>
      </w:r>
      <w:r>
        <w:rPr>
          <w:b w:val="0"/>
          <w:i/>
        </w:rPr>
        <w:t xml:space="preserve"> APO07</w:t>
      </w:r>
      <w:r>
        <w:rPr>
          <w:b w:val="0"/>
          <w:i w:val="0"/>
        </w:rPr>
        <w:t xml:space="preserve"> (Manage Human Resources) sebagai dasar RACI proyek, memastikan setiap paket kerja memiliki</w:t>
      </w:r>
      <w:r>
        <w:rPr>
          <w:b w:val="0"/>
          <w:i/>
        </w:rPr>
        <w:t xml:space="preserve"> Accountable</w:t>
      </w:r>
      <w:r>
        <w:rPr>
          <w:b w:val="0"/>
          <w:i w:val="0"/>
        </w:rPr>
        <w:t xml:space="preserve"> yang jelas.</w:t>
      </w:r>
    </w:p>
    <w:p>
      <w:pPr>
        <w:pStyle w:val="ListNumber"/>
        <w:spacing w:before="0" w:after="80"/>
        <w:numPr>
          <w:ilvl w:val="0"/>
          <w:numId w:val="19"/>
        </w:numPr>
      </w:pPr>
      <w:r>
        <w:rPr>
          <w:b/>
          <w:i w:val="0"/>
        </w:rPr>
        <w:t>ISO 27001 – Information Security Management</w:t>
      </w:r>
      <w:r>
        <w:rPr>
          <w:b w:val="0"/>
          <w:i w:val="0"/>
        </w:rPr>
        <w:t xml:space="preserve"> - Menjamin integritas dan kerahasiaan data audit‑trail SPBE, mengurangi risiko kebocoran informasi strategis pada fase</w:t>
      </w:r>
      <w:r>
        <w:rPr>
          <w:b w:val="0"/>
          <w:i/>
        </w:rPr>
        <w:t xml:space="preserve"> transition</w:t>
      </w:r>
      <w:r>
        <w:rPr>
          <w:b w:val="0"/>
          <w:i w:val="0"/>
        </w:rPr>
        <w:t>.</w:t>
      </w:r>
    </w:p>
    <w:p>
      <w:pPr>
        <w:pStyle w:val="ListNumber"/>
        <w:spacing w:before="0" w:after="80"/>
        <w:numPr>
          <w:ilvl w:val="0"/>
          <w:numId w:val="19"/>
        </w:numPr>
      </w:pPr>
      <w:r>
        <w:rPr>
          <w:b/>
          <w:i w:val="0"/>
        </w:rPr>
        <w:t>Regulasi Pemerintah</w:t>
      </w:r>
      <w:r>
        <w:rPr>
          <w:b w:val="0"/>
          <w:i w:val="0"/>
        </w:rPr>
        <w:t xml:space="preserve"> - Renstra BPK 2025‑2029 menekankan transparansi dan akuntabilitas dalam program digital pemerintah (yogyakarta.bpk.go.id, 2029). - Kebijakan digital provinsi Jawa Timur menegaskan standar etika data dan interoperabilitas SPBE (kominfo.jatimprov.go.id, 2025).</w:t>
      </w:r>
    </w:p>
    <w:p>
      <w:r>
        <w:rPr>
          <w:b/>
          <w:i w:val="0"/>
        </w:rPr>
        <w:t>Rasional</w:t>
      </w:r>
      <w:r>
        <w:rPr>
          <w:b w:val="0"/>
          <w:i w:val="0"/>
        </w:rPr>
        <w:t>: Kombinasi kelima elemen menutup spektrum arsitektur strategis, operasional layanan, tata kelola, keamanan, dan kepatuhan regulasi, sehingga gelombang uji beban 6 dapat diselesaikan dalam 4 bulan dengan kontrol terukur.</w:t>
      </w:r>
    </w:p>
    <w:p>
      <w:r>
        <w:rPr>
          <w:b/>
          <w:i w:val="0"/>
        </w:rPr>
        <w:t>Asumsi</w:t>
      </w:r>
      <w:r>
        <w:rPr>
          <w:b w:val="0"/>
          <w:i w:val="0"/>
        </w:rPr>
        <w:t xml:space="preserve"> - Data operasional SPBE sudah terintegrasi dengan sistem PLN. - Anggaran transformasi digital Rp4 triliun dapat diakses (instagram.com, 2026).</w:t>
      </w:r>
    </w:p>
    <w:p>
      <w:r>
        <w:rPr>
          <w:b/>
          <w:i w:val="0"/>
        </w:rPr>
        <w:t>Risiko &amp; Mitigasi</w:t>
      </w:r>
      <w:r>
        <w:rPr>
          <w:b w:val="0"/>
          <w:i w:val="0"/>
        </w:rPr>
        <w:t xml:space="preserve"> -</w:t>
      </w:r>
      <w:r>
        <w:rPr>
          <w:b w:val="0"/>
          <w:i/>
        </w:rPr>
        <w:t xml:space="preserve"> Risk</w:t>
      </w:r>
      <w:r>
        <w:rPr>
          <w:b w:val="0"/>
          <w:i w:val="0"/>
        </w:rPr>
        <w:t>: Ketidaksesuaian proses bisnis lama dengan model TOGAF.</w:t>
      </w:r>
      <w:r>
        <w:rPr>
          <w:b w:val="0"/>
          <w:i/>
        </w:rPr>
        <w:t xml:space="preserve"> Mitigasi</w:t>
      </w:r>
      <w:r>
        <w:rPr>
          <w:b w:val="0"/>
          <w:i w:val="0"/>
        </w:rPr>
        <w:t>: Workshop Business Architecture 2 hari dengan stakeholder utama. -</w:t>
      </w:r>
      <w:r>
        <w:rPr>
          <w:b w:val="0"/>
          <w:i/>
        </w:rPr>
        <w:t xml:space="preserve"> Risk</w:t>
      </w:r>
      <w:r>
        <w:rPr>
          <w:b w:val="0"/>
          <w:i w:val="0"/>
        </w:rPr>
        <w:t>: Kesenjangan keamanan data. *Mit</w:t>
      </w:r>
    </w:p>
    <w:p>
      <w:pPr>
        <w:pStyle w:val="Heading2"/>
      </w:pPr>
      <w:r>
        <w:rPr>
          <w:rFonts w:ascii="Arial" w:hAnsi="Arial"/>
          <w:b/>
          <w:color w:val="727C70"/>
        </w:rPr>
        <w:t>4.2 Standar Penyelesaian Masalah</w:t>
      </w:r>
    </w:p>
    <w:p>
      <w:pPr>
        <w:pStyle w:val="Heading3"/>
      </w:pPr>
      <w:r>
        <w:rPr>
          <w:rFonts w:ascii="Arial" w:hAnsi="Arial"/>
          <w:b/>
          <w:color w:val="727C70"/>
        </w:rPr>
        <w:t>Rincian Inti</w:t>
      </w:r>
    </w:p>
    <w:p>
      <w:pPr>
        <w:pStyle w:val="ListNumber"/>
        <w:spacing w:before="0" w:after="80"/>
        <w:numPr>
          <w:ilvl w:val="0"/>
          <w:numId w:val="20"/>
        </w:numPr>
      </w:pPr>
      <w:r>
        <w:rPr>
          <w:b w:val="0"/>
          <w:i w:val="0"/>
        </w:rPr>
        <w:t>Aktivitas utama pada bagian ini disesuaikan langsung dengan kebutuhan bisnis klien. - Risiko, dependensi, dan indikator keberhasilan dijabarkan secara terukur untuk eksekusi. - Untuk Adaro Energy, isi bab ini tetap diarahkan pada keputusan dan langkah kerja yang konkret.</w:t>
      </w:r>
    </w:p>
    <w:p>
      <w:r>
        <w:rPr>
          <w:b w:val="0"/>
          <w:i w:val="0"/>
        </w:rPr>
        <w:t>Untuk Adaro Energy, isi bab ini harus dibaca sebagai dasar keputusan kerja yang dapat ditindaklanjuti, bukan sekadar penjelasan konseptual. Karena itu, isi bab tetap diarahkan untuk menjaga relevansi terhadap KPI seperti KPI outcome bisnis utama Adaro Energy bergerak positif dalam 4 bulan. | Kualitas operasi (incident, SLA, lead time) membaik dalam 4 bulan. dan istilah kerja akuntabilitas, SPBE.</w:t>
      </w:r>
    </w:p>
    <w:p>
      <w:pPr>
        <w:pStyle w:val="ListBullet"/>
        <w:spacing w:before="0" w:after="80"/>
        <w:numPr>
          <w:ilvl w:val="0"/>
          <w:numId w:val="21"/>
        </w:numPr>
      </w:pPr>
      <w:r>
        <w:rPr>
          <w:b w:val="0"/>
          <w:i w:val="0"/>
        </w:rPr>
        <w:t>Implikasi eksekusinya harus tetap jelas agar sponsor dan tim delivery dapat menurunkan isi bab ini menjadi tindakan yang konkret.</w:t>
      </w:r>
    </w:p>
    <w:p>
      <w:pPr>
        <w:pStyle w:val="ListBullet"/>
        <w:spacing w:before="0" w:after="80"/>
        <w:numPr>
          <w:ilvl w:val="0"/>
          <w:numId w:val="21"/>
        </w:numPr>
      </w:pPr>
      <w:r>
        <w:rPr>
          <w:b w:val="0"/>
          <w:i w:val="0"/>
        </w:rPr>
        <w:t>Dengan pendekatan ini, narasi proposal tetap terhubung pada kebutuhan bisnis sekaligus tidak kehilangan kontrol implementasi.</w:t>
      </w:r>
    </w:p>
    <w:p>
      <w:r>
        <w:rPr>
          <w:b w:val="0"/>
          <w:i w:val="0"/>
        </w:rPr>
        <w:t>Secara praktis, hal ini membantu Adaro Energy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Adaro Energy. Artinya, isi bab tidak berhenti pada deskripsi, tetapi tetap menunjukkan keterkaitan antara keputusan kerja, KPI KPI outcome bisnis utama Adaro Energy bergerak positif dalam 4 bulan. | Kualitas operasi (incident, SLA, lead time) membaik dalam 4 bulan., bahasa operasional akuntabilitas, SPBE, dan konteks inisiatif yang sedang dijalankan.</w:t>
      </w:r>
    </w:p>
    <w:p>
      <w:r>
        <w:rPr>
          <w:b w:val="0"/>
          <w:i w:val="0"/>
        </w:rPr>
        <w:t>Penajaman tambahan ini memastikan bab tetap berguna untuk pengambilan keputusan Adaro Energy. Isi bab harus tetap menjelaskan implikasi kerja, konsekuensi pada KPI KPI outcome bisnis utama Adaro Energy bergerak positif dalam 4 bulan. | Kualitas operasi (incident, SLA, lead time) membaik dalam 4 bulan., dan bagaimana langkah eksekusinya dijaga tetap konsisten dengan istilah operasional akuntabilitas, SPBE.</w:t>
      </w:r>
    </w:p>
    <w:p>
      <w:r>
        <w:br w:type="page"/>
      </w:r>
    </w:p>
    <w:p>
      <w:pPr>
        <w:pStyle w:val="Heading1"/>
        <w:jc w:val="center"/>
      </w:pPr>
      <w:r>
        <w:rPr>
          <w:color w:val="727C70"/>
        </w:rPr>
        <w:t>BAB V – METODOLOGI</w:t>
      </w:r>
    </w:p>
    <w:p>
      <w:pPr>
        <w:pStyle w:val="Heading2"/>
      </w:pPr>
      <w:r>
        <w:rPr>
          <w:rFonts w:ascii="Arial" w:hAnsi="Arial"/>
          <w:b/>
          <w:color w:val="727C70"/>
        </w:rPr>
        <w:t>5.1 Alasan Pemilihan Metodologi</w:t>
      </w:r>
    </w:p>
    <w:p>
      <w:r>
        <w:rPr>
          <w:b w:val="0"/>
          <w:i w:val="0"/>
        </w:rPr>
        <w:t>Gelombang uji beban 6 menuntut</w:t>
      </w:r>
      <w:r>
        <w:rPr>
          <w:b/>
          <w:i w:val="0"/>
        </w:rPr>
        <w:t xml:space="preserve"> penguatan tata kelola delivery</w:t>
      </w:r>
      <w:r>
        <w:rPr>
          <w:b w:val="0"/>
          <w:i w:val="0"/>
        </w:rPr>
        <w:t>,</w:t>
      </w:r>
      <w:r>
        <w:rPr>
          <w:b/>
          <w:i w:val="0"/>
        </w:rPr>
        <w:t xml:space="preserve"> percepatan keputusan lintas unit</w:t>
      </w:r>
      <w:r>
        <w:rPr>
          <w:b w:val="0"/>
          <w:i w:val="0"/>
        </w:rPr>
        <w:t>, dan</w:t>
      </w:r>
      <w:r>
        <w:rPr>
          <w:b/>
          <w:i w:val="0"/>
        </w:rPr>
        <w:t xml:space="preserve"> roadmap eksekusi terukur</w:t>
      </w:r>
      <w:r>
        <w:rPr>
          <w:b w:val="0"/>
          <w:i w:val="0"/>
        </w:rPr>
        <w:t xml:space="preserve"> dalam 4 bulan. Metodologi</w:t>
      </w:r>
      <w:r>
        <w:rPr>
          <w:b/>
          <w:i w:val="0"/>
        </w:rPr>
        <w:t xml:space="preserve"> Visioning → Target Operating Model → Roadmap → Board Presentation</w:t>
      </w:r>
      <w:r>
        <w:rPr>
          <w:b w:val="0"/>
          <w:i w:val="0"/>
        </w:rPr>
        <w:t xml:space="preserve"> dipilih karena:</w:t>
      </w:r>
    </w:p>
    <w:p>
      <w:pPr>
        <w:pStyle w:val="ListNumber"/>
        <w:spacing w:before="0" w:after="80"/>
        <w:numPr>
          <w:ilvl w:val="0"/>
          <w:numId w:val="22"/>
        </w:numPr>
      </w:pPr>
      <w:r>
        <w:rPr>
          <w:b/>
          <w:i w:val="0"/>
        </w:rPr>
        <w:t>Kesesuaian dengan agenda digitalisasi Adaro</w:t>
      </w:r>
      <w:r>
        <w:rPr>
          <w:b w:val="0"/>
          <w:i w:val="0"/>
        </w:rPr>
        <w:t xml:space="preserve"> – perusahaan telah menyiapkan dana hingga Rp4 triliun untuk transformasi digital, sehingga diperlukan kerangka kerja yang terstruktur, terukur, dan dapat dipantau (instagram.com, 2026).</w:t>
      </w:r>
    </w:p>
    <w:p>
      <w:pPr>
        <w:pStyle w:val="ListNumber"/>
        <w:spacing w:before="0" w:after="80"/>
        <w:numPr>
          <w:ilvl w:val="0"/>
          <w:numId w:val="22"/>
        </w:numPr>
      </w:pPr>
      <w:r>
        <w:rPr>
          <w:b/>
          <w:i w:val="0"/>
        </w:rPr>
        <w:t>Fokus pada akuntabilitas &amp; SPBE</w:t>
      </w:r>
      <w:r>
        <w:rPr>
          <w:b w:val="0"/>
          <w:i w:val="0"/>
        </w:rPr>
        <w:t xml:space="preserve"> – integrasi standar TOGAF/ITIL/COBIT/ISO 27001 menjamin audit trail, transparansi, dan kepatuhan pada tata kelola layanan publik (Data Internal, 2026).</w:t>
      </w:r>
    </w:p>
    <w:p>
      <w:pPr>
        <w:pStyle w:val="ListNumber"/>
        <w:spacing w:before="0" w:after="80"/>
        <w:numPr>
          <w:ilvl w:val="0"/>
          <w:numId w:val="22"/>
        </w:numPr>
      </w:pPr>
      <w:r>
        <w:rPr>
          <w:b/>
          <w:i w:val="0"/>
        </w:rPr>
        <w:t>Keterpaduan bisnis‑teknologi</w:t>
      </w:r>
      <w:r>
        <w:rPr>
          <w:b w:val="0"/>
          <w:i w:val="0"/>
        </w:rPr>
        <w:t xml:space="preserve"> – fase Visioning mengidentifikasi kebutuhan pasar low‑carbon aluminium; TOM memetakan proses, peran, dan sistem yang mengubah keputusan menjadi aksi operasional.</w:t>
      </w:r>
    </w:p>
    <w:p>
      <w:pPr>
        <w:pStyle w:val="ListNumber"/>
        <w:spacing w:before="0" w:after="80"/>
        <w:numPr>
          <w:ilvl w:val="0"/>
          <w:numId w:val="22"/>
        </w:numPr>
      </w:pPr>
      <w:r>
        <w:rPr>
          <w:b/>
          <w:i w:val="0"/>
        </w:rPr>
        <w:t>Percepatan keputusan lintas unit</w:t>
      </w:r>
      <w:r>
        <w:rPr>
          <w:b w:val="0"/>
          <w:i w:val="0"/>
        </w:rPr>
        <w:t xml:space="preserve"> – Board Presentation menghasilkan artefak keputusan standar yang mengurangi lead time antar unit, sejalan dengan hubungan strategis Adaro‑PLN yang kini menjadi sorotan (facebook.com, 2026).</w:t>
      </w:r>
    </w:p>
    <w:p>
      <w:pPr>
        <w:pStyle w:val="ListNumber"/>
        <w:spacing w:before="0" w:after="80"/>
        <w:numPr>
          <w:ilvl w:val="0"/>
          <w:numId w:val="22"/>
        </w:numPr>
      </w:pPr>
      <w:r>
        <w:rPr>
          <w:b/>
          <w:i w:val="0"/>
        </w:rPr>
        <w:t>Keterukuran KPI</w:t>
      </w:r>
      <w:r>
        <w:rPr>
          <w:b w:val="0"/>
          <w:i w:val="0"/>
        </w:rPr>
        <w:t xml:space="preserve"> – metodologi empat fase secara eksplisit menghubungkan setiap deliverable dengan KPI blueprint: outcome bisnis positif, kualitas operasi (incident, SLA, lead time) meningkat, serta eksekusi on‑time/on‑budget/on‑scope dalam horizon 4 bulan.</w:t>
      </w:r>
    </w:p>
    <w:p>
      <w:r>
        <w:rPr>
          <w:b w:val="0"/>
          <w:i w:val="0"/>
        </w:rPr>
        <w:t>Dengan demikian, metodologi ini memberikan landasan</w:t>
      </w:r>
      <w:r>
        <w:rPr>
          <w:b/>
          <w:i w:val="0"/>
        </w:rPr>
        <w:t xml:space="preserve"> konsisten, terukur, dan dapat dipertanggungjawabkan</w:t>
      </w:r>
      <w:r>
        <w:rPr>
          <w:b w:val="0"/>
          <w:i w:val="0"/>
        </w:rPr>
        <w:t xml:space="preserve"> untuk mencapai target penguatan tata kelola dan akuntabilitas keputusan.</w:t>
      </w:r>
    </w:p>
    <w:p>
      <w:pPr>
        <w:pStyle w:val="Heading2"/>
      </w:pPr>
      <w:r>
        <w:rPr>
          <w:rFonts w:ascii="Arial" w:hAnsi="Arial"/>
          <w:b/>
          <w:color w:val="727C70"/>
        </w:rPr>
        <w:t>5.2 Langkah Kerja dengan Framework Terpilih</w:t>
      </w:r>
    </w:p>
    <w:p>
      <w:pPr>
        <w:pStyle w:val="ListBullet"/>
        <w:spacing w:before="0" w:after="80"/>
        <w:numPr>
          <w:ilvl w:val="0"/>
          <w:numId w:val="23"/>
        </w:numPr>
      </w:pPr>
      <w:r>
        <w:rPr>
          <w:b/>
          <w:i w:val="0"/>
        </w:rPr>
        <w:t>Fase 1: Visioning</w:t>
      </w:r>
    </w:p>
    <w:p>
      <w:pPr>
        <w:pStyle w:val="ListBullet"/>
        <w:spacing w:before="0" w:after="80"/>
        <w:numPr>
          <w:ilvl w:val="0"/>
          <w:numId w:val="23"/>
        </w:numPr>
      </w:pPr>
      <w:r>
        <w:rPr>
          <w:b w:val="0"/>
          <w:i/>
        </w:rPr>
        <w:t>Aktivitas</w:t>
      </w:r>
      <w:r>
        <w:rPr>
          <w:b w:val="0"/>
          <w:i w:val="0"/>
        </w:rPr>
        <w:t>: workshop lintas‑unit (bisnis, operasi, TI) + analisis kebutuhan pasar low‑carbon aluminium.</w:t>
      </w:r>
    </w:p>
    <w:p>
      <w:pPr>
        <w:pStyle w:val="ListBullet"/>
        <w:spacing w:before="0" w:after="80"/>
        <w:numPr>
          <w:ilvl w:val="0"/>
          <w:numId w:val="23"/>
        </w:numPr>
      </w:pPr>
      <w:r>
        <w:rPr>
          <w:b w:val="0"/>
          <w:i/>
        </w:rPr>
        <w:t>Output</w:t>
      </w:r>
      <w:r>
        <w:rPr>
          <w:b w:val="0"/>
          <w:i w:val="0"/>
        </w:rPr>
        <w:t>: Vision Statement, daftar prioritas strategis, matriks risiko awal (menyokong KPI outcome bisnis).</w:t>
      </w:r>
    </w:p>
    <w:p>
      <w:pPr>
        <w:pStyle w:val="ListBullet"/>
        <w:spacing w:before="0" w:after="80"/>
        <w:numPr>
          <w:ilvl w:val="0"/>
          <w:numId w:val="23"/>
        </w:numPr>
      </w:pPr>
      <w:r>
        <w:rPr>
          <w:b/>
          <w:i w:val="0"/>
        </w:rPr>
        <w:t>Fase 2: Target Operating Model (TOM)</w:t>
      </w:r>
    </w:p>
    <w:p>
      <w:pPr>
        <w:pStyle w:val="ListBullet"/>
        <w:spacing w:before="0" w:after="80"/>
        <w:numPr>
          <w:ilvl w:val="0"/>
          <w:numId w:val="23"/>
        </w:numPr>
      </w:pPr>
      <w:r>
        <w:rPr>
          <w:b w:val="0"/>
          <w:i/>
        </w:rPr>
        <w:t>Analisis proses</w:t>
      </w:r>
      <w:r>
        <w:rPr>
          <w:b w:val="0"/>
          <w:i w:val="0"/>
        </w:rPr>
        <w:t>: pemetaan end‑to‑end alur produksi, identifikasi bottleneck keputusan energi.</w:t>
      </w:r>
    </w:p>
    <w:p>
      <w:pPr>
        <w:pStyle w:val="ListBullet"/>
        <w:spacing w:before="0" w:after="80"/>
        <w:numPr>
          <w:ilvl w:val="0"/>
          <w:numId w:val="23"/>
        </w:numPr>
      </w:pPr>
      <w:r>
        <w:rPr>
          <w:b w:val="0"/>
          <w:i/>
        </w:rPr>
        <w:t>Desain peran &amp; tata kelola</w:t>
      </w:r>
      <w:r>
        <w:rPr>
          <w:b w:val="0"/>
          <w:i w:val="0"/>
        </w:rPr>
        <w:t>: RACI yang menekankan akuntabilitas, audit trail, dan integrasi SPBE.</w:t>
      </w:r>
    </w:p>
    <w:p>
      <w:pPr>
        <w:pStyle w:val="ListBullet"/>
        <w:spacing w:before="0" w:after="80"/>
        <w:numPr>
          <w:ilvl w:val="0"/>
          <w:numId w:val="23"/>
        </w:numPr>
      </w:pPr>
      <w:r>
        <w:rPr>
          <w:b w:val="0"/>
          <w:i/>
        </w:rPr>
        <w:t>Spesifikasi teknologi</w:t>
      </w:r>
      <w:r>
        <w:rPr>
          <w:b w:val="0"/>
          <w:i w:val="0"/>
        </w:rPr>
        <w:t>: rekomendasi integrasi data sharing dengan PLN serta platform layanan publik.</w:t>
      </w:r>
    </w:p>
    <w:p>
      <w:pPr>
        <w:pStyle w:val="ListBullet"/>
        <w:spacing w:before="0" w:after="80"/>
        <w:numPr>
          <w:ilvl w:val="0"/>
          <w:numId w:val="23"/>
        </w:numPr>
      </w:pPr>
      <w:r>
        <w:rPr>
          <w:b w:val="0"/>
          <w:i/>
        </w:rPr>
        <w:t>Output</w:t>
      </w:r>
      <w:r>
        <w:rPr>
          <w:b w:val="0"/>
          <w:i w:val="0"/>
        </w:rPr>
        <w:t>: Blueprint TOM lengkap (diagram proses, matriks RACI, katalog solusi TI).</w:t>
      </w:r>
    </w:p>
    <w:p>
      <w:pPr>
        <w:pStyle w:val="ListBullet"/>
        <w:spacing w:before="0" w:after="80"/>
        <w:numPr>
          <w:ilvl w:val="0"/>
          <w:numId w:val="23"/>
        </w:numPr>
      </w:pPr>
      <w:r>
        <w:rPr>
          <w:b/>
          <w:i w:val="0"/>
        </w:rPr>
        <w:t>Fase 3: Roadmap</w:t>
      </w:r>
    </w:p>
    <w:p>
      <w:pPr>
        <w:pStyle w:val="ListBullet"/>
        <w:spacing w:before="0" w:after="80"/>
        <w:numPr>
          <w:ilvl w:val="0"/>
          <w:numId w:val="23"/>
        </w:numPr>
      </w:pPr>
      <w:r>
        <w:rPr>
          <w:b w:val="0"/>
          <w:i/>
        </w:rPr>
        <w:t>Prioritisasi inisiatif</w:t>
      </w:r>
      <w:r>
        <w:rPr>
          <w:b w:val="0"/>
          <w:i w:val="0"/>
        </w:rPr>
        <w:t>: analisis nilai‑biaya vs dampak KPI (carbon intensity, SLA).</w:t>
      </w:r>
    </w:p>
    <w:p>
      <w:pPr>
        <w:pStyle w:val="ListBullet"/>
        <w:spacing w:before="0" w:after="80"/>
        <w:numPr>
          <w:ilvl w:val="0"/>
          <w:numId w:val="23"/>
        </w:numPr>
      </w:pPr>
      <w:r>
        <w:rPr>
          <w:b w:val="0"/>
          <w:i/>
        </w:rPr>
        <w:t>Penjadwalan</w:t>
      </w:r>
      <w:r>
        <w:rPr>
          <w:b w:val="0"/>
          <w:i w:val="0"/>
        </w:rPr>
        <w:t>: Gantt 4‑bulan dengan milestone “Decision Gate” tiap dua minggu, memastikan on‑time delivery.</w:t>
      </w:r>
    </w:p>
    <w:p>
      <w:pPr>
        <w:pStyle w:val="ListBullet"/>
        <w:spacing w:before="0" w:after="80"/>
        <w:numPr>
          <w:ilvl w:val="0"/>
          <w:numId w:val="23"/>
        </w:numPr>
      </w:pPr>
      <w:r>
        <w:rPr>
          <w:b w:val="0"/>
          <w:i/>
        </w:rPr>
        <w:t>Manajemen risiko</w:t>
      </w:r>
      <w:r>
        <w:rPr>
          <w:b w:val="0"/>
          <w:i w:val="0"/>
        </w:rPr>
        <w:t>: register risiko (mis. akses green financing) + mitigasi.</w:t>
      </w:r>
    </w:p>
    <w:p>
      <w:pPr>
        <w:pStyle w:val="ListBullet"/>
        <w:spacing w:before="0" w:after="80"/>
        <w:numPr>
          <w:ilvl w:val="0"/>
          <w:numId w:val="23"/>
        </w:numPr>
      </w:pPr>
      <w:r>
        <w:rPr>
          <w:b w:val="0"/>
          <w:i/>
        </w:rPr>
        <w:t>Output</w:t>
      </w:r>
      <w:r>
        <w:rPr>
          <w:b w:val="0"/>
          <w:i w:val="0"/>
        </w:rPr>
        <w:t>: Roadmap eksekusi terukur, paket investasi Rp4 triliun per fase, serta</w:t>
      </w:r>
    </w:p>
    <w:p>
      <w:r>
        <w:rPr>
          <w:b w:val="0"/>
          <w:i w:val="0"/>
        </w:rPr>
        <w:t>Untuk Adaro Energy, isi bab ini harus dibaca sebagai dasar keputusan kerja yang dapat ditindaklanjuti, bukan sekadar penjelasan konseptual. Karena itu, isi bab tetap diarahkan untuk menjaga relevansi terhadap KPI seperti KPI outcome bisnis utama Adaro Energy bergerak positif dalam 4 bulan. | Kualitas operasi (incident, SLA, lead time) membaik dalam 4 bulan. dan istilah kerja akuntabilitas, SPBE.</w:t>
      </w:r>
    </w:p>
    <w:p>
      <w:pPr>
        <w:pStyle w:val="ListBullet"/>
        <w:spacing w:before="0" w:after="80"/>
        <w:numPr>
          <w:ilvl w:val="0"/>
          <w:numId w:val="24"/>
        </w:numPr>
      </w:pPr>
      <w:r>
        <w:rPr>
          <w:b w:val="0"/>
          <w:i w:val="0"/>
        </w:rPr>
        <w:t>Implikasi eksekusinya harus tetap jelas agar sponsor dan tim delivery dapat menurunkan isi bab ini menjadi tindakan yang konkret.</w:t>
      </w:r>
    </w:p>
    <w:p>
      <w:pPr>
        <w:pStyle w:val="ListBullet"/>
        <w:spacing w:before="0" w:after="80"/>
        <w:numPr>
          <w:ilvl w:val="0"/>
          <w:numId w:val="24"/>
        </w:numPr>
      </w:pPr>
      <w:r>
        <w:rPr>
          <w:b w:val="0"/>
          <w:i w:val="0"/>
        </w:rPr>
        <w:t>Dengan pendekatan ini, narasi proposal tetap terhubung pada kebutuhan bisnis sekaligus tidak kehilangan kontrol implementasi.</w:t>
      </w:r>
    </w:p>
    <w:p>
      <w:r>
        <w:rPr>
          <w:b w:val="0"/>
          <w:i w:val="0"/>
        </w:rPr>
        <w:t>Secara praktis, hal ini membantu Adaro Energy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Adaro Energy. Artinya, isi bab tidak berhenti pada deskripsi, tetapi tetap menunjukkan keterkaitan antara keputusan kerja, KPI KPI outcome bisnis utama Adaro Energy bergerak positif dalam 4 bulan. | Kualitas operasi (incident, SLA, lead time) membaik dalam 4 bulan., bahasa operasional akuntabilitas, SPBE, dan konteks inisiatif yang sedang dijalankan.</w:t>
      </w:r>
    </w:p>
    <w:p>
      <w:r>
        <w:rPr>
          <w:b w:val="0"/>
          <w:i w:val="0"/>
        </w:rPr>
        <w:t>Penajaman tambahan ini memastikan bab tetap berguna untuk pengambilan keputusan Adaro Energy. Isi bab harus tetap menjelaskan implikasi kerja, konsekuensi pada KPI KPI outcome bisnis utama Adaro Energy bergerak positif dalam 4 bulan. | Kualitas operasi (incident, SLA, lead time) membaik dalam 4 bulan., dan bagaimana langkah eksekusinya dijaga tetap konsisten dengan istilah operasional akuntabilitas, SPBE.</w:t>
      </w:r>
    </w:p>
    <w:p>
      <w:r>
        <w:br w:type="page"/>
      </w:r>
    </w:p>
    <w:p>
      <w:pPr>
        <w:pStyle w:val="Heading1"/>
        <w:jc w:val="center"/>
      </w:pPr>
      <w:r>
        <w:rPr>
          <w:color w:val="727C70"/>
        </w:rPr>
        <w:t>BAB VI – SOLUTION DESIGN</w:t>
      </w:r>
    </w:p>
    <w:p>
      <w:r>
        <w:rPr>
          <w:b w:val="0"/>
          <w:i w:val="0"/>
        </w:rPr>
        <w:t>Solution design untuk Adaro Energy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6: penguatan tata kelola delivery, percepatan keputusan lintas unit, dan penyusunan roadmap eksekusi yang lebih... secara nyata. Dengan pendekatan ini, desain solusi tetap terhubung ke KPI seperti KPI outcome bisnis utama Adaro Energy bergerak positif dalam 4 bulan. | Kualitas operasi (incident, SLA, lead time) membaik dalam 4 bulan. | Efektivitas eksekusi proyek (on-time, on-budget, on-scope) tercapai dalam 4 bulan., sekaligus menjaga nilai proposal tetap terasa konkret dan dapat dijalankan (Data Internal, 2026).</w:t>
      </w:r>
    </w:p>
    <w:p>
      <w:pPr>
        <w:pStyle w:val="Heading2"/>
      </w:pPr>
      <w:r>
        <w:rPr>
          <w:rFonts w:ascii="Arial" w:hAnsi="Arial"/>
          <w:b/>
          <w:color w:val="727C70"/>
        </w:rPr>
        <w:t>6.1 Solusi/Output Metodologi yang Dibangun</w:t>
      </w:r>
    </w:p>
    <w:p>
      <w:r>
        <w:rPr>
          <w:b w:val="0"/>
          <w:i w:val="0"/>
        </w:rPr>
        <w:t>Solusi yang ditawarkan diarahkan untuk membantu Adaro Energy bergerak dari kebutuhan directive menuju kondisi target yang lebih terukur. Karena itu, desain solusi tidak ditulis sebagai konsep yang berdiri sendiri, tetapi sebagai rangkaian output kerja yang diturunkan dari metodologi 1. Visioning 2. Target Operating Model 3. Roadmap 4. Board Presentation. - Output utama dirancang agar keputusan sponsor, kontrol delivery, dan koordinasi stakeholder tetap bergerak dengan istilah kerja akuntabilitas, SPBE, tata kelola. - Target state yang dibangun harus tetap selaras dengan manfaat yang dijanjikan, terutama arah transformasi yang lebih fokus, prioritas investasi yang lebih defensible, roadmap eksekusi yang lebih mudah disetujui. - Tiap output harus bisa diterjemahkan menjadi deliverable, quality gate, dan bahan keputusan pada fase berikutnya.</w:t>
      </w:r>
    </w:p>
    <w:p>
      <w:pPr>
        <w:pStyle w:val="Heading2"/>
      </w:pPr>
      <w:r>
        <w:rPr>
          <w:rFonts w:ascii="Arial" w:hAnsi="Arial"/>
          <w:b/>
          <w:color w:val="727C70"/>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target operating model, roadmap, dan decision paper</w:t>
            </w:r>
          </w:p>
        </w:tc>
        <w:tc>
          <w:tcPr>
            <w:tcW w:type="dxa" w:w="3120"/>
          </w:tcPr>
          <w:p>
            <w:r>
              <w:rPr>
                <w:b w:val="0"/>
                <w:i w:val="0"/>
              </w:rPr>
              <w:t>mengarahkan sponsor pada keputusan strategi yang lebih defensible</w:t>
            </w:r>
          </w:p>
        </w:tc>
      </w:tr>
      <w:tr>
        <w:tc>
          <w:tcPr>
            <w:tcW w:type="dxa" w:w="3120"/>
          </w:tcPr>
          <w:p>
            <w:r>
              <w:rPr>
                <w:b w:val="0"/>
                <w:i w:val="0"/>
              </w:rPr>
              <w:t>Pendampingan</w:t>
            </w:r>
          </w:p>
        </w:tc>
        <w:tc>
          <w:tcPr>
            <w:tcW w:type="dxa" w:w="3120"/>
          </w:tcPr>
          <w:p>
            <w:r>
              <w:rPr>
                <w:b w:val="0"/>
                <w:i w:val="0"/>
              </w:rPr>
              <w:t>facilitation steering discussion dan penajaman opsi strategi</w:t>
            </w:r>
          </w:p>
        </w:tc>
        <w:tc>
          <w:tcPr>
            <w:tcW w:type="dxa" w:w="3120"/>
          </w:tcPr>
          <w:p>
            <w:r>
              <w:rPr>
                <w:b w:val="0"/>
                <w:i w:val="0"/>
              </w:rPr>
              <w:t>membantu sinkronisasi bisnis, teknologi, dan tata kelola</w:t>
            </w:r>
          </w:p>
        </w:tc>
      </w:tr>
      <w:tr>
        <w:tc>
          <w:tcPr>
            <w:tcW w:type="dxa" w:w="3120"/>
          </w:tcPr>
          <w:p>
            <w:r>
              <w:rPr>
                <w:b w:val="0"/>
                <w:i w:val="0"/>
              </w:rPr>
              <w:t>Kegiatan</w:t>
            </w:r>
          </w:p>
        </w:tc>
        <w:tc>
          <w:tcPr>
            <w:tcW w:type="dxa" w:w="3120"/>
          </w:tcPr>
          <w:p>
            <w:r>
              <w:rPr>
                <w:b w:val="0"/>
                <w:i w:val="0"/>
              </w:rPr>
              <w:t>visioning workshop dan review roadmap</w:t>
            </w:r>
          </w:p>
        </w:tc>
        <w:tc>
          <w:tcPr>
            <w:tcW w:type="dxa" w:w="3120"/>
          </w:tcPr>
          <w:p>
            <w:r>
              <w:rPr>
                <w:b w:val="0"/>
                <w:i w:val="0"/>
              </w:rPr>
              <w:t>membentuk urutan prioritas yang realistis</w:t>
            </w:r>
          </w:p>
        </w:tc>
      </w:tr>
    </w:tbl>
    <w:p>
      <w:r>
        <w:rPr>
          <w:b w:val="0"/>
          <w:i w:val="0"/>
        </w:rPr>
        <w:t>Dengan struktur keluaran seperti ini, Adaro Energy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5"/>
        </w:numPr>
      </w:pPr>
      <w:r>
        <w:rPr>
          <w:b w:val="0"/>
          <w:i w:val="0"/>
        </w:rPr>
        <w:t>Prioritas implementasi untuk Adaro Energy diarahkan agar tetap selaras dengan KPI outcome bisnis utama Adaro Energy bergerak positif dalam 4 bulan. | Kualitas operasi (incident, SLA, lead time) membaik dalam 4 bulan..</w:t>
      </w:r>
    </w:p>
    <w:p>
      <w:pPr>
        <w:pStyle w:val="ListNumber"/>
        <w:spacing w:before="0" w:after="80"/>
        <w:numPr>
          <w:ilvl w:val="0"/>
          <w:numId w:val="25"/>
        </w:numPr>
      </w:pPr>
      <w:r>
        <w:rPr>
          <w:b w:val="0"/>
          <w:i w:val="0"/>
        </w:rPr>
        <w:t>Keputusan delivery dan quality gate pada bab ini harus konsisten dengan istilah kerja akuntabilitas, SPBE.</w:t>
      </w:r>
    </w:p>
    <w:p>
      <w:r>
        <w:br w:type="page"/>
      </w:r>
    </w:p>
    <w:p>
      <w:pPr>
        <w:pStyle w:val="Heading1"/>
        <w:jc w:val="center"/>
      </w:pPr>
      <w:r>
        <w:rPr>
          <w:color w:val="727C70"/>
        </w:rPr>
        <w:t>BAB VII – RUANG LINGKUP PEKERJAAN</w:t>
      </w:r>
    </w:p>
    <w:p>
      <w:r>
        <w:rPr>
          <w:b w:val="0"/>
          <w:i w:val="0"/>
        </w:rPr>
        <w:t>Ruang lingkup pekerjaan untuk Adaro Energy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27C70"/>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6: penguatan tata kelola delivery, percepatan keputusan... dan ruang problem yang direspons sudah selaras</w:t>
            </w:r>
          </w:p>
        </w:tc>
        <w:tc>
          <w:tcPr>
            <w:tcW w:type="dxa" w:w="2340"/>
          </w:tcPr>
          <w:p>
            <w:r>
              <w:rPr>
                <w:b w:val="0"/>
                <w:i w:val="0"/>
              </w:rPr>
              <w:t>target operating model, roadmap, dan decision paper</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6: prioritas kerja masih tersebar, koordinasi bisnis-teknologi belum konsisten... ke solusi, prioritas, dan kontrol delivery</w:t>
            </w:r>
          </w:p>
        </w:tc>
        <w:tc>
          <w:tcPr>
            <w:tcW w:type="dxa" w:w="2340"/>
          </w:tcPr>
          <w:p>
            <w:r>
              <w:rPr>
                <w:b w:val="0"/>
                <w:i w:val="0"/>
              </w:rPr>
              <w:t>facilitation steering discussion dan penajaman opsi strategi</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visioning workshop dan review roadmap</w:t>
            </w:r>
          </w:p>
        </w:tc>
        <w:tc>
          <w:tcPr>
            <w:tcW w:type="dxa" w:w="2340"/>
          </w:tcPr>
          <w:p>
            <w:r>
              <w:rPr>
                <w:b w:val="0"/>
                <w:i w:val="0"/>
              </w:rPr>
              <w:t>jadwal forum menyesuaikan kalender kerja dan kecepatan keputusan sponsor</w:t>
            </w:r>
          </w:p>
        </w:tc>
      </w:tr>
    </w:tbl>
    <w:p>
      <w:r>
        <w:rPr>
          <w:b w:val="0"/>
          <w:i w:val="0"/>
        </w:rPr>
        <w:t>Ruang lingkup di atas dirancang agar tetap fokus pada kebutuhan directive dan tidak melebar ke area yang belum menjadi prioritas keputusan Adaro Energy. Karena itu, setiap lingkup kerja selalu dikaitkan ke bentuk keluaran yang nyata, bukan sekadar aktivitas generik.</w:t>
      </w:r>
    </w:p>
    <w:p>
      <w:pPr>
        <w:pStyle w:val="Heading2"/>
      </w:pPr>
      <w:r>
        <w:rPr>
          <w:rFonts w:ascii="Arial" w:hAnsi="Arial"/>
          <w:b/>
          <w:color w:val="727C70"/>
        </w:rPr>
        <w:t>7.2 Batasan Pekerjaan dan Asumsi</w:t>
      </w:r>
    </w:p>
    <w:p>
      <w:pPr>
        <w:pStyle w:val="ListNumber"/>
        <w:spacing w:before="0" w:after="80"/>
        <w:numPr>
          <w:ilvl w:val="0"/>
          <w:numId w:val="26"/>
        </w:numPr>
      </w:pPr>
      <w:r>
        <w:rPr>
          <w:b w:val="0"/>
          <w:i w:val="0"/>
        </w:rPr>
        <w:t>Prioritas implementasi untuk Adaro Energy diarahkan agar tetap selaras dengan KPI outcome bisnis utama Adaro Energy bergerak positif dalam 4 bulan. | Kualitas operasi (incident, SLA, lead time) membaik dalam 4 bulan..</w:t>
      </w:r>
    </w:p>
    <w:p>
      <w:pPr>
        <w:pStyle w:val="ListNumber"/>
        <w:spacing w:before="0" w:after="80"/>
        <w:numPr>
          <w:ilvl w:val="0"/>
          <w:numId w:val="26"/>
        </w:numPr>
      </w:pPr>
      <w:r>
        <w:rPr>
          <w:b w:val="0"/>
          <w:i w:val="0"/>
        </w:rPr>
        <w:t>Keputusan delivery dan quality gate pada bab ini harus konsisten dengan istilah kerja akuntabilitas, SPBE. - Konteks Adaro Energy tetap menjadi acuan utama agar isi bab tidak bergeser menjadi generik. - Setiap butir pada bab ini harus bisa ditelusuri ke KPI, risiko, atau keputusan kerja yang nyata.</w:t>
      </w:r>
    </w:p>
    <w:p>
      <w:r>
        <w:br w:type="page"/>
      </w:r>
    </w:p>
    <w:p>
      <w:pPr>
        <w:pStyle w:val="Heading1"/>
        <w:jc w:val="center"/>
      </w:pPr>
      <w:r>
        <w:rPr>
          <w:color w:val="727C70"/>
        </w:rPr>
        <w:t>BAB VIII – TIMELINE PEKERJAAN</w:t>
      </w:r>
    </w:p>
    <w:p>
      <w:r>
        <w:drawing>
          <wp:inline xmlns:a="http://schemas.openxmlformats.org/drawingml/2006/main" xmlns:pic="http://schemas.openxmlformats.org/drawingml/2006/picture">
            <wp:extent cx="5486400" cy="25421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42162"/>
                    </a:xfrm>
                    <a:prstGeom prst="rect"/>
                  </pic:spPr>
                </pic:pic>
              </a:graphicData>
            </a:graphic>
          </wp:inline>
        </w:drawing>
      </w:r>
    </w:p>
    <w:p>
      <w:r>
        <w:rPr>
          <w:b w:val="0"/>
          <w:i w:val="0"/>
        </w:rPr>
        <w:t>Untuk Adaro Energy, timeline pekerjaan disusun agar inisiatif Gelombang uji beban 6: penguatan tata kelola delivery, percepatan keputusan lintas unit, dan penyusunan roadmap eksekusi yang lebih... dapat bergerak stabil selama 4 Bulan.</w:t>
      </w:r>
    </w:p>
    <w:p>
      <w:pPr>
        <w:pStyle w:val="Heading2"/>
      </w:pPr>
      <w:r>
        <w:rPr>
          <w:rFonts w:ascii="Arial" w:hAnsi="Arial"/>
          <w:b/>
          <w:color w:val="727C70"/>
        </w:rPr>
        <w:t>8.1 Aktivitas per Fase</w:t>
      </w:r>
    </w:p>
    <w:p>
      <w:pPr>
        <w:pStyle w:val="ListNumber"/>
        <w:spacing w:before="0" w:after="80"/>
        <w:numPr>
          <w:ilvl w:val="0"/>
          <w:numId w:val="27"/>
        </w:numPr>
      </w:pPr>
      <w:r>
        <w:rPr>
          <w:b/>
          <w:i w:val="0"/>
        </w:rPr>
        <w:t>Business Alignment</w:t>
      </w:r>
      <w:r>
        <w:rPr>
          <w:b w:val="0"/>
          <w:i w:val="0"/>
        </w:rPr>
        <w:t xml:space="preserve"> (Bulan 1): Sinkronkan sasaran bisnis, sponsor, dan outcome yang diharapkan. Output utama: alignment charter dan target state.</w:t>
      </w:r>
    </w:p>
    <w:p>
      <w:pPr>
        <w:pStyle w:val="ListNumber"/>
        <w:spacing w:before="0" w:after="80"/>
        <w:numPr>
          <w:ilvl w:val="0"/>
          <w:numId w:val="27"/>
        </w:numPr>
      </w:pPr>
      <w:r>
        <w:rPr>
          <w:b/>
          <w:i w:val="0"/>
        </w:rPr>
        <w:t>Target Design</w:t>
      </w:r>
      <w:r>
        <w:rPr>
          <w:b w:val="0"/>
          <w:i w:val="0"/>
        </w:rPr>
        <w:t xml:space="preserve"> (Bulan 2): Rancang operating model, prinsip arsitektur, dan opsi strategi. Output utama: target operating model.</w:t>
      </w:r>
    </w:p>
    <w:p>
      <w:pPr>
        <w:pStyle w:val="ListNumber"/>
        <w:spacing w:before="0" w:after="80"/>
        <w:numPr>
          <w:ilvl w:val="0"/>
          <w:numId w:val="27"/>
        </w:numPr>
      </w:pPr>
      <w:r>
        <w:rPr>
          <w:b/>
          <w:i w:val="0"/>
        </w:rPr>
        <w:t>Roadmap Prioritization</w:t>
      </w:r>
      <w:r>
        <w:rPr>
          <w:b w:val="0"/>
          <w:i w:val="0"/>
        </w:rPr>
        <w:t xml:space="preserve"> (Bulan 3): Urutkan inisiatif berdasarkan manfaat, risiko, dan kesiapan. Output utama: roadmap prioritas dan sequencing.</w:t>
      </w:r>
    </w:p>
    <w:p>
      <w:pPr>
        <w:pStyle w:val="ListNumber"/>
        <w:spacing w:before="0" w:after="80"/>
        <w:numPr>
          <w:ilvl w:val="0"/>
          <w:numId w:val="27"/>
        </w:numPr>
      </w:pPr>
      <w:r>
        <w:rPr>
          <w:b/>
          <w:i w:val="0"/>
        </w:rPr>
        <w:t>Executive Closure</w:t>
      </w:r>
      <w:r>
        <w:rPr>
          <w:b w:val="0"/>
          <w:i w:val="0"/>
        </w:rPr>
        <w:t xml:space="preserve"> (Bulan 4): Finalisasi keputusan eksekutif dan arahan mobilisasi. Output utama: board-ready recommendation.</w:t>
      </w:r>
    </w:p>
    <w:p>
      <w:pPr>
        <w:pStyle w:val="Heading2"/>
      </w:pPr>
      <w:r>
        <w:rPr>
          <w:rFonts w:ascii="Arial" w:hAnsi="Arial"/>
          <w:b/>
          <w:color w:val="727C70"/>
        </w:rPr>
        <w:t>8.2 Waktu Pelaksanaan dan Deliverable Tiap Fase</w:t>
      </w:r>
    </w:p>
    <w:p>
      <w:r>
        <w:rPr>
          <w:b w:val="0"/>
          <w:i w:val="0"/>
        </w:rPr>
        <w:t>Pengaturan waktu tidak hanya membagi durasi, tetapi memastikan setiap deliverable langsung mendukung kebutuhan directive dan memberi bahan keputusan yang rapi pada forum pengarah proyek Adaro Energy.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Business Alignment</w:t>
            </w:r>
          </w:p>
        </w:tc>
        <w:tc>
          <w:tcPr>
            <w:tcW w:type="dxa" w:w="2340"/>
          </w:tcPr>
          <w:p>
            <w:r>
              <w:rPr>
                <w:b w:val="0"/>
                <w:i w:val="0"/>
              </w:rPr>
              <w:t>Bulan 1</w:t>
            </w:r>
          </w:p>
        </w:tc>
        <w:tc>
          <w:tcPr>
            <w:tcW w:type="dxa" w:w="2340"/>
          </w:tcPr>
          <w:p>
            <w:r>
              <w:rPr>
                <w:b w:val="0"/>
                <w:i w:val="0"/>
              </w:rPr>
              <w:t>alignment charter dan target state</w:t>
            </w:r>
          </w:p>
        </w:tc>
        <w:tc>
          <w:tcPr>
            <w:tcW w:type="dxa" w:w="2340"/>
          </w:tcPr>
          <w:p>
            <w:r>
              <w:rPr>
                <w:b w:val="0"/>
                <w:i w:val="0"/>
              </w:rPr>
              <w:t>Menjaga progres directive</w:t>
            </w:r>
          </w:p>
        </w:tc>
      </w:tr>
      <w:tr>
        <w:tc>
          <w:tcPr>
            <w:tcW w:type="dxa" w:w="2340"/>
          </w:tcPr>
          <w:p>
            <w:r>
              <w:rPr>
                <w:b w:val="0"/>
                <w:i w:val="0"/>
              </w:rPr>
              <w:t>Target Design</w:t>
            </w:r>
          </w:p>
        </w:tc>
        <w:tc>
          <w:tcPr>
            <w:tcW w:type="dxa" w:w="2340"/>
          </w:tcPr>
          <w:p>
            <w:r>
              <w:rPr>
                <w:b w:val="0"/>
                <w:i w:val="0"/>
              </w:rPr>
              <w:t>Bulan 2</w:t>
            </w:r>
          </w:p>
        </w:tc>
        <w:tc>
          <w:tcPr>
            <w:tcW w:type="dxa" w:w="2340"/>
          </w:tcPr>
          <w:p>
            <w:r>
              <w:rPr>
                <w:b w:val="0"/>
                <w:i w:val="0"/>
              </w:rPr>
              <w:t>target operating model</w:t>
            </w:r>
          </w:p>
        </w:tc>
        <w:tc>
          <w:tcPr>
            <w:tcW w:type="dxa" w:w="2340"/>
          </w:tcPr>
          <w:p>
            <w:r>
              <w:rPr>
                <w:b w:val="0"/>
                <w:i w:val="0"/>
              </w:rPr>
              <w:t>Menjaga progres directive</w:t>
            </w:r>
          </w:p>
        </w:tc>
      </w:tr>
      <w:tr>
        <w:tc>
          <w:tcPr>
            <w:tcW w:type="dxa" w:w="2340"/>
          </w:tcPr>
          <w:p>
            <w:r>
              <w:rPr>
                <w:b w:val="0"/>
                <w:i w:val="0"/>
              </w:rPr>
              <w:t>Roadmap Prioritization</w:t>
            </w:r>
          </w:p>
        </w:tc>
        <w:tc>
          <w:tcPr>
            <w:tcW w:type="dxa" w:w="2340"/>
          </w:tcPr>
          <w:p>
            <w:r>
              <w:rPr>
                <w:b w:val="0"/>
                <w:i w:val="0"/>
              </w:rPr>
              <w:t>Bulan 3</w:t>
            </w:r>
          </w:p>
        </w:tc>
        <w:tc>
          <w:tcPr>
            <w:tcW w:type="dxa" w:w="2340"/>
          </w:tcPr>
          <w:p>
            <w:r>
              <w:rPr>
                <w:b w:val="0"/>
                <w:i w:val="0"/>
              </w:rPr>
              <w:t>roadmap prioritas dan sequencing</w:t>
            </w:r>
          </w:p>
        </w:tc>
        <w:tc>
          <w:tcPr>
            <w:tcW w:type="dxa" w:w="2340"/>
          </w:tcPr>
          <w:p>
            <w:r>
              <w:rPr>
                <w:b w:val="0"/>
                <w:i w:val="0"/>
              </w:rPr>
              <w:t>Menjaga progres directive</w:t>
            </w:r>
          </w:p>
        </w:tc>
      </w:tr>
      <w:tr>
        <w:tc>
          <w:tcPr>
            <w:tcW w:type="dxa" w:w="2340"/>
          </w:tcPr>
          <w:p>
            <w:r>
              <w:rPr>
                <w:b w:val="0"/>
                <w:i w:val="0"/>
              </w:rPr>
              <w:t>Executive Closure</w:t>
            </w:r>
          </w:p>
        </w:tc>
        <w:tc>
          <w:tcPr>
            <w:tcW w:type="dxa" w:w="2340"/>
          </w:tcPr>
          <w:p>
            <w:r>
              <w:rPr>
                <w:b w:val="0"/>
                <w:i w:val="0"/>
              </w:rPr>
              <w:t>Bulan 4</w:t>
            </w:r>
          </w:p>
        </w:tc>
        <w:tc>
          <w:tcPr>
            <w:tcW w:type="dxa" w:w="2340"/>
          </w:tcPr>
          <w:p>
            <w:r>
              <w:rPr>
                <w:b w:val="0"/>
                <w:i w:val="0"/>
              </w:rPr>
              <w:t>board-ready recommendation</w:t>
            </w:r>
          </w:p>
        </w:tc>
        <w:tc>
          <w:tcPr>
            <w:tcW w:type="dxa" w:w="2340"/>
          </w:tcPr>
          <w:p>
            <w:r>
              <w:rPr>
                <w:b w:val="0"/>
                <w:i w:val="0"/>
              </w:rPr>
              <w:t>Menjaga progres directive</w:t>
            </w:r>
          </w:p>
        </w:tc>
      </w:tr>
    </w:tbl>
    <w:p>
      <w:r>
        <w:rPr>
          <w:b w:val="0"/>
          <w:i w:val="0"/>
        </w:rPr>
        <w:t>Penjadwalan tidak hanya membagi durasi 4 Bulan ke dalam fase, tetapi juga memastikan dependensi, keputusan sponsor, dan kesiapan stakeholder bergerak dalam ritme yang sama. Untuk Adaro Energy, pengaturan ini penting agar progres tidak sekadar terlihat aktif, melainkan benar-benar menjaga jalur pencapaian KPI seperti KPI outcome bisnis utama Adaro Energy bergerak positif dalam 4 bulan. - Konteks Adaro Energy tetap menjadi acuan utama agar isi bab tidak bergeser menjadi generik. - Setiap butir pada bab ini harus bisa ditelusuri ke KPI, risiko, atau keputusan kerja yang nyata.</w:t>
      </w:r>
    </w:p>
    <w:p>
      <w:r>
        <w:br w:type="page"/>
      </w:r>
    </w:p>
    <w:p>
      <w:pPr>
        <w:pStyle w:val="Heading1"/>
        <w:jc w:val="center"/>
      </w:pPr>
      <w:r>
        <w:rPr>
          <w:color w:val="727C70"/>
        </w:rPr>
        <w:t>BAB IX – TATA KELOLA PROYEK</w:t>
      </w:r>
    </w:p>
    <w:p>
      <w:r>
        <w:rPr>
          <w:b w:val="0"/>
          <w:i w:val="0"/>
        </w:rPr>
        <w:t>Tata kelola proyek untuk Adaro Energy dirancang agar keputusan strategis, kontrol eksekusi, dan penanganan risiko berjalan dalam satu sistem kerja yang konsisten. Fokusnya adalah menjaga gelombang uji beban 6: penguatan tata kelola delivery, percepatan keputusan lintas unit, dan penyusunan roadmap eksekusi yang lebih...</w:t>
      </w:r>
    </w:p>
    <w:p>
      <w:pPr>
        <w:pStyle w:val="Heading2"/>
      </w:pPr>
      <w:r>
        <w:rPr>
          <w:rFonts w:ascii="Arial" w:hAnsi="Arial"/>
          <w:b/>
          <w:color w:val="727C70"/>
        </w:rPr>
        <w:t>9.1 Mekanisme Pengambilan Keputusan</w:t>
      </w:r>
    </w:p>
    <w:p>
      <w:pPr>
        <w:pStyle w:val="ListNumber"/>
        <w:spacing w:before="0" w:after="80"/>
        <w:numPr>
          <w:ilvl w:val="0"/>
          <w:numId w:val="28"/>
        </w:numPr>
      </w:pPr>
      <w:r>
        <w:rPr>
          <w:b/>
          <w:i w:val="0"/>
        </w:rPr>
        <w:t>Steering Committee</w:t>
      </w:r>
      <w:r>
        <w:rPr>
          <w:b w:val="0"/>
          <w:i w:val="0"/>
        </w:rPr>
        <w:t xml:space="preserve"> menetapkan arah, prioritas, dan keputusan yang berdampak pada scope, biaya, atau timeline program Adaro Energy.</w:t>
      </w:r>
    </w:p>
    <w:p>
      <w:pPr>
        <w:pStyle w:val="ListNumber"/>
        <w:spacing w:before="0" w:after="80"/>
        <w:numPr>
          <w:ilvl w:val="0"/>
          <w:numId w:val="28"/>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28"/>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28"/>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27C70"/>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Adaro Energy, pengendalian semacam ini penting karena program gelombang uji beban 6: penguatan tata kelola delivery, percepatan keputusan lintas unit, dan penyusunan roadmap eksekusi yang lebih... berpotensi melibatkan banyak dependency dan keputusan cepat.</w:t>
      </w:r>
    </w:p>
    <w:p>
      <w:r>
        <w:rPr>
          <w:b w:val="0"/>
          <w:i w:val="0"/>
        </w:rPr>
        <w:t>Untuk Adaro Energy, isi bab ini harus dibaca sebagai dasar keputusan kerja yang dapat ditindaklanjuti, bukan sekadar penjelasan konseptual. Karena itu, isi bab tetap diarahkan untuk menjaga relevansi terhadap KPI seperti KPI outcome bisnis utama Adaro Energy bergerak positif dalam 4 bulan. - Konteks Adaro Energy tetap menjadi acuan utama agar isi bab tidak bergeser menjadi generik. - Setiap butir pada bab ini harus bisa ditelusuri ke KPI, risiko, atau keputusan kerja yang nyata.</w:t>
      </w:r>
    </w:p>
    <w:p>
      <w:r>
        <w:rPr>
          <w:b w:val="0"/>
          <w:i w:val="0"/>
        </w:rPr>
        <w:t>Untuk Adaro Energy, isi bab ini harus dibaca sebagai dasar keputusan kerja yang dapat ditindaklanjuti, bukan sekadar penjelasan konseptual. Karena itu, isi bab tetap diarahkan untuk menjaga relevansi terhadap KPI seperti KPI outcome bisnis utama Adaro Energy bergerak positif dalam 4 bulan. | Kualitas operasi (incident, SLA, lead time) membaik dalam 4 bulan. dan istilah kerja akuntabilitas, SPBE.</w:t>
      </w:r>
    </w:p>
    <w:p>
      <w:r>
        <w:br w:type="page"/>
      </w:r>
    </w:p>
    <w:p>
      <w:pPr>
        <w:pStyle w:val="Heading1"/>
        <w:jc w:val="center"/>
      </w:pPr>
      <w:r>
        <w:rPr>
          <w:color w:val="727C70"/>
        </w:rPr>
        <w:t>BAB X – PROFIL PERUSAHAAN</w:t>
      </w:r>
    </w:p>
    <w:p>
      <w:r>
        <w:rPr>
          <w:b w:val="0"/>
          <w:i w:val="0"/>
        </w:rPr>
        <w:t>Profil perusahaan pada proposal ini tidak dimaksudkan sebagai brosur umum, melainkan sebagai bukti bahwa Inixindo Jogja memiliki modal kerja yang relevan untuk membantu Adaro Energy. Yang ditekankan bukan hanya deskripsi perusahaan, tetapi keterkaitan antara kapabilitas, pengalaman serupa, dan bentuk dukungan yang dibutuhkan oleh inisiatif gelombang uji beban 6: penguatan tata kelola delivery, percepatan keputusan lintas unit, dan penyusunan roadmap eksekusi yang lebih...</w:t>
      </w:r>
    </w:p>
    <w:p>
      <w:pPr>
        <w:pStyle w:val="Heading2"/>
      </w:pPr>
      <w:r>
        <w:rPr>
          <w:rFonts w:ascii="Arial" w:hAnsi="Arial"/>
          <w:b/>
          <w:color w:val="727C70"/>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akuntabilitas, SPBE, tata kelola.</w:t>
      </w:r>
    </w:p>
    <w:p>
      <w:pPr>
        <w:pStyle w:val="Heading2"/>
      </w:pPr>
      <w:r>
        <w:rPr>
          <w:rFonts w:ascii="Arial" w:hAnsi="Arial"/>
          <w:b/>
          <w:color w:val="727C70"/>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strategic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Visioning 2. Target Operating Model 3. Roadmap 4. Board Presentation, 1x Project Director, 1x Enterprise Architect</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Adaro Energy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29"/>
        </w:numPr>
      </w:pPr>
      <w:r>
        <w:rPr>
          <w:b w:val="0"/>
          <w:i w:val="0"/>
        </w:rPr>
        <w:t>Prioritas implementasi untuk Adaro Energy diarahkan agar tetap selaras dengan KPI outcome bisnis utama Adaro Energy bergerak positif dalam 4 bulan. | Kualitas operasi (incident, SLA, lead time) membaik dalam 4 bulan..</w:t>
      </w:r>
    </w:p>
    <w:p>
      <w:pPr>
        <w:pStyle w:val="ListNumber"/>
        <w:spacing w:before="0" w:after="80"/>
        <w:numPr>
          <w:ilvl w:val="0"/>
          <w:numId w:val="29"/>
        </w:numPr>
      </w:pPr>
      <w:r>
        <w:rPr>
          <w:b w:val="0"/>
          <w:i w:val="0"/>
        </w:rPr>
        <w:t>Keputusan delivery dan quality gate pada bab ini harus konsisten dengan istilah kerja akuntabilitas, SPBE. - Konteks Adaro Energy tetap menjadi acuan utama agar isi bab tidak bergeser menjadi generik. - Setiap butir pada bab ini harus bisa ditelusuri ke KPI, risiko, atau keputusan kerja yang nyata.</w:t>
      </w:r>
    </w:p>
    <w:p>
      <w:r>
        <w:br w:type="page"/>
      </w:r>
    </w:p>
    <w:p>
      <w:pPr>
        <w:pStyle w:val="Heading1"/>
        <w:jc w:val="center"/>
      </w:pPr>
      <w:r>
        <w:rPr>
          <w:color w:val="727C70"/>
        </w:rPr>
        <w:t>BAB XI – STRUKTUR &amp; TENAGA AHLI PROYEK</w:t>
      </w:r>
    </w:p>
    <w:p>
      <w:r>
        <w:rPr>
          <w:b w:val="0"/>
          <w:i w:val="0"/>
        </w:rPr>
        <w:t>Struktur tim proyek untuk Adaro Energy dibentuk agar pengambilan keputusan, pengawasan mutu, dan eksekusi lapangan bergerak seirama. Komposisi tim tidak diperlakukan sebagai daftar jabatan semata, tetapi sebagai mekanisme untuk menjaga kualitas output terhadap target KPI outcome bisnis utama Adaro Energy bergerak positif dalam 4 bulan.</w:t>
      </w:r>
    </w:p>
    <w:p>
      <w:pPr>
        <w:pStyle w:val="Heading2"/>
      </w:pPr>
      <w:r>
        <w:rPr>
          <w:rFonts w:ascii="Arial" w:hAnsi="Arial"/>
          <w:b/>
          <w:color w:val="727C70"/>
        </w:rPr>
        <w:t>11.1 Struktur Tim Proyek</w:t>
      </w:r>
    </w:p>
    <w:p>
      <w:pPr>
        <w:pStyle w:val="ListNumber"/>
        <w:spacing w:before="0" w:after="80"/>
        <w:numPr>
          <w:ilvl w:val="0"/>
          <w:numId w:val="30"/>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0"/>
        </w:numPr>
      </w:pPr>
      <w:r>
        <w:rPr>
          <w:b/>
          <w:i w:val="0"/>
        </w:rPr>
        <w:t>Project Manager / PMO Lead</w:t>
      </w:r>
      <w:r>
        <w:rPr>
          <w:b w:val="0"/>
          <w:i w:val="0"/>
        </w:rPr>
        <w:t xml:space="preserve"> mengendalikan ritme kerja, milestone, dan quality gate.</w:t>
      </w:r>
    </w:p>
    <w:p>
      <w:pPr>
        <w:pStyle w:val="ListNumber"/>
        <w:spacing w:before="0" w:after="80"/>
        <w:numPr>
          <w:ilvl w:val="0"/>
          <w:numId w:val="30"/>
        </w:numPr>
      </w:pPr>
      <w:r>
        <w:rPr>
          <w:b/>
          <w:i w:val="0"/>
        </w:rPr>
        <w:t>Lead Fungsional / Solusi</w:t>
      </w:r>
      <w:r>
        <w:rPr>
          <w:b w:val="0"/>
          <w:i w:val="0"/>
        </w:rPr>
        <w:t xml:space="preserve"> menjaga kualitas desain solusi dan relevansi output kerja.</w:t>
      </w:r>
    </w:p>
    <w:p>
      <w:pPr>
        <w:pStyle w:val="ListNumber"/>
        <w:spacing w:before="0" w:after="80"/>
        <w:numPr>
          <w:ilvl w:val="0"/>
          <w:numId w:val="30"/>
        </w:numPr>
      </w:pPr>
      <w:r>
        <w:rPr>
          <w:b/>
          <w:i w:val="0"/>
        </w:rPr>
        <w:t>Reviewer Governance / Quality</w:t>
      </w:r>
      <w:r>
        <w:rPr>
          <w:b w:val="0"/>
          <w:i w:val="0"/>
        </w:rPr>
        <w:t xml:space="preserve"> memastikan disiplin review, sign-off, dan kontrol risiko.</w:t>
      </w:r>
    </w:p>
    <w:p>
      <w:pPr>
        <w:pStyle w:val="Heading2"/>
      </w:pPr>
      <w:r>
        <w:rPr>
          <w:rFonts w:ascii="Arial" w:hAnsi="Arial"/>
          <w:b/>
          <w:color w:val="727C70"/>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strategic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Project Director, 1x Enterprise Architect</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Adaro Energy memperoleh gambaran yang lebih konkret mengenai siapa yang menjaga keputusan, siapa yang mengawal delivery, dan siapa yang mengamankan mutu hasil kerja. Pendekatan ini membuat bab tenaga ahli lebih mudah diaudit dan lebih meyakinkan bagi sponsor proyek. - Konteks Adaro Energy tetap menjadi acuan utama agar isi bab tidak bergeser menjadi generik. - Setiap butir pada bab ini harus bisa ditelusuri ke KPI, risiko, atau keputusan kerja yang nyata. - Istilah kerja yang tetap dijaga pada bab ini mencakup akuntabilitas, SPBE, tata kelola.</w:t>
      </w:r>
    </w:p>
    <w:p>
      <w:r>
        <w:br w:type="page"/>
      </w:r>
    </w:p>
    <w:p>
      <w:pPr>
        <w:pStyle w:val="Heading1"/>
        <w:jc w:val="center"/>
      </w:pPr>
      <w:r>
        <w:rPr>
          <w:color w:val="727C70"/>
        </w:rPr>
        <w:t>BAB XII – MODEL PEMBIAYAAN</w:t>
      </w:r>
    </w:p>
    <w:p>
      <w:r>
        <w:rPr>
          <w:b w:val="0"/>
          <w:i w:val="0"/>
        </w:rPr>
        <w:t>Model pembiayaan untuk Adaro Energy disusun agar komitmen biaya, mekanisme pembayaran, dan batas ruang lingkup tetap jelas sejak awal. Tujuannya adalah menjaga proyek gelombang uji beban 6: penguatan tata kelola delivery, percepatan keputusan lintas unit, dan penyusunan roadmap eksekusi yang lebih...</w:t>
      </w:r>
    </w:p>
    <w:p>
      <w:pPr>
        <w:pStyle w:val="Heading2"/>
      </w:pPr>
      <w:r>
        <w:rPr>
          <w:rFonts w:ascii="Arial" w:hAnsi="Arial"/>
          <w:b/>
          <w:color w:val="727C70"/>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Strategic</w:t>
      </w:r>
      <w:r>
        <w:rPr>
          <w:b w:val="0"/>
          <w:i w:val="0"/>
        </w:rPr>
        <w:t xml:space="preserve"> selama</w:t>
      </w:r>
      <w:r>
        <w:rPr>
          <w:b/>
          <w:i w:val="0"/>
        </w:rPr>
        <w:t xml:space="preserve"> 4 Bulan</w:t>
      </w:r>
      <w:r>
        <w:rPr>
          <w:b w:val="0"/>
          <w:i w:val="0"/>
        </w:rPr>
        <w:t>. Baseline komersial internal yang menjadi acuan adalah Retainer or Fixed-fee based on milestones.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Strategic</w:t>
            </w:r>
          </w:p>
        </w:tc>
      </w:tr>
      <w:tr>
        <w:tc>
          <w:tcPr>
            <w:tcW w:type="dxa" w:w="4680"/>
          </w:tcPr>
          <w:p>
            <w:r>
              <w:rPr>
                <w:b w:val="0"/>
                <w:i w:val="0"/>
              </w:rPr>
              <w:t>Durasi acuan</w:t>
            </w:r>
          </w:p>
        </w:tc>
        <w:tc>
          <w:tcPr>
            <w:tcW w:type="dxa" w:w="4680"/>
          </w:tcPr>
          <w:p>
            <w:r>
              <w:rPr>
                <w:b w:val="0"/>
                <w:i w:val="0"/>
              </w:rPr>
              <w:t>4 Bulan</w:t>
            </w:r>
          </w:p>
        </w:tc>
      </w:tr>
      <w:tr>
        <w:tc>
          <w:tcPr>
            <w:tcW w:type="dxa" w:w="4680"/>
          </w:tcPr>
          <w:p>
            <w:r>
              <w:rPr>
                <w:b w:val="0"/>
                <w:i w:val="0"/>
              </w:rPr>
              <w:t>Basis commercial</w:t>
            </w:r>
          </w:p>
        </w:tc>
        <w:tc>
          <w:tcPr>
            <w:tcW w:type="dxa" w:w="4680"/>
          </w:tcPr>
          <w:p>
            <w:r>
              <w:rPr>
                <w:b w:val="0"/>
                <w:i w:val="0"/>
              </w:rPr>
              <w:t>Retainer or Fixed-fee based on milestones.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1"/>
        </w:numPr>
      </w:pPr>
      <w:r>
        <w:rPr>
          <w:b/>
          <w:i w:val="0"/>
        </w:rPr>
        <w:t>Alignment &amp; target design</w:t>
      </w:r>
      <w:r>
        <w:rPr>
          <w:b w:val="0"/>
          <w:i w:val="0"/>
        </w:rPr>
        <w:t xml:space="preserve"> sebesar 30% dari estimasi investasi, ditagihkan setelah milestone terkait diterima.</w:t>
      </w:r>
    </w:p>
    <w:p>
      <w:pPr>
        <w:pStyle w:val="ListNumber"/>
        <w:spacing w:before="0" w:after="80"/>
        <w:numPr>
          <w:ilvl w:val="0"/>
          <w:numId w:val="31"/>
        </w:numPr>
      </w:pPr>
      <w:r>
        <w:rPr>
          <w:b/>
          <w:i w:val="0"/>
        </w:rPr>
        <w:t>Roadmap &amp; executive review</w:t>
      </w:r>
      <w:r>
        <w:rPr>
          <w:b w:val="0"/>
          <w:i w:val="0"/>
        </w:rPr>
        <w:t xml:space="preserve"> sebesar 40% dari estimasi investasi, ditagihkan setelah milestone terkait diterima.</w:t>
      </w:r>
    </w:p>
    <w:p>
      <w:pPr>
        <w:pStyle w:val="ListNumber"/>
        <w:spacing w:before="0" w:after="80"/>
        <w:numPr>
          <w:ilvl w:val="0"/>
          <w:numId w:val="31"/>
        </w:numPr>
      </w:pPr>
      <w:r>
        <w:rPr>
          <w:b/>
          <w:i w:val="0"/>
        </w:rPr>
        <w:t>Final recommendation &amp; handover</w:t>
      </w:r>
      <w:r>
        <w:rPr>
          <w:b w:val="0"/>
          <w:i w:val="0"/>
        </w:rPr>
        <w:t xml:space="preserve"> sebesar 30% dari estimasi investasi, ditagihkan setelah milestone terkait diterima.</w:t>
      </w:r>
    </w:p>
    <w:p>
      <w:pPr>
        <w:pStyle w:val="Heading2"/>
      </w:pPr>
      <w:r>
        <w:rPr>
          <w:rFonts w:ascii="Arial" w:hAnsi="Arial"/>
          <w:b/>
          <w:color w:val="727C70"/>
        </w:rPr>
        <w:t>12.2 Model Pekerjaan dan Batasan Pekerjaan</w:t>
      </w:r>
    </w:p>
    <w:p>
      <w:r>
        <w:rPr>
          <w:b w:val="0"/>
          <w:i w:val="0"/>
        </w:rPr>
        <w:t>Model kerja dirancang agar ruang lingkup delivery tetap fokus pada kebutuhan directive dan KPI seperti KPI outcome bisnis utama Adaro Energy bergerak positif dalam 4 bulan. | Kualitas operasi (incident, SLA, lead time) membaik dalam 4 bulan. Untuk Adaro Energy,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rPr>
          <w:b w:val="0"/>
          <w:i w:val="0"/>
        </w:rPr>
        <w:t>Bab pembiayaan tidak boleh berhenti sebagai angka dan termin pembayaran saja. Untuk Adaro Energy, bagian ini perlu menunjukkan bahwa struktur biaya, tahapan pembayaran, dan batas pekerjaan disusun agar manfaat bisnis seperti KPI outcome bisnis utama Adaro Energy bergerak positif dalam 4 bulan. - Konteks Adaro Energy tetap menjadi acuan utama agar isi bab tidak bergeser menjadi generik. - Setiap butir pada bab ini harus bisa ditelusuri ke KPI, risiko, atau keputusan kerja yang nyata.</w:t>
      </w:r>
    </w:p>
    <w:p>
      <w:r>
        <w:br w:type="page"/>
      </w:r>
    </w:p>
    <w:p>
      <w:pPr>
        <w:pStyle w:val="Heading1"/>
        <w:jc w:val="center"/>
      </w:pPr>
      <w:r>
        <w:rPr>
          <w:color w:val="727C70"/>
        </w:rPr>
        <w:t>PENUTUP &amp; APRESIASI KEMITRAAN</w:t>
      </w:r>
    </w:p>
    <w:p>
      <w:r>
        <w:rPr>
          <w:b w:val="0"/>
          <w:i w:val="0"/>
        </w:rPr>
        <w:t>Terima kasih atas kesempatan yang diberikan kepada Inixindo Jogja untuk menyusun proposal bagi Adaro Energy. Kami memandang inisiatif gelombang uji beban 6: penguatan tata kelola delivery, percepatan keputusan lintas unit, dan penyusunan roadmap eksekusi yang lebih...</w:t>
      </w:r>
    </w:p>
    <w:p>
      <w:pPr>
        <w:pStyle w:val="Heading2"/>
      </w:pPr>
      <w:r>
        <w:rPr>
          <w:rFonts w:ascii="Arial" w:hAnsi="Arial"/>
          <w:b/>
          <w:color w:val="727C70"/>
        </w:rPr>
        <w:t>Apresiasi dan Komitmen Kemitraan</w:t>
      </w:r>
    </w:p>
    <w:p>
      <w:pPr>
        <w:pStyle w:val="ListNumber"/>
        <w:spacing w:before="0" w:after="80"/>
        <w:numPr>
          <w:ilvl w:val="0"/>
          <w:numId w:val="32"/>
        </w:numPr>
      </w:pPr>
      <w:r>
        <w:rPr>
          <w:b w:val="0"/>
          <w:i w:val="0"/>
        </w:rPr>
        <w:t>Kami mengapresiasi keterbukaan Adaro Energy dalam mengangkat konteks, tantangan, dan target bisnis yang menjadi dasar proposal ini.</w:t>
      </w:r>
    </w:p>
    <w:p>
      <w:pPr>
        <w:pStyle w:val="ListNumber"/>
        <w:spacing w:before="0" w:after="80"/>
        <w:numPr>
          <w:ilvl w:val="0"/>
          <w:numId w:val="32"/>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2"/>
        </w:numPr>
      </w:pPr>
      <w:r>
        <w:rPr>
          <w:b w:val="0"/>
          <w:i w:val="0"/>
        </w:rPr>
        <w:t>Fokus awal kemitraan diarahkan pada prioritas seperti KPI outcome bisnis utama Adaro Energy bergerak positif dalam 4 bulan. | Kualitas operasi (incident, SLA, lead time) membaik dalam 4 bulan. | Efektivitas eksekusi proyek (on-time, on-budget, on-scope) tercapai dalam 4 bulan., dengan tata kelola dan ritme eksekusi yang stabil sejak kickoff.</w:t>
      </w:r>
    </w:p>
    <w:p>
      <w:pPr>
        <w:pStyle w:val="Heading2"/>
      </w:pPr>
      <w:r>
        <w:rPr>
          <w:rFonts w:ascii="Arial" w:hAnsi="Arial"/>
          <w:b/>
          <w:color w:val="727C70"/>
        </w:rPr>
        <w:t>Informasi Kontak dan Langkah Lanjutan</w:t>
      </w:r>
    </w:p>
    <w:p>
      <w:r>
        <w:rPr>
          <w:b w:val="0"/>
          <w:i w:val="0"/>
        </w:rPr>
        <w:t>Untuk melanjutkan pembahasan, Inixindo Jogja siap menindaklanjuti review proposal, penajaman ruang lingkup, dan penyesuaian komersial yang diperlukan. - Konteks Adaro Energy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8"/>
  </w:num>
  <w:num w:numId="13">
    <w:abstractNumId w:val="8"/>
  </w:num>
  <w:num w:numId="14">
    <w:abstractNumId w:val="8"/>
  </w:num>
  <w:num w:numId="15">
    <w:abstractNumId w:val="8"/>
  </w:num>
  <w:num w:numId="16">
    <w:abstractNumId w:val="7"/>
  </w:num>
  <w:num w:numId="17">
    <w:abstractNumId w:val="8"/>
  </w:num>
  <w:num w:numId="18">
    <w:abstractNumId w:val="7"/>
  </w:num>
  <w:num w:numId="19">
    <w:abstractNumId w:val="7"/>
  </w:num>
  <w:num w:numId="20">
    <w:abstractNumId w:val="7"/>
  </w:num>
  <w:num w:numId="21">
    <w:abstractNumId w:val="8"/>
  </w:num>
  <w:num w:numId="22">
    <w:abstractNumId w:val="7"/>
  </w:num>
  <w:num w:numId="23">
    <w:abstractNumId w:val="8"/>
  </w:num>
  <w:num w:numId="24">
    <w:abstractNumId w:val="8"/>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