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645920" cy="1645920"/>
                    </a:xfrm>
                    <a:prstGeom prst="rect"/>
                  </pic:spPr>
                </pic:pic>
              </a:graphicData>
            </a:graphic>
          </wp:inline>
        </w:drawing>
      </w:r>
    </w:p>
    <w:p>
      <w:pPr>
        <w:jc w:val="center"/>
      </w:pPr>
      <w:r>
        <w:rPr>
          <w:b/>
          <w:color w:val="7A7676"/>
          <w:sz w:val="60"/>
        </w:rPr>
        <w:t>ARSITEKTUR PROPOSAL</w:t>
      </w:r>
    </w:p>
    <w:p>
      <w:pPr>
        <w:jc w:val="center"/>
      </w:pPr>
      <w:r>
        <w:rPr>
          <w:sz w:val="28"/>
        </w:rPr>
        <w:t>Konsultan – Implementation</w:t>
      </w:r>
    </w:p>
    <w:p/>
    <w:p>
      <w:pPr>
        <w:jc w:val="center"/>
      </w:pPr>
      <w:r>
        <w:rPr>
          <w:b/>
          <w:sz w:val="32"/>
        </w:rPr>
        <w:t>Untuk: Alfamart</w:t>
      </w:r>
    </w:p>
    <w:p>
      <w:pPr>
        <w:jc w:val="center"/>
      </w:pPr>
      <w:r>
        <w:t>Inisiatif: Gelombang uji beban 7: penguatan tata kelola delivery, percepatan keputusan lintas unit, dan penyusunan roadmap eksekusi yang lebih terukur untuk Alfamart.</w:t>
      </w:r>
    </w:p>
    <w:p>
      <w:pPr>
        <w:jc w:val="center"/>
      </w:pPr>
      <w:r>
        <w:t>Durasi: 5 Bulan | Estimasi Investasi: Rp 500.000.000 | Tanggal: 30 March 2026</w:t>
      </w:r>
    </w:p>
    <w:p>
      <w:pPr>
        <w:jc w:val="center"/>
      </w:pPr>
      <w:r>
        <w:t>Disusun oleh Inixindo Jogja</w:t>
      </w:r>
    </w:p>
    <w:p>
      <w:r>
        <w:br w:type="page"/>
      </w:r>
    </w:p>
    <w:p>
      <w:pPr>
        <w:pStyle w:val="Heading1"/>
        <w:jc w:val="center"/>
      </w:pPr>
      <w:r>
        <w:rPr>
          <w:color w:val="7A7676"/>
        </w:rPr>
        <w:t>BAB I – KONTEKS KLIEN</w:t>
      </w:r>
    </w:p>
    <w:p>
      <w:pPr>
        <w:pStyle w:val="Heading2"/>
      </w:pPr>
      <w:r>
        <w:rPr>
          <w:rFonts w:ascii="Arial" w:hAnsi="Arial"/>
          <w:b/>
          <w:color w:val="7A7676"/>
        </w:rPr>
        <w:t>1.1 Latar Belakang Organisasi Klien</w:t>
      </w:r>
    </w:p>
    <w:p>
      <w:r>
        <w:rPr>
          <w:b w:val="0"/>
          <w:i w:val="0"/>
        </w:rPr>
        <w:t>PT Sumber Alfaria Trijaya Tbk (Alfamart) mengoperasikan lebih dari 12 000 gerai di seluruh Indonesia, mencakup segmen urban, suburban, dan kini gerai Agricola yang menampilkan</w:t>
      </w:r>
      <w:r>
        <w:rPr>
          <w:b/>
          <w:i w:val="0"/>
        </w:rPr>
        <w:t xml:space="preserve"> micro‑cinema</w:t>
      </w:r>
      <w:r>
        <w:rPr>
          <w:b w:val="0"/>
          <w:i w:val="0"/>
        </w:rPr>
        <w:t xml:space="preserve"> pertama pada Maret 2026 (instagram.com, 2026). Sejak berdiri pada 1989, jaringan ini tumbuh menjadi salah satu pemain ritel terbesar di Asia Tenggara (kc.umn.ac.id, 2026) dan pada 2026 menargetkan</w:t>
      </w:r>
      <w:r>
        <w:rPr>
          <w:b/>
          <w:i w:val="0"/>
        </w:rPr>
        <w:t xml:space="preserve"> penambahan bersih 800 gerai</w:t>
      </w:r>
      <w:r>
        <w:rPr>
          <w:b w:val="0"/>
          <w:i w:val="0"/>
        </w:rPr>
        <w:t xml:space="preserve"> serta ekspansi pertama ke Bangladesh (money.kompas.com, 2026; id.investing.com, 2026).</w:t>
      </w:r>
    </w:p>
    <w:p>
      <w:r>
        <w:rPr>
          <w:b w:val="0"/>
          <w:i w:val="0"/>
        </w:rPr>
        <w:t>Pertumbuhan cepat meningkatkan</w:t>
      </w:r>
      <w:r>
        <w:rPr>
          <w:b/>
          <w:i w:val="0"/>
        </w:rPr>
        <w:t xml:space="preserve"> market share</w:t>
      </w:r>
      <w:r>
        <w:rPr>
          <w:b w:val="0"/>
          <w:i w:val="0"/>
        </w:rPr>
        <w:t xml:space="preserve"> menjadi 35,3 % (kenaikan 1,1 ppt) dan grup mencapai 41,1 % (alfamart.co.id, 2025). Namun, skala baru menimbulkan tiga masalah operasional utama:</w:t>
      </w:r>
    </w:p>
    <w:p>
      <w:pPr>
        <w:pStyle w:val="ListNumber"/>
        <w:spacing w:before="0" w:after="80"/>
        <w:numPr>
          <w:ilvl w:val="0"/>
          <w:numId w:val="10"/>
        </w:numPr>
      </w:pPr>
      <w:r>
        <w:rPr>
          <w:b/>
          <w:i w:val="0"/>
        </w:rPr>
        <w:t>Ketidaksesuaian inventaris</w:t>
      </w:r>
      <w:r>
        <w:rPr>
          <w:b w:val="0"/>
          <w:i w:val="0"/>
        </w:rPr>
        <w:t xml:space="preserve"> – Selisih data antara aplikasi mobile dan stok fisik rata‑rata 7 % per bulan, memicu pembatalan transaksi (Data Internal, 2026).</w:t>
      </w:r>
    </w:p>
    <w:p>
      <w:pPr>
        <w:pStyle w:val="ListNumber"/>
        <w:spacing w:before="0" w:after="80"/>
        <w:numPr>
          <w:ilvl w:val="0"/>
          <w:numId w:val="10"/>
        </w:numPr>
      </w:pPr>
      <w:r>
        <w:rPr>
          <w:b/>
          <w:i w:val="0"/>
        </w:rPr>
        <w:t>Silo keputusan lintas unit</w:t>
      </w:r>
      <w:r>
        <w:rPr>
          <w:b w:val="0"/>
          <w:i w:val="0"/>
        </w:rPr>
        <w:t xml:space="preserve"> – Siklus persetujuan inisiatif baru memakan ≈ 45 hari, jauh di atas target 30 hari dalam Rencana Strategis BPK 2025‑2029 (yogyakarta.bpk.go.id, 2029).</w:t>
      </w:r>
    </w:p>
    <w:p>
      <w:pPr>
        <w:pStyle w:val="ListNumber"/>
        <w:spacing w:before="0" w:after="80"/>
        <w:numPr>
          <w:ilvl w:val="0"/>
          <w:numId w:val="10"/>
        </w:numPr>
      </w:pPr>
      <w:r>
        <w:rPr>
          <w:b/>
          <w:i w:val="0"/>
        </w:rPr>
        <w:t>Kepatuhan SPBE</w:t>
      </w:r>
      <w:r>
        <w:rPr>
          <w:b w:val="0"/>
          <w:i w:val="0"/>
        </w:rPr>
        <w:t xml:space="preserve"> – Pemerintah menuntut transparansi, audit trail, dan akuntabilitas dalam pelaporan digital (kominfo.jatimprov.go.id, 2026).</w:t>
      </w:r>
    </w:p>
    <w:p>
      <w:r>
        <w:rPr>
          <w:b w:val="0"/>
          <w:i w:val="0"/>
        </w:rPr>
        <w:t>Faktor‑faktor yang memperparah kondisi:</w:t>
      </w:r>
    </w:p>
    <w:p>
      <w:pPr>
        <w:pStyle w:val="ListBullet"/>
        <w:spacing w:before="0" w:after="80"/>
        <w:numPr>
          <w:ilvl w:val="0"/>
          <w:numId w:val="11"/>
        </w:numPr>
      </w:pPr>
      <w:r>
        <w:rPr>
          <w:b/>
          <w:i w:val="0"/>
        </w:rPr>
        <w:t>Ekspansi gerai</w:t>
      </w:r>
      <w:r>
        <w:rPr>
          <w:b w:val="0"/>
          <w:i w:val="0"/>
        </w:rPr>
        <w:t xml:space="preserve"> meningkatkan kompleksitas logistik dan beban pada sistem POS/ERP.</w:t>
      </w:r>
    </w:p>
    <w:p>
      <w:pPr>
        <w:pStyle w:val="ListBullet"/>
        <w:spacing w:before="0" w:after="80"/>
        <w:numPr>
          <w:ilvl w:val="0"/>
          <w:numId w:val="11"/>
        </w:numPr>
      </w:pPr>
      <w:r>
        <w:rPr>
          <w:b/>
          <w:i w:val="0"/>
        </w:rPr>
        <w:t>Diversifikasi layanan</w:t>
      </w:r>
      <w:r>
        <w:rPr>
          <w:b w:val="0"/>
          <w:i w:val="0"/>
        </w:rPr>
        <w:t xml:space="preserve"> (micro‑cinema, layanan digital, program loyalti) menambah beban integrasi data.</w:t>
      </w:r>
    </w:p>
    <w:p>
      <w:pPr>
        <w:pStyle w:val="ListBullet"/>
        <w:spacing w:before="0" w:after="80"/>
        <w:numPr>
          <w:ilvl w:val="0"/>
          <w:numId w:val="11"/>
        </w:numPr>
      </w:pPr>
      <w:r>
        <w:rPr>
          <w:b/>
          <w:i w:val="0"/>
        </w:rPr>
        <w:t>Regulasi SPBE</w:t>
      </w:r>
      <w:r>
        <w:rPr>
          <w:b w:val="0"/>
          <w:i w:val="0"/>
        </w:rPr>
        <w:t xml:space="preserve"> menambah persyaratan governance dan pelaporan.</w:t>
      </w:r>
    </w:p>
    <w:p>
      <w:r>
        <w:rPr>
          <w:b w:val="0"/>
          <w:i w:val="0"/>
        </w:rPr>
        <w:t>Dampak bisnis yang terukur:</w:t>
      </w:r>
    </w:p>
    <w:p>
      <w:pPr>
        <w:pStyle w:val="ListBullet"/>
        <w:spacing w:before="0" w:after="80"/>
        <w:numPr>
          <w:ilvl w:val="0"/>
          <w:numId w:val="12"/>
        </w:numPr>
      </w:pPr>
      <w:r>
        <w:rPr>
          <w:b w:val="0"/>
          <w:i w:val="0"/>
        </w:rPr>
        <w:t>Penurunan kepuasan pelanggan akibat stok tidak akurat.</w:t>
      </w:r>
    </w:p>
    <w:p>
      <w:pPr>
        <w:pStyle w:val="ListBullet"/>
        <w:spacing w:before="0" w:after="80"/>
        <w:numPr>
          <w:ilvl w:val="0"/>
          <w:numId w:val="12"/>
        </w:numPr>
      </w:pPr>
      <w:r>
        <w:rPr>
          <w:b w:val="0"/>
          <w:i w:val="0"/>
        </w:rPr>
        <w:t>Peningkatan incident handling dan pelanggaran SLA delivery.</w:t>
      </w:r>
    </w:p>
    <w:p>
      <w:pPr>
        <w:pStyle w:val="ListBullet"/>
        <w:spacing w:before="0" w:after="80"/>
        <w:numPr>
          <w:ilvl w:val="0"/>
          <w:numId w:val="12"/>
        </w:numPr>
      </w:pPr>
      <w:r>
        <w:rPr>
          <w:b w:val="0"/>
          <w:i w:val="0"/>
        </w:rPr>
        <w:t>Risiko kehilangan peluang pertumbuhan bila keputusan tidak dapat dipercepat.</w:t>
      </w:r>
    </w:p>
    <w:p>
      <w:pPr>
        <w:pStyle w:val="Heading2"/>
      </w:pPr>
      <w:r>
        <w:rPr>
          <w:rFonts w:ascii="Arial" w:hAnsi="Arial"/>
          <w:b/>
          <w:color w:val="7A7676"/>
        </w:rPr>
        <w:t>1.2 Alasan Permintaan Jasa Konsultasi</w:t>
      </w:r>
    </w:p>
    <w:p>
      <w:r>
        <w:rPr>
          <w:b w:val="0"/>
          <w:i w:val="0"/>
        </w:rPr>
        <w:t>Untuk mengatasi tantangan tersebut, Alfamart meluncurkan</w:t>
      </w:r>
      <w:r>
        <w:rPr>
          <w:b/>
          <w:i w:val="0"/>
        </w:rPr>
        <w:t xml:space="preserve"> Gelombang Uji Beban 7</w:t>
      </w:r>
      <w:r>
        <w:rPr>
          <w:b w:val="0"/>
          <w:i w:val="0"/>
        </w:rPr>
        <w:t xml:space="preserve"> dengan tiga fokus utama:</w:t>
      </w:r>
    </w:p>
    <w:p>
      <w:pPr>
        <w:pStyle w:val="ListNumber"/>
        <w:spacing w:before="0" w:after="80"/>
        <w:numPr>
          <w:ilvl w:val="0"/>
          <w:numId w:val="13"/>
        </w:numPr>
      </w:pPr>
      <w:r>
        <w:rPr>
          <w:b/>
          <w:i w:val="0"/>
        </w:rPr>
        <w:t>Penguatan delivery governance</w:t>
      </w:r>
      <w:r>
        <w:rPr>
          <w:b w:val="0"/>
          <w:i w:val="0"/>
        </w:rPr>
        <w:t xml:space="preserve"> – Target lead time ≤ 24 jam, SLA incident ≤ 2 % per bulan.</w:t>
      </w:r>
    </w:p>
    <w:p>
      <w:pPr>
        <w:pStyle w:val="ListNumber"/>
        <w:spacing w:before="0" w:after="80"/>
        <w:numPr>
          <w:ilvl w:val="0"/>
          <w:numId w:val="13"/>
        </w:numPr>
      </w:pPr>
      <w:r>
        <w:rPr>
          <w:b/>
          <w:i w:val="0"/>
        </w:rPr>
        <w:t>accelerated decision-making</w:t>
      </w:r>
      <w:r>
        <w:rPr>
          <w:b w:val="0"/>
          <w:i w:val="0"/>
        </w:rPr>
        <w:t xml:space="preserve"> – Mekanisme akuntabilitas dan audit trail yang terstandarisasi, mengurangi siklus keputusan menjadi ≤ 30 hari.</w:t>
      </w:r>
    </w:p>
    <w:p>
      <w:pPr>
        <w:pStyle w:val="ListNumber"/>
        <w:spacing w:before="0" w:after="80"/>
        <w:numPr>
          <w:ilvl w:val="0"/>
          <w:numId w:val="13"/>
        </w:numPr>
      </w:pPr>
      <w:r>
        <w:rPr>
          <w:b/>
          <w:i w:val="0"/>
        </w:rPr>
        <w:t>Penyusunan roadmap execution terukur</w:t>
      </w:r>
      <w:r>
        <w:rPr>
          <w:b w:val="0"/>
          <w:i w:val="0"/>
        </w:rPr>
        <w:t xml:space="preserve"> – Penyelesaian dalam horizon 5 bulan, selaras dengan KPI outcome (peningkatan profitabilitas dan kepuasan pelanggan).</w:t>
      </w:r>
    </w:p>
    <w:p>
      <w:r>
        <w:rPr>
          <w:b w:val="0"/>
          <w:i w:val="0"/>
        </w:rPr>
        <w:t>Alfamart memerlukan mitra yang dapat:</w:t>
      </w:r>
    </w:p>
    <w:p>
      <w:pPr>
        <w:pStyle w:val="ListBullet"/>
        <w:spacing w:before="0" w:after="80"/>
        <w:numPr>
          <w:ilvl w:val="0"/>
          <w:numId w:val="14"/>
        </w:numPr>
      </w:pPr>
      <w:r>
        <w:rPr>
          <w:b w:val="0"/>
          <w:i w:val="0"/>
        </w:rPr>
        <w:t>Menerapkan kerangka</w:t>
      </w:r>
      <w:r>
        <w:rPr>
          <w:b/>
          <w:i w:val="0"/>
        </w:rPr>
        <w:t xml:space="preserve"> TOGAF/ITIL/COBIT/ISO 27001</w:t>
      </w:r>
      <w:r>
        <w:rPr>
          <w:b w:val="0"/>
          <w:i w:val="0"/>
        </w:rPr>
        <w:t xml:space="preserve"> secara konsisten untuk integrasi POS, ERP, dan platform digital (Data Internal, 2026).</w:t>
      </w:r>
    </w:p>
    <w:p>
      <w:pPr>
        <w:pStyle w:val="ListBullet"/>
        <w:spacing w:before="0" w:after="80"/>
        <w:numPr>
          <w:ilvl w:val="0"/>
          <w:numId w:val="14"/>
        </w:numPr>
      </w:pPr>
      <w:r>
        <w:rPr>
          <w:b w:val="0"/>
          <w:i w:val="0"/>
        </w:rPr>
        <w:t>Menyediakan</w:t>
      </w:r>
      <w:r>
        <w:rPr>
          <w:b/>
          <w:i w:val="0"/>
        </w:rPr>
        <w:t xml:space="preserve"> control implementation</w:t>
      </w:r>
      <w:r>
        <w:rPr>
          <w:b w:val="0"/>
          <w:i w:val="0"/>
        </w:rPr>
        <w:t xml:space="preserve"> (design → configuration → UAT → go‑live → handover) dengan tim terstruktur (1 PM, 1 Lead Engineer, 3 Implementers).</w:t>
      </w:r>
    </w:p>
    <w:p>
      <w:pPr>
        <w:pStyle w:val="ListBullet"/>
        <w:spacing w:before="0" w:after="80"/>
        <w:numPr>
          <w:ilvl w:val="0"/>
          <w:numId w:val="14"/>
        </w:numPr>
      </w:pPr>
      <w:r>
        <w:rPr>
          <w:b w:val="0"/>
          <w:i w:val="0"/>
        </w:rPr>
        <w:t>Membentuk</w:t>
      </w:r>
      <w:r>
        <w:rPr>
          <w:b/>
          <w:i w:val="0"/>
        </w:rPr>
        <w:t xml:space="preserve"> governance proyek</w:t>
      </w:r>
      <w:r>
        <w:rPr>
          <w:b w:val="0"/>
          <w:i w:val="0"/>
        </w:rPr>
        <w:t xml:space="preserve"> meliputi audit trail, KPI monitoring (stock accuracy ≥ 98 %, incident ≤ 2 %/bulan), serta pelaporan SPBE yang memenuhi standar BPK.</w:t>
      </w:r>
    </w:p>
    <w:p>
      <w:r>
        <w:rPr>
          <w:b w:val="0"/>
          <w:i w:val="0"/>
        </w:rPr>
        <w:t>Dengan dukungan Inixindo Jogja, Alfamart menargetkan penurunan</w:t>
      </w:r>
      <w:r>
        <w:rPr>
          <w:b/>
          <w:i w:val="0"/>
        </w:rPr>
        <w:t xml:space="preserve"> stock discrepancy</w:t>
      </w:r>
      <w:r>
        <w:rPr>
          <w:b w:val="0"/>
          <w:i w:val="0"/>
        </w:rPr>
        <w:t xml:space="preserve"> dari 15 % menjadi ≤ 2 %, peningkatan</w:t>
      </w:r>
      <w:r>
        <w:rPr>
          <w:b/>
          <w:i w:val="0"/>
        </w:rPr>
        <w:t xml:space="preserve"> lead time delivery</w:t>
      </w:r>
      <w:r>
        <w:rPr>
          <w:b w:val="0"/>
          <w:i w:val="0"/>
        </w:rPr>
        <w:t xml:space="preserve"> dari 48 jam ke</w:t>
      </w:r>
    </w:p>
    <w:p>
      <w:r>
        <w:rPr>
          <w:b w:val="0"/>
          <w:i w:val="0"/>
        </w:rPr>
        <w:t>Untuk Alfamart, isi bab ini harus dibaca sebagai dasar keputusan kerja yang dapat ditindaklanjuti, bukan sekadar penjelasan konseptual. Karena itu, isi bab tetap diarahkan untuk menjaga relevansi terhadap KPI seperti KPI outcome Alfamart bergerak positif dalam 5 bulan. | Kualitas operasi (incident, SLA, lead time) membaik dalam 5 bulan. dan istilah kerja akuntabilitas, SPBE.</w:t>
      </w:r>
    </w:p>
    <w:p>
      <w:pPr>
        <w:pStyle w:val="ListBullet"/>
        <w:spacing w:before="0" w:after="80"/>
        <w:numPr>
          <w:ilvl w:val="0"/>
          <w:numId w:val="15"/>
        </w:numPr>
      </w:pPr>
      <w:r>
        <w:rPr>
          <w:b w:val="0"/>
          <w:i w:val="0"/>
        </w:rPr>
        <w:t>Implikasi eksekusinya harus tetap jelas agar sponsor dan tim delivery dapat menurunkan isi bab ini menjadi tindakan yang konkret.</w:t>
      </w:r>
    </w:p>
    <w:p>
      <w:pPr>
        <w:pStyle w:val="ListBullet"/>
        <w:spacing w:before="0" w:after="80"/>
        <w:numPr>
          <w:ilvl w:val="0"/>
          <w:numId w:val="15"/>
        </w:numPr>
      </w:pPr>
      <w:r>
        <w:rPr>
          <w:b w:val="0"/>
          <w:i w:val="0"/>
        </w:rPr>
        <w:t>Dengan pendekatan ini, narasi proposal tetap terhubung pada kebutuhan bisnis sekaligus tidak kehilangan kontrol implementasi.</w:t>
      </w:r>
    </w:p>
    <w:p>
      <w:r>
        <w:rPr>
          <w:b w:val="0"/>
          <w:i w:val="0"/>
        </w:rPr>
        <w:t>Secara praktis, hal ini membantu Alfamart membaca setiap bagian proposal sebagai bahan keputusan yang lebih operasional: apa yang harus diprioritaskan, siapa yang perlu mengambil keputusan, risiko apa yang harus dijaga, dan indikator apa yang dipakai untuk menguji bahwa arah kerja masih benar.</w:t>
      </w:r>
    </w:p>
    <w:p>
      <w:pPr>
        <w:pStyle w:val="ListBullet"/>
        <w:spacing w:before="0" w:after="80"/>
        <w:numPr>
          <w:ilvl w:val="0"/>
          <w:numId w:val="16"/>
        </w:numPr>
      </w:pPr>
      <w:r>
        <w:rPr>
          <w:b w:val="0"/>
          <w:i w:val="0"/>
        </w:rPr>
        <w:t>Konteks pertumbuhan Alfamart menjadi dasar bagi identifikasi masalah operasional.</w:t>
      </w:r>
    </w:p>
    <w:p>
      <w:r>
        <w:br w:type="page"/>
      </w:r>
    </w:p>
    <w:p>
      <w:pPr>
        <w:pStyle w:val="Heading1"/>
        <w:jc w:val="center"/>
      </w:pPr>
      <w:r>
        <w:rPr>
          <w:color w:val="7A7676"/>
        </w:rPr>
        <w:t>BAB II – PERMASALAHAN</w:t>
      </w:r>
    </w:p>
    <w:p>
      <w:pPr>
        <w:pStyle w:val="Heading2"/>
      </w:pPr>
      <w:r>
        <w:rPr>
          <w:rFonts w:ascii="Arial" w:hAnsi="Arial"/>
          <w:b/>
          <w:color w:val="7A7676"/>
        </w:rPr>
        <w:t>2.1 Kebutuhan atau Keinginan Klien</w:t>
      </w:r>
    </w:p>
    <w:p>
      <w:pPr>
        <w:pStyle w:val="Heading3"/>
      </w:pPr>
      <w:r>
        <w:rPr>
          <w:rFonts w:ascii="Arial" w:hAnsi="Arial"/>
          <w:b/>
          <w:color w:val="7A7676"/>
        </w:rPr>
        <w:t>2.1.1 Prioritas Gelombang Uji Beban 7</w:t>
      </w:r>
    </w:p>
    <w:p>
      <w:r>
        <w:rPr>
          <w:b w:val="0"/>
          <w:i w:val="0"/>
        </w:rPr>
        <w:t>Alfamart menuntut penyelesaian Gelombang 7 dalam horizon 5 bulan dengan tiga fokus utama: (1) penguatan delivery governance, (2) accelerated decision-making, dan (3) penyusunan roadmap execution yang terukur.</w:t>
      </w:r>
    </w:p>
    <w:p>
      <w:pPr>
        <w:pStyle w:val="Heading3"/>
      </w:pPr>
      <w:r>
        <w:rPr>
          <w:rFonts w:ascii="Arial" w:hAnsi="Arial"/>
          <w:b/>
          <w:color w:val="7A7676"/>
        </w:rPr>
        <w:t>2.1.2 Harapan Akuntabilitas &amp; Governance</w:t>
      </w:r>
    </w:p>
    <w:p>
      <w:r>
        <w:rPr>
          <w:b w:val="0"/>
          <w:i w:val="0"/>
        </w:rPr>
        <w:t>Manajemen menginginkan mekanisme akuntabilitas yang jelas—audit trail keputusan, SLA delivery, serta kontrol perubahan—sehingga setiap keputusan bisnis dapat dipertanggungjawabkan secara real‑time (Data Internal, 2026).</w:t>
      </w:r>
    </w:p>
    <w:p>
      <w:pPr>
        <w:pStyle w:val="Heading2"/>
      </w:pPr>
      <w:r>
        <w:rPr>
          <w:rFonts w:ascii="Arial" w:hAnsi="Arial"/>
          <w:b/>
          <w:color w:val="7A7676"/>
        </w:rPr>
        <w:t>2.2 Business Context</w:t>
      </w:r>
    </w:p>
    <w:p>
      <w:pPr>
        <w:pStyle w:val="Heading3"/>
      </w:pPr>
      <w:r>
        <w:rPr>
          <w:rFonts w:ascii="Arial" w:hAnsi="Arial"/>
          <w:b/>
          <w:color w:val="7A7676"/>
        </w:rPr>
        <w:t>2.2.1 Ekspansi Gerai &amp; Inovasi Layanan</w:t>
      </w:r>
    </w:p>
    <w:p>
      <w:r>
        <w:rPr>
          <w:b w:val="0"/>
          <w:i w:val="0"/>
        </w:rPr>
        <w:t>Alfamart menargetkan penambahan 800 gerai bersih pada 2026 (money.kompas.com, 2026) dan membuka pasar internasional di Bangladesh (id.investing.com, 2026). Pada Maret 2026, gerai Alfamart Agricola di Gading Serpong akan meluncurkan micro‑cinema pertama bekerja sama dengan Layar Digi (instagram.com, 2026; facebook.com, 2026).</w:t>
      </w:r>
    </w:p>
    <w:p>
      <w:pPr>
        <w:pStyle w:val="Heading3"/>
      </w:pPr>
      <w:r>
        <w:rPr>
          <w:rFonts w:ascii="Arial" w:hAnsi="Arial"/>
          <w:b/>
          <w:color w:val="7A7676"/>
        </w:rPr>
        <w:t>2.2.2 Landscape Digital Retail di Indonesia</w:t>
      </w:r>
    </w:p>
    <w:p>
      <w:r>
        <w:rPr>
          <w:b w:val="0"/>
          <w:i w:val="0"/>
        </w:rPr>
        <w:t>Market share Alfamart naik 1,1 % menjadi 35,3 % (alfamart.co.id, 2025). Pertumbuhan ini menuntut sistem back‑office yang mampu mensinkronisasi stok, data penjualan, dan logistik secara real‑time untuk menghindari pembatalan transaksi.</w:t>
      </w:r>
    </w:p>
    <w:p>
      <w:pPr>
        <w:pStyle w:val="Heading2"/>
      </w:pPr>
      <w:r>
        <w:rPr>
          <w:rFonts w:ascii="Arial" w:hAnsi="Arial"/>
          <w:b/>
          <w:color w:val="7A7676"/>
        </w:rPr>
        <w:t>2.3 Key Challenge</w:t>
      </w:r>
    </w:p>
    <w:p>
      <w:pPr>
        <w:pStyle w:val="Heading3"/>
      </w:pPr>
      <w:r>
        <w:rPr>
          <w:rFonts w:ascii="Arial" w:hAnsi="Arial"/>
          <w:b/>
          <w:color w:val="7A7676"/>
        </w:rPr>
        <w:t>2.3.1 Fragmentasi Prioritas Kerja</w:t>
      </w:r>
    </w:p>
    <w:p>
      <w:r>
        <w:rPr>
          <w:b w:val="0"/>
          <w:i w:val="0"/>
        </w:rPr>
        <w:t>Tim bisnis, operasional, dan TI masih mengelola prioritas secara silo; tidak ada backlog terpusat yang mencerminkan urgensi Gelombang 7.</w:t>
      </w:r>
    </w:p>
    <w:p>
      <w:pPr>
        <w:pStyle w:val="Heading3"/>
      </w:pPr>
      <w:r>
        <w:rPr>
          <w:rFonts w:ascii="Arial" w:hAnsi="Arial"/>
          <w:b/>
          <w:color w:val="7A7676"/>
        </w:rPr>
        <w:t>2.3.2 Keterbatasan Integrasi Sistem</w:t>
      </w:r>
    </w:p>
    <w:p>
      <w:r>
        <w:rPr>
          <w:b w:val="0"/>
          <w:i w:val="0"/>
        </w:rPr>
        <w:t>POS, WMS, dan platform e‑commerce belum terintegrasi penuh, menyebabkan perbedaan data stok antara aplikasi dan toko fisik (baseline stock accuracy = 85 %) (Data Internal, 2026).</w:t>
      </w:r>
    </w:p>
    <w:p>
      <w:pPr>
        <w:pStyle w:val="Heading2"/>
      </w:pPr>
      <w:r>
        <w:rPr>
          <w:rFonts w:ascii="Arial" w:hAnsi="Arial"/>
          <w:b/>
          <w:color w:val="7A7676"/>
        </w:rPr>
        <w:t>2.4 Underlying Gap</w:t>
      </w:r>
    </w:p>
    <w:p>
      <w:pPr>
        <w:pStyle w:val="Heading3"/>
      </w:pPr>
    </w:p>
    <w:p>
      <w:pPr>
        <w:pStyle w:val="Heading2"/>
      </w:pPr>
      <w:r>
        <w:rPr>
          <w:rFonts w:ascii="Arial" w:hAnsi="Arial"/>
          <w:b/>
          <w:color w:val="7A7676"/>
        </w:rPr>
        <w:t>2.5 Implication / Risk</w:t>
      </w:r>
    </w:p>
    <w:p>
      <w:pPr>
        <w:pStyle w:val="Heading3"/>
      </w:pPr>
      <w:r>
        <w:rPr>
          <w:rFonts w:ascii="Arial" w:hAnsi="Arial"/>
          <w:b/>
          <w:color w:val="7A7676"/>
        </w:rPr>
        <w:t>Rincian Inti</w:t>
      </w:r>
    </w:p>
    <w:p>
      <w:pPr>
        <w:pStyle w:val="ListNumber"/>
        <w:spacing w:before="0" w:after="80"/>
        <w:numPr>
          <w:ilvl w:val="0"/>
          <w:numId w:val="17"/>
        </w:numPr>
      </w:pPr>
      <w:r>
        <w:rPr>
          <w:b w:val="0"/>
          <w:i w:val="0"/>
        </w:rPr>
        <w:t>Aktivitas utama pada bagian ini disesuaikan langsung dengan kebutuhan bisnis klien. - Risiko, dependensi, dan indikator keberhasilan dijabarkan secara terukur untuk eksekusi.</w:t>
      </w:r>
    </w:p>
    <w:p>
      <w:pPr>
        <w:pStyle w:val="Heading2"/>
      </w:pPr>
      <w:r>
        <w:rPr>
          <w:rFonts w:ascii="Arial" w:hAnsi="Arial"/>
          <w:b/>
          <w:color w:val="7A7676"/>
        </w:rPr>
        <w:t>2.6 Need for Solution</w:t>
      </w:r>
    </w:p>
    <w:p>
      <w:pPr>
        <w:pStyle w:val="Heading3"/>
      </w:pPr>
      <w:r>
        <w:rPr>
          <w:rFonts w:ascii="Arial" w:hAnsi="Arial"/>
          <w:b/>
          <w:color w:val="7A7676"/>
        </w:rPr>
        <w:t>Rincian Inti</w:t>
      </w:r>
    </w:p>
    <w:p>
      <w:pPr>
        <w:pStyle w:val="ListNumber"/>
        <w:spacing w:before="0" w:after="80"/>
        <w:numPr>
          <w:ilvl w:val="0"/>
          <w:numId w:val="18"/>
        </w:numPr>
      </w:pPr>
      <w:r>
        <w:rPr>
          <w:b w:val="0"/>
          <w:i w:val="0"/>
        </w:rPr>
        <w:t>Aktivitas utama pada bagian ini disesuaikan langsung dengan kebutuhan bisnis klien. - Risiko, dependensi, dan indikator keberhasilan dijabarkan secara terukur untuk eksekusi.</w:t>
      </w:r>
    </w:p>
    <w:p>
      <w:r>
        <w:rPr>
          <w:b w:val="0"/>
          <w:i w:val="0"/>
        </w:rPr>
        <w:t>Definisi masalah untuk Alfamart perlu dibangun dengan pola yang konsisten agar sponsor dapat melihat hubungan langsung antara konteks bisnis, tantangan utama, gap yang mendasari, risiko yang muncul, dan kebutuhan solusi. Dengan pendekatan ini, bab permasalahan tidak berhenti pada daftar pain point, tetapi benar-benar menjelaskan mengapa gap antara current state dan target state perlu ditutup dengan intervensi yang lebih terukur. Rujukan konteks yang tetap dipakai adalah Gerai Alfamart Agricola di Gading Serpong akan menjadi lokasi pertama yang menghadirkan layanan ini mulai Maret 2026. Ke depan, Layar Digi menargetkan ekspansi... (facebook.com, 2026).</w:t>
      </w:r>
    </w:p>
    <w:p>
      <w:pPr>
        <w:pStyle w:val="ListBullet"/>
        <w:spacing w:before="0" w:after="80"/>
        <w:numPr>
          <w:ilvl w:val="0"/>
          <w:numId w:val="19"/>
        </w:numPr>
      </w:pPr>
      <w:r>
        <w:rPr>
          <w:b w:val="0"/>
          <w:i w:val="0"/>
        </w:rPr>
        <w:t>Pola definisi masalah membantu Alfamart membedakan gejala operasional dari akar gap yang perlu diprioritaskan.</w:t>
      </w:r>
    </w:p>
    <w:p>
      <w:pPr>
        <w:pStyle w:val="ListBullet"/>
        <w:spacing w:before="0" w:after="80"/>
        <w:numPr>
          <w:ilvl w:val="0"/>
          <w:numId w:val="19"/>
        </w:numPr>
      </w:pPr>
      <w:r>
        <w:rPr>
          <w:b w:val="0"/>
          <w:i w:val="0"/>
        </w:rPr>
        <w:t>Untuk menjaga relevansi eksekusi, rumusan masalah harus tetap ditautkan ke KPI seperti KPI outcome Alfamart bergerak positif dalam 5 bulan. | Kualitas operasi (incident, SLA, lead time) membaik dalam 5 bulan. dan istilah kerja akuntabilitas, SPBE.</w:t>
      </w:r>
    </w:p>
    <w:p>
      <w:r>
        <w:rPr>
          <w:b w:val="0"/>
          <w:i w:val="0"/>
        </w:rPr>
        <w:t>Dengan demikian, bab ini memberi dasar yang lebih kuat untuk bab berikutnya: klasifikasi kebutuhan, pendekatan, metodologi, dan solution design dapat diturunkan dari rumusan masalah yang sama, bukan dari asumsi yang berubah-ubah. Itu membuat proposal lebih defensible, lebih personal terhadap kondisi Alfamart, dan lebih berguna sebagai dokumen keputusan.</w:t>
      </w:r>
    </w:p>
    <w:p>
      <w:r>
        <w:rPr>
          <w:b w:val="0"/>
          <w:i w:val="0"/>
        </w:rPr>
        <w:t>Untuk Alfamart, isi bab ini harus dibaca sebagai dasar keputusan kerja yang dapat ditindaklanjuti, bukan sekadar penjelasan konseptual. Karena itu, isi bab tetap diarahkan untuk menjaga relevansi terhadap KPI seperti KPI outcome Alfamart bergerak positif dalam 5 bulan. | Kualitas operasi (incident, SLA, lead time) membaik dalam 5 bulan. dan istilah kerja akuntabilitas, SPBE.</w:t>
      </w:r>
    </w:p>
    <w:p>
      <w:pPr>
        <w:pStyle w:val="ListBullet"/>
        <w:spacing w:before="0" w:after="80"/>
        <w:numPr>
          <w:ilvl w:val="0"/>
          <w:numId w:val="20"/>
        </w:numPr>
      </w:pPr>
      <w:r>
        <w:rPr>
          <w:b w:val="0"/>
          <w:i w:val="0"/>
        </w:rPr>
        <w:t>Rumusan masalah ini menjadi dasar klasifikasi kebutuhan pada bab berikutnya.</w:t>
      </w:r>
    </w:p>
    <w:p>
      <w:r>
        <w:br w:type="page"/>
      </w:r>
    </w:p>
    <w:p>
      <w:pPr>
        <w:pStyle w:val="Heading1"/>
        <w:jc w:val="center"/>
      </w:pPr>
      <w:r>
        <w:rPr>
          <w:color w:val="7A7676"/>
        </w:rPr>
        <w:t>BAB III – KLASIFIKASI KEBUTUHAN</w:t>
      </w:r>
    </w:p>
    <w:p>
      <w:r>
        <w:rPr>
          <w:b w:val="0"/>
          <w:i w:val="0"/>
        </w:rPr>
        <w:t>Bab klasifikasi kebutuhan untuk Alfamart dipakai untuk mengerucutkan berbagai sinyal kebutuhan menjadi fokus kerja yang paling tepat diselesaikan lebih dahulu. Dari kombinasi konteks proyek, pain points, dan tekanan bisnis yang muncul, kebutuhan yang paling tepat diposisikan sebagai</w:t>
      </w:r>
      <w:r>
        <w:rPr>
          <w:b/>
          <w:i w:val="0"/>
        </w:rPr>
        <w:t xml:space="preserve"> Opportunity</w:t>
      </w:r>
      <w:r>
        <w:rPr>
          <w:b w:val="0"/>
          <w:i w:val="0"/>
        </w:rPr>
        <w:t>. Pilihan ini dibuat agar proposal tidak melebar, melainkan langsung mengunci prioritas yang paling berpengaruh pada outcome seperti KPI outcome Alfamart bergerak positif dalam 5 bulan. | Kualitas operasi (incident, SLA, lead time) membaik dalam 5 bulan. | Efektivitas eksekusi proyek (on-time, on-budget, on-scope) tercapai dalam 5 bulan.. Bab ini ditulis sebagai penajaman arah penawaran agar sponsor segera melihat fokus kerja yang paling relevan. (Data Internal, 2026).</w:t>
      </w:r>
    </w:p>
    <w:p>
      <w:pPr>
        <w:pStyle w:val="Heading2"/>
      </w:pPr>
      <w:r>
        <w:rPr>
          <w:rFonts w:ascii="Arial" w:hAnsi="Arial"/>
          <w:b/>
          <w:color w:val="7A7676"/>
        </w:rPr>
        <w:t>3.1 Penajaman Kebutuhan Utama yang Dipilih</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Opsi Kebutuhan</w:t>
            </w:r>
          </w:p>
        </w:tc>
        <w:tc>
          <w:tcPr>
            <w:tcW w:type="dxa" w:w="3120"/>
          </w:tcPr>
          <w:p>
            <w:r>
              <w:rPr>
                <w:b w:val="0"/>
                <w:i w:val="0"/>
              </w:rPr>
              <w:t>Posisi</w:t>
            </w:r>
          </w:p>
        </w:tc>
        <w:tc>
          <w:tcPr>
            <w:tcW w:type="dxa" w:w="3120"/>
          </w:tcPr>
          <w:p>
            <w:r>
              <w:rPr>
                <w:b w:val="0"/>
                <w:i w:val="0"/>
              </w:rPr>
              <w:t>Alasan Penetapan</w:t>
            </w:r>
          </w:p>
        </w:tc>
      </w:tr>
      <w:tr>
        <w:tc>
          <w:tcPr>
            <w:tcW w:type="dxa" w:w="3120"/>
          </w:tcPr>
          <w:p>
            <w:r>
              <w:rPr>
                <w:b w:val="0"/>
                <w:i w:val="0"/>
              </w:rPr>
              <w:t>Problem</w:t>
            </w:r>
          </w:p>
        </w:tc>
        <w:tc>
          <w:tcPr>
            <w:tcW w:type="dxa" w:w="3120"/>
          </w:tcPr>
          <w:p>
            <w:r>
              <w:rPr>
                <w:b w:val="0"/>
                <w:i w:val="0"/>
              </w:rPr>
              <w:t>Konteks pendukung</w:t>
            </w:r>
          </w:p>
        </w:tc>
        <w:tc>
          <w:tcPr>
            <w:tcW w:type="dxa" w:w="3120"/>
          </w:tcPr>
          <w:p>
            <w:r>
              <w:rPr>
                <w:b w:val="0"/>
                <w:i w:val="0"/>
              </w:rPr>
              <w:t>Menjawab gap, hambatan, dan isu yang mengganggu target bisnis atau delivery.</w:t>
            </w:r>
          </w:p>
        </w:tc>
      </w:tr>
      <w:tr>
        <w:tc>
          <w:tcPr>
            <w:tcW w:type="dxa" w:w="3120"/>
          </w:tcPr>
          <w:p>
            <w:r>
              <w:rPr>
                <w:b w:val="0"/>
                <w:i w:val="0"/>
              </w:rPr>
              <w:t>Opportunity</w:t>
            </w:r>
          </w:p>
        </w:tc>
        <w:tc>
          <w:tcPr>
            <w:tcW w:type="dxa" w:w="3120"/>
          </w:tcPr>
          <w:p>
            <w:r>
              <w:rPr>
                <w:b w:val="0"/>
                <w:i w:val="0"/>
              </w:rPr>
              <w:t>Fokus utama</w:t>
            </w:r>
          </w:p>
        </w:tc>
        <w:tc>
          <w:tcPr>
            <w:tcW w:type="dxa" w:w="3120"/>
          </w:tcPr>
          <w:p>
            <w:r>
              <w:rPr>
                <w:b w:val="0"/>
                <w:i w:val="0"/>
              </w:rPr>
              <w:t>Menangkap peluang peningkatan nilai, efisiensi, atau pertumbuhan yang relevan.</w:t>
            </w:r>
          </w:p>
        </w:tc>
      </w:tr>
      <w:tr>
        <w:tc>
          <w:tcPr>
            <w:tcW w:type="dxa" w:w="3120"/>
          </w:tcPr>
          <w:p>
            <w:r>
              <w:rPr>
                <w:b w:val="0"/>
                <w:i w:val="0"/>
              </w:rPr>
              <w:t>Directive</w:t>
            </w:r>
          </w:p>
        </w:tc>
        <w:tc>
          <w:tcPr>
            <w:tcW w:type="dxa" w:w="3120"/>
          </w:tcPr>
          <w:p>
            <w:r>
              <w:rPr>
                <w:b w:val="0"/>
                <w:i w:val="0"/>
              </w:rPr>
              <w:t>Konteks pendukung</w:t>
            </w:r>
          </w:p>
        </w:tc>
        <w:tc>
          <w:tcPr>
            <w:tcW w:type="dxa" w:w="3120"/>
          </w:tcPr>
          <w:p>
            <w:r>
              <w:rPr>
                <w:b w:val="0"/>
                <w:i w:val="0"/>
              </w:rPr>
              <w:t>Menjawab mandat, regulasi, atau kebutuhan kepatuhan yang tidak bisa diabaikan.</w:t>
            </w:r>
          </w:p>
        </w:tc>
      </w:tr>
    </w:tbl>
    <w:p>
      <w:r>
        <w:rPr>
          <w:b w:val="0"/>
          <w:i w:val="0"/>
        </w:rPr>
        <w:t>Fokus utama yang dipilih adalah</w:t>
      </w:r>
      <w:r>
        <w:rPr>
          <w:b/>
          <w:i w:val="0"/>
        </w:rPr>
        <w:t xml:space="preserve"> Opportunity</w:t>
      </w:r>
      <w:r>
        <w:rPr>
          <w:b w:val="0"/>
          <w:i w:val="0"/>
        </w:rPr>
        <w:t>, sedangkan kebutuhan lain diposisikan sebagai konteks pendukung agar arah kerja tetap terkendali. Bagi Alfamart, penajaman ini penting supaya scope, metode kerja, dan bentuk keluaran tidak tersebar ke terlalu banyak sasaran sejak awal. - Kebutuhan sekunder yang tetap diperhatikan: Tidak ada kebutuhan sekunder yang perlu diprioritaskan pada tahap awal.. - Penetapan fokus utama juga harus tetap membaca risiko seperti gelombang uji beban 7: prioritas kerja masih tersebar, koordinasi bisnis-teknologi belum konsisten, dan dibutuhkan kejelasan ruang lingkup, deliverable... dan kaitannya dengan target bisnis KPI outcome Alfamart bergerak positif dalam 5 bulan. | Kualitas operasi (incident, SLA, lead time) membaik dalam 5 bulan. | Efektivitas eksekusi proyek (on-time, on-budget, on-scope) tercapai dalam 5 bulan..</w:t>
      </w:r>
    </w:p>
    <w:p>
      <w:pPr>
        <w:pStyle w:val="Heading2"/>
      </w:pPr>
      <w:r>
        <w:rPr>
          <w:rFonts w:ascii="Arial" w:hAnsi="Arial"/>
          <w:b/>
          <w:color w:val="7A7676"/>
        </w:rPr>
        <w:t>3.2 Tujuan Utama dan Jenis Proyek</w:t>
      </w:r>
    </w:p>
    <w:p>
      <w:r>
        <w:rPr>
          <w:b w:val="0"/>
          <w:i w:val="0"/>
        </w:rPr>
        <w:t>Dengan fokus kebutuhan yang sudah mengerucut, tujuan utama proyek dapat ditegaskan sebagai upaya membantu Alfamart mencapai gelombang uji beban 7: penguatan delivery governance, accelerated decision-making, dan penyusunan roadmap execution yang lebih... melalui model kerja</w:t>
      </w:r>
      <w:r>
        <w:rPr>
          <w:b/>
          <w:i w:val="0"/>
        </w:rPr>
        <w:t xml:space="preserve"> Implementation</w:t>
      </w:r>
      <w:r>
        <w:rPr>
          <w:b w:val="0"/>
          <w:i w:val="0"/>
        </w:rPr>
        <w:t>. Jenis proyek ini dipandang paling tepat karena masih sejalan dengan baseline metodologi internal 1. Design 2. Configuration 3. UAT 4. Go-Live 5. Handover, sekaligus cukup kuat untuk menerjemahkan kebutuhan opportunity menjadi deliverable, keputusan, dan quality gate yang dapat dijalankan. - Tujuan utama proposal adalah mengubah kebutuhan opportunity menjadi program kerja yang lebih terstruktur, terukur, dan mudah dikendalikan. - Jenis proyek</w:t>
      </w:r>
      <w:r>
        <w:rPr>
          <w:b/>
          <w:i w:val="0"/>
        </w:rPr>
        <w:t xml:space="preserve"> Implementation</w:t>
      </w:r>
      <w:r>
        <w:rPr>
          <w:b w:val="0"/>
          <w:i w:val="0"/>
        </w:rPr>
        <w:t xml:space="preserve"> dipilih karena paling sesuai untuk menjaga outcome go-live yang lebih tertata, kualitas delivery yang lebih terjaga, transisi ke operasi yang lebih rapi tetap realistis dicapai oleh Alfamart. - Dengan penajaman ini, bab berikutnya dapat langsung berbicara tentang pendekatan, metodologi, dan solution design yang fokus pada kebutuhan yang benar-benar diputuskan untuk ditangani.</w:t>
      </w:r>
    </w:p>
    <w:p>
      <w:pPr>
        <w:pStyle w:val="ListNumber"/>
        <w:spacing w:before="0" w:after="80"/>
        <w:numPr>
          <w:ilvl w:val="0"/>
          <w:numId w:val="21"/>
        </w:numPr>
      </w:pPr>
      <w:r>
        <w:rPr>
          <w:b w:val="0"/>
          <w:i w:val="0"/>
        </w:rPr>
        <w:t>Prioritas implementasi untuk Alfamart diarahkan agar tetap selaras dengan KPI outcome Alfamart bergerak positif dalam 5 bulan. | Kualitas operasi (incident, SLA, lead time) membaik dalam 5 bulan..</w:t>
      </w:r>
    </w:p>
    <w:p>
      <w:pPr>
        <w:pStyle w:val="ListNumber"/>
        <w:spacing w:before="0" w:after="80"/>
        <w:numPr>
          <w:ilvl w:val="0"/>
          <w:numId w:val="21"/>
        </w:numPr>
      </w:pPr>
      <w:r>
        <w:rPr>
          <w:b w:val="0"/>
          <w:i w:val="0"/>
        </w:rPr>
        <w:t>Keputusan delivery dan quality gate pada bab ini harus konsisten dengan istilah kerja akuntabilitas, SPBE. - Anchor inisiatif yang tetap dirujuk adalah Gerai Alfamart Agricola di Gading Serpong akan menjadi lokasi pertama yang menghadirkan layanan ini mulai Maret 2026. Ke depan, Layar Digi menargetkan ekspansi... (facebook.com, 2026).</w:t>
      </w:r>
    </w:p>
    <w:p>
      <w:pPr>
        <w:pStyle w:val="ListBullet"/>
        <w:spacing w:before="0" w:after="80"/>
        <w:numPr>
          <w:ilvl w:val="0"/>
          <w:numId w:val="22"/>
        </w:numPr>
      </w:pPr>
      <w:r>
        <w:rPr>
          <w:b w:val="0"/>
          <w:i w:val="0"/>
        </w:rPr>
        <w:t>Klasifikasi kebutuhan mengarahkan fokus pada opportunity yang paling berdampak.</w:t>
      </w:r>
    </w:p>
    <w:p>
      <w:r>
        <w:br w:type="page"/>
      </w:r>
    </w:p>
    <w:p>
      <w:pPr>
        <w:pStyle w:val="Heading1"/>
        <w:jc w:val="center"/>
      </w:pPr>
      <w:r>
        <w:rPr>
          <w:color w:val="7A7676"/>
        </w:rPr>
        <w:t>BAB IV – PENDEKATAN</w:t>
      </w:r>
    </w:p>
    <w:p>
      <w:pPr>
        <w:pStyle w:val="Heading2"/>
      </w:pPr>
      <w:r>
        <w:rPr>
          <w:rFonts w:ascii="Arial" w:hAnsi="Arial"/>
          <w:b/>
          <w:color w:val="7A7676"/>
        </w:rPr>
        <w:t>4.1 Acuan Prinsip/Framework/Teori/Regulasi</w:t>
      </w:r>
    </w:p>
    <w:p>
      <w:pPr>
        <w:pStyle w:val="Heading3"/>
      </w:pPr>
      <w:r>
        <w:rPr>
          <w:rFonts w:ascii="Arial" w:hAnsi="Arial"/>
          <w:b/>
          <w:color w:val="7A7676"/>
        </w:rPr>
        <w:t>4.1.1 TOGAF – Architecture Development Method</w:t>
      </w:r>
    </w:p>
    <w:p>
      <w:r>
        <w:rPr>
          <w:b w:val="0"/>
          <w:i w:val="0"/>
        </w:rPr>
        <w:t>TOGAF mengubah target ekspansi 800 gerai (money.kompas.com, 2026) menjadi empat domain: Business, Data, Application, Infrastructure. Setiap capability delivery dipetakan ke</w:t>
      </w:r>
      <w:r>
        <w:rPr>
          <w:b w:val="0"/>
          <w:i/>
        </w:rPr>
        <w:t xml:space="preserve"> Enterprise Continuum</w:t>
      </w:r>
      <w:r>
        <w:rPr>
          <w:b w:val="0"/>
          <w:i w:val="0"/>
        </w:rPr>
        <w:t xml:space="preserve"> sehingga keputusan lintas unit tercatat dalam audit‑trail yang dapat diverifikasi dewan.</w:t>
      </w:r>
    </w:p>
    <w:p>
      <w:pPr>
        <w:pStyle w:val="Heading3"/>
      </w:pPr>
      <w:r>
        <w:rPr>
          <w:rFonts w:ascii="Arial" w:hAnsi="Arial"/>
          <w:b/>
          <w:color w:val="7A7676"/>
        </w:rPr>
        <w:t>4.1.2 ITIL v4 &amp; ISO 27001 – Service &amp; Keamanan</w:t>
      </w:r>
    </w:p>
    <w:p>
      <w:r>
        <w:rPr>
          <w:b w:val="0"/>
          <w:i w:val="0"/>
        </w:rPr>
        <w:t>ITIL v4 menyediakan</w:t>
      </w:r>
      <w:r>
        <w:rPr>
          <w:b w:val="0"/>
          <w:i/>
        </w:rPr>
        <w:t xml:space="preserve"> service value system</w:t>
      </w:r>
      <w:r>
        <w:rPr>
          <w:b w:val="0"/>
          <w:i w:val="0"/>
        </w:rPr>
        <w:t xml:space="preserve"> untuk menghubungkan permintaan toko dengan modul logistik, menurunkan stock‑accuracy dari 85 % ke 98 % (Data Internal, 2026). ISO 27001 menegakkan kontrol akses berbasis peran pada layanan micro‑cinema di Alfamart Agricola, Gading Serpong (instagram.com, 2026), menjamin kerahasiaan data pelanggan.</w:t>
      </w:r>
    </w:p>
    <w:p>
      <w:pPr>
        <w:pStyle w:val="Heading3"/>
      </w:pPr>
      <w:r>
        <w:rPr>
          <w:rFonts w:ascii="Arial" w:hAnsi="Arial"/>
          <w:b/>
          <w:color w:val="7A7676"/>
        </w:rPr>
        <w:t>4.1.3 COBIT 2019, SPBE, Kebijakan AI – Tata Kelola</w:t>
      </w:r>
    </w:p>
    <w:p>
      <w:r>
        <w:rPr>
          <w:b w:val="0"/>
          <w:i w:val="0"/>
        </w:rPr>
        <w:t>COBIT 2019 menetapkan matriks RACI dan</w:t>
      </w:r>
      <w:r>
        <w:rPr>
          <w:b w:val="0"/>
          <w:i/>
        </w:rPr>
        <w:t xml:space="preserve"> escalation matrix</w:t>
      </w:r>
      <w:r>
        <w:rPr>
          <w:b w:val="0"/>
          <w:i w:val="0"/>
        </w:rPr>
        <w:t>; penyimpangan &gt; 5 % memicu tindakan korektif. SPBE mewajibkan interoperabilitas dengan sistem pemerintah (yogyakarta.bpk.go.id, 2029). Kebijakan AI Jateng menuntut algoritma penentuan prioritas delivery yang dapat diaudit (jatengprov.go.id, 2025).</w:t>
      </w:r>
    </w:p>
    <w:p>
      <w:pPr>
        <w:pStyle w:val="Heading2"/>
      </w:pPr>
      <w:r>
        <w:rPr>
          <w:rFonts w:ascii="Arial" w:hAnsi="Arial"/>
          <w:b/>
          <w:color w:val="7A7676"/>
        </w:rPr>
        <w:t>4.2 Standar Penyelesaian Masalah</w:t>
      </w:r>
    </w:p>
    <w:p>
      <w:pPr>
        <w:pStyle w:val="Heading3"/>
      </w:pPr>
      <w:r>
        <w:rPr>
          <w:rFonts w:ascii="Arial" w:hAnsi="Arial"/>
          <w:b/>
          <w:color w:val="7A7676"/>
        </w:rPr>
        <w:t>4.2.1 Siklus Delivery Terstandarisasi</w:t>
      </w:r>
    </w:p>
    <w:p>
      <w:r>
        <w:rPr>
          <w:b w:val="0"/>
          <w:i w:val="0"/>
        </w:rPr>
        <w:t>Pendekatan lima fase:</w:t>
      </w:r>
      <w:r>
        <w:rPr>
          <w:b/>
          <w:i w:val="0"/>
        </w:rPr>
        <w:t xml:space="preserve"> Design → Configuration → UAT → Go‑Live → Handover</w:t>
      </w:r>
      <w:r>
        <w:rPr>
          <w:b w:val="0"/>
          <w:i w:val="0"/>
        </w:rPr>
        <w:t>.</w:t>
      </w:r>
    </w:p>
    <w:p>
      <w:pPr>
        <w:pStyle w:val="ListNumber"/>
        <w:spacing w:before="0" w:after="80"/>
        <w:numPr>
          <w:ilvl w:val="0"/>
          <w:numId w:val="23"/>
        </w:numPr>
      </w:pPr>
      <w:r>
        <w:rPr>
          <w:b/>
          <w:i w:val="0"/>
        </w:rPr>
        <w:t>Design</w:t>
      </w:r>
      <w:r>
        <w:rPr>
          <w:b w:val="0"/>
          <w:i w:val="0"/>
        </w:rPr>
        <w:t xml:space="preserve"> – Analisis stock, lead‑time, incident via dashboard SPBE.</w:t>
      </w:r>
    </w:p>
    <w:p>
      <w:pPr>
        <w:pStyle w:val="ListNumber"/>
        <w:spacing w:before="0" w:after="80"/>
        <w:numPr>
          <w:ilvl w:val="0"/>
          <w:numId w:val="23"/>
        </w:numPr>
      </w:pPr>
      <w:r>
        <w:rPr>
          <w:b/>
          <w:i w:val="0"/>
        </w:rPr>
        <w:t>Configuration</w:t>
      </w:r>
      <w:r>
        <w:rPr>
          <w:b w:val="0"/>
          <w:i w:val="0"/>
        </w:rPr>
        <w:t xml:space="preserve"> – Integrasi POS Alfamart dengan modul</w:t>
      </w:r>
      <w:r>
        <w:rPr>
          <w:b w:val="0"/>
          <w:i/>
        </w:rPr>
        <w:t xml:space="preserve"> delivery orchestration</w:t>
      </w:r>
      <w:r>
        <w:rPr>
          <w:b w:val="0"/>
          <w:i w:val="0"/>
        </w:rPr>
        <w:t xml:space="preserve"> berlandaskan ITIL.</w:t>
      </w:r>
    </w:p>
    <w:p>
      <w:pPr>
        <w:pStyle w:val="ListNumber"/>
        <w:spacing w:before="0" w:after="80"/>
        <w:numPr>
          <w:ilvl w:val="0"/>
          <w:numId w:val="23"/>
        </w:numPr>
      </w:pPr>
      <w:r>
        <w:rPr>
          <w:b/>
          <w:i w:val="0"/>
        </w:rPr>
        <w:t>UAT</w:t>
      </w:r>
      <w:r>
        <w:rPr>
          <w:b w:val="0"/>
          <w:i w:val="0"/>
        </w:rPr>
        <w:t xml:space="preserve"> – Pilih tiga gerai per wilayah (Jakarta, Surabaya - Konteks Alfamart tetap menjadi acuan utama agar isi bab tidak bergeser menjadi generik. - Setiap butir pada bab ini harus bisa ditelusuri ke KPI, risiko, atau keputusan kerja yang nyata.</w:t>
      </w:r>
    </w:p>
    <w:p>
      <w:r>
        <w:rPr>
          <w:b w:val="0"/>
          <w:i w:val="0"/>
        </w:rPr>
        <w:t>Untuk Alfamart, isi bab ini harus dibaca sebagai dasar keputusan kerja yang dapat ditindaklanjuti, bukan sekadar penjelasan konseptual. Karena itu, isi bab tetap diarahkan untuk menjaga relevansi terhadap KPI seperti KPI outcome bisnis utama Alfamart bergerak positif dalam 5 bulan. | Kualitas operasi (incident, SLA, lead time) membaik dalam 5 bulan. dan istilah kerja akuntabilitas, SPBE.</w:t>
      </w:r>
    </w:p>
    <w:p>
      <w:r>
        <w:br w:type="page"/>
      </w:r>
    </w:p>
    <w:p>
      <w:pPr>
        <w:pStyle w:val="Heading1"/>
        <w:jc w:val="center"/>
      </w:pPr>
      <w:r>
        <w:rPr>
          <w:color w:val="7A7676"/>
        </w:rPr>
        <w:t>BAB V – METODOLOGI</w:t>
      </w:r>
    </w:p>
    <w:p>
      <w:pPr>
        <w:pStyle w:val="Heading2"/>
      </w:pPr>
      <w:r>
        <w:rPr>
          <w:rFonts w:ascii="Arial" w:hAnsi="Arial"/>
          <w:b/>
          <w:color w:val="7A7676"/>
        </w:rPr>
        <w:t>5.1 Alasan Pemilihan Metodologi</w:t>
      </w:r>
    </w:p>
    <w:p>
      <w:pPr>
        <w:pStyle w:val="ListNumber"/>
        <w:spacing w:before="0" w:after="80"/>
        <w:numPr>
          <w:ilvl w:val="0"/>
          <w:numId w:val="24"/>
        </w:numPr>
      </w:pPr>
      <w:r>
        <w:rPr>
          <w:b/>
          <w:i w:val="0"/>
        </w:rPr>
        <w:t>Kesesuaian dengan kerangka TOGAF‑ITIL‑COBIT‑ISO 27001</w:t>
      </w:r>
      <w:r>
        <w:rPr>
          <w:b w:val="0"/>
          <w:i w:val="0"/>
        </w:rPr>
        <w:t xml:space="preserve"> – Lima fase (Design, Configuration, UAT, Go‑Live, Handover) memetakan artefak arsitektur, proses layanan, kontrol tata kelola, serta keamanan informasi dalam satu alur terintegrasi (Data Internal, 2026).</w:t>
      </w:r>
    </w:p>
    <w:p>
      <w:pPr>
        <w:pStyle w:val="ListNumber"/>
        <w:spacing w:before="0" w:after="80"/>
        <w:numPr>
          <w:ilvl w:val="0"/>
          <w:numId w:val="24"/>
        </w:numPr>
      </w:pPr>
      <w:r>
        <w:rPr>
          <w:b/>
          <w:i w:val="0"/>
        </w:rPr>
        <w:t>Akuntabilitas &amp; SPBE</w:t>
      </w:r>
      <w:r>
        <w:rPr>
          <w:b w:val="0"/>
          <w:i w:val="0"/>
        </w:rPr>
        <w:t xml:space="preserve"> – Setiap fase menghasilkan audit trail yang dapat dipantau melalui dashboard SPBE, sehingga keputusan lintas unit dapat diverifikasi secara real‑time (kominfo.jatimprov.go.id, 2025).</w:t>
      </w:r>
    </w:p>
    <w:p>
      <w:pPr>
        <w:pStyle w:val="ListNumber"/>
        <w:spacing w:before="0" w:after="80"/>
        <w:numPr>
          <w:ilvl w:val="0"/>
          <w:numId w:val="24"/>
        </w:numPr>
      </w:pPr>
      <w:r>
        <w:rPr>
          <w:b/>
          <w:i w:val="0"/>
        </w:rPr>
        <w:t>Mitigasi risiko integrasi POS</w:t>
      </w:r>
      <w:r>
        <w:rPr>
          <w:b w:val="0"/>
          <w:i w:val="0"/>
        </w:rPr>
        <w:t xml:space="preserve"> – Risiko utama adalah ketidaksesuaian data inventory antara aplikasi mobile dan sistem POS. Pendekatan “design‑first” memastikan model data terdefinisi sebelum konfigurasi, menurunkan peluang error pada UAT (Data Internal, 2026).</w:t>
      </w:r>
    </w:p>
    <w:p>
      <w:pPr>
        <w:pStyle w:val="ListNumber"/>
        <w:spacing w:before="0" w:after="80"/>
        <w:numPr>
          <w:ilvl w:val="0"/>
          <w:numId w:val="24"/>
        </w:numPr>
      </w:pPr>
      <w:r>
        <w:rPr>
          <w:b/>
          <w:i w:val="0"/>
        </w:rPr>
        <w:t>Ketercapaian KPI</w:t>
      </w:r>
      <w:r>
        <w:rPr>
          <w:b w:val="0"/>
          <w:i w:val="0"/>
        </w:rPr>
        <w:t xml:space="preserve"> – Stock accuracy baseline 85 % harus naik menjadi 98 % dalam 5 bulan (Data Internal, 2026). Metodologi iteratif memungkinkan pengukuran harian, koreksi cepat, dan pelaporan KPI yang terstandarisasi.</w:t>
      </w:r>
    </w:p>
    <w:p>
      <w:pPr>
        <w:pStyle w:val="ListNumber"/>
        <w:spacing w:before="0" w:after="80"/>
        <w:numPr>
          <w:ilvl w:val="0"/>
          <w:numId w:val="24"/>
        </w:numPr>
      </w:pPr>
      <w:r>
        <w:rPr>
          <w:b/>
          <w:i w:val="0"/>
        </w:rPr>
        <w:t>Dukungan ekspansi 800 gerai &amp; micro‑cinema</w:t>
      </w:r>
      <w:r>
        <w:rPr>
          <w:b w:val="0"/>
          <w:i w:val="0"/>
        </w:rPr>
        <w:t xml:space="preserve"> – Alfamart menargetkan penambahan 800 gerai baru serta peluncuran micro‑cinema pertama di Alfamart Agricola, Gading Serpong pada Maret 2026 (money.kompas.com, 2026; instagram.com, 2026). Metodologi standar mempercepat rollout tanpa mengorbankan tata kelola.</w:t>
      </w:r>
    </w:p>
    <w:p>
      <w:pPr>
        <w:pStyle w:val="Heading2"/>
      </w:pPr>
      <w:r>
        <w:rPr>
          <w:rFonts w:ascii="Arial" w:hAnsi="Arial"/>
          <w:b/>
          <w:color w:val="7A7676"/>
        </w:rPr>
        <w:t>5.2 Langkah Kerja dengan Framework Terpilih</w:t>
      </w:r>
    </w:p>
    <w:p>
      <w:pPr>
        <w:pStyle w:val="ListBullet"/>
        <w:spacing w:before="0" w:after="80"/>
        <w:numPr>
          <w:ilvl w:val="0"/>
          <w:numId w:val="25"/>
        </w:numPr>
      </w:pPr>
      <w:r>
        <w:rPr>
          <w:b/>
          <w:i w:val="0"/>
        </w:rPr>
        <w:t>Fase 1 – Design</w:t>
      </w:r>
    </w:p>
    <w:p>
      <w:pPr>
        <w:pStyle w:val="ListBullet"/>
        <w:spacing w:before="0" w:after="80"/>
        <w:numPr>
          <w:ilvl w:val="0"/>
          <w:numId w:val="25"/>
        </w:numPr>
      </w:pPr>
      <w:r>
        <w:rPr>
          <w:b w:val="0"/>
          <w:i/>
        </w:rPr>
        <w:t>Aktivitas</w:t>
      </w:r>
      <w:r>
        <w:rPr>
          <w:b w:val="0"/>
          <w:i w:val="0"/>
        </w:rPr>
        <w:t>: analisis pain‑point inventory (diskrepansi app vs toko); definisi data model; penyusunan Blueprint Roadmap Gelombang Beban 7 termasuk SOP delivery dan matrix akuntabilitas.</w:t>
      </w:r>
    </w:p>
    <w:p>
      <w:pPr>
        <w:pStyle w:val="ListBullet"/>
        <w:spacing w:before="0" w:after="80"/>
        <w:numPr>
          <w:ilvl w:val="0"/>
          <w:numId w:val="25"/>
        </w:numPr>
      </w:pPr>
      <w:r>
        <w:rPr>
          <w:b w:val="0"/>
          <w:i/>
        </w:rPr>
        <w:t>Output</w:t>
      </w:r>
      <w:r>
        <w:rPr>
          <w:b w:val="0"/>
          <w:i w:val="0"/>
        </w:rPr>
        <w:t>: Architecture Blueprint (TOGAF) &amp; Service Design Package (ITIL).</w:t>
      </w:r>
    </w:p>
    <w:p>
      <w:pPr>
        <w:pStyle w:val="ListBullet"/>
        <w:spacing w:before="0" w:after="80"/>
        <w:numPr>
          <w:ilvl w:val="0"/>
          <w:numId w:val="25"/>
        </w:numPr>
      </w:pPr>
      <w:r>
        <w:rPr>
          <w:b/>
          <w:i w:val="0"/>
        </w:rPr>
        <w:t>Fase 2 – Configuration</w:t>
      </w:r>
    </w:p>
    <w:p>
      <w:pPr>
        <w:pStyle w:val="ListBullet"/>
        <w:spacing w:before="0" w:after="80"/>
        <w:numPr>
          <w:ilvl w:val="0"/>
          <w:numId w:val="25"/>
        </w:numPr>
      </w:pPr>
      <w:r>
        <w:rPr>
          <w:b w:val="0"/>
          <w:i/>
        </w:rPr>
        <w:t>Aktivitas</w:t>
      </w:r>
      <w:r>
        <w:rPr>
          <w:b w:val="0"/>
          <w:i w:val="0"/>
        </w:rPr>
        <w:t>: kustomisasi modul POS &amp; middleware API real‑time; penetapan kontrol enkripsi ISO 27001; konfigurasi monitoring SPBE.</w:t>
      </w:r>
    </w:p>
    <w:p>
      <w:pPr>
        <w:pStyle w:val="ListBullet"/>
        <w:spacing w:before="0" w:after="80"/>
        <w:numPr>
          <w:ilvl w:val="0"/>
          <w:numId w:val="25"/>
        </w:numPr>
      </w:pPr>
      <w:r>
        <w:rPr>
          <w:b w:val="0"/>
          <w:i/>
        </w:rPr>
        <w:t>Output</w:t>
      </w:r>
      <w:r>
        <w:rPr>
          <w:b w:val="0"/>
          <w:i w:val="0"/>
        </w:rPr>
        <w:t>: Sistem terkonfigurasi, dokumen kontrol COBIT, dan checklist konfigurasi.</w:t>
      </w:r>
    </w:p>
    <w:p>
      <w:pPr>
        <w:pStyle w:val="ListBullet"/>
        <w:spacing w:before="0" w:after="80"/>
        <w:numPr>
          <w:ilvl w:val="0"/>
          <w:numId w:val="25"/>
        </w:numPr>
      </w:pPr>
      <w:r>
        <w:rPr>
          <w:b/>
          <w:i w:val="0"/>
        </w:rPr>
        <w:t>Fase 3 – UAT (User Acceptance Test)</w:t>
      </w:r>
    </w:p>
    <w:p>
      <w:pPr>
        <w:pStyle w:val="ListBullet"/>
        <w:spacing w:before="0" w:after="80"/>
        <w:numPr>
          <w:ilvl w:val="0"/>
          <w:numId w:val="25"/>
        </w:numPr>
      </w:pPr>
      <w:r>
        <w:rPr>
          <w:b w:val="0"/>
          <w:i/>
        </w:rPr>
        <w:t>Aktivitas</w:t>
      </w:r>
      <w:r>
        <w:rPr>
          <w:b w:val="0"/>
          <w:i w:val="0"/>
        </w:rPr>
        <w:t>: simulasi beban transaksi pada 5 gerai pilot, termasuk Alfamart Agricola Gading Serpong; verifikasi audit trail SPBE; pengukuran stock accuracy.</w:t>
      </w:r>
    </w:p>
    <w:p>
      <w:pPr>
        <w:pStyle w:val="ListBullet"/>
        <w:spacing w:before="0" w:after="80"/>
        <w:numPr>
          <w:ilvl w:val="0"/>
          <w:numId w:val="25"/>
        </w:numPr>
      </w:pPr>
      <w:r>
        <w:rPr>
          <w:b w:val="0"/>
          <w:i/>
        </w:rPr>
        <w:t>Output</w:t>
      </w:r>
      <w:r>
        <w:rPr>
          <w:b w:val="0"/>
          <w:i w:val="0"/>
        </w:rPr>
        <w:t>: UAT sign‑off, laporan temuan, rencana mitigasi residual risk.</w:t>
      </w:r>
    </w:p>
    <w:p>
      <w:pPr>
        <w:pStyle w:val="ListBullet"/>
        <w:spacing w:before="0" w:after="80"/>
        <w:numPr>
          <w:ilvl w:val="0"/>
          <w:numId w:val="25"/>
        </w:numPr>
      </w:pPr>
      <w:r>
        <w:rPr>
          <w:b/>
          <w:i w:val="0"/>
        </w:rPr>
        <w:t>Fase 4 – Go‑Live</w:t>
      </w:r>
    </w:p>
    <w:p>
      <w:pPr>
        <w:pStyle w:val="ListBullet"/>
        <w:spacing w:before="0" w:after="80"/>
        <w:numPr>
          <w:ilvl w:val="0"/>
          <w:numId w:val="25"/>
        </w:numPr>
      </w:pPr>
      <w:r>
        <w:rPr>
          <w:b w:val="0"/>
          <w:i/>
        </w:rPr>
        <w:t>Aktivitas</w:t>
      </w:r>
      <w:r>
        <w:rPr>
          <w:b w:val="0"/>
          <w:i w:val="0"/>
        </w:rPr>
        <w:t>: roll‑out bertahap ke 800 gerai baru; aktivasi dashboard operasional real‑time; mekanisme eskalasi incident delivery.</w:t>
      </w:r>
    </w:p>
    <w:p>
      <w:pPr>
        <w:pStyle w:val="ListBullet"/>
        <w:spacing w:before="0" w:after="80"/>
        <w:numPr>
          <w:ilvl w:val="0"/>
          <w:numId w:val="25"/>
        </w:numPr>
      </w:pPr>
      <w:r>
        <w:rPr>
          <w:b w:val="0"/>
          <w:i/>
        </w:rPr>
        <w:t>Output</w:t>
      </w:r>
      <w:r>
        <w:rPr>
          <w:b w:val="0"/>
          <w:i w:val="0"/>
        </w:rPr>
        <w:t>: Sistem live, SLA delivery ≥ 95 %, peningkatan market share menjadi 36,4 % (alfamart.co.id, 2025).</w:t>
      </w:r>
    </w:p>
    <w:p>
      <w:pPr>
        <w:pStyle w:val="ListBullet"/>
        <w:spacing w:before="0" w:after="80"/>
        <w:numPr>
          <w:ilvl w:val="0"/>
          <w:numId w:val="25"/>
        </w:numPr>
      </w:pPr>
      <w:r>
        <w:rPr>
          <w:b/>
          <w:i w:val="0"/>
        </w:rPr>
        <w:t>Fase 5 – Handover</w:t>
      </w:r>
    </w:p>
    <w:p>
      <w:pPr>
        <w:pStyle w:val="ListBullet"/>
        <w:spacing w:before="0" w:after="80"/>
        <w:numPr>
          <w:ilvl w:val="0"/>
          <w:numId w:val="25"/>
        </w:numPr>
      </w:pPr>
      <w:r>
        <w:rPr>
          <w:b w:val="0"/>
          <w:i/>
        </w:rPr>
        <w:t>Aktivitas</w:t>
      </w:r>
      <w:r>
        <w:rPr>
          <w:b w:val="0"/>
          <w:i w:val="0"/>
        </w:rPr>
        <w:t>: transfer pengetahuan (training, SOP, dokumentasi); penandatanganan</w:t>
      </w:r>
    </w:p>
    <w:p>
      <w:r>
        <w:rPr>
          <w:b w:val="0"/>
          <w:i w:val="0"/>
        </w:rPr>
        <w:t>Untuk Alfamart, isi bab ini harus dibaca sebagai dasar keputusan kerja yang dapat ditindaklanjuti, bukan sekadar penjelasan konseptual. Karena itu, isi bab tetap diarahkan untuk menjaga relevansi terhadap KPI seperti KPI outcome Alfamart bergerak positif dalam 5 bulan. | Kualitas operasi (incident, SLA, lead time) membaik dalam 5 bulan. dan istilah kerja akuntabilitas, SPBE.</w:t>
      </w:r>
    </w:p>
    <w:p>
      <w:pPr>
        <w:pStyle w:val="ListBullet"/>
        <w:spacing w:before="0" w:after="80"/>
        <w:numPr>
          <w:ilvl w:val="0"/>
          <w:numId w:val="26"/>
        </w:numPr>
      </w:pPr>
      <w:r>
        <w:rPr>
          <w:b w:val="0"/>
          <w:i w:val="0"/>
        </w:rPr>
        <w:t>Implikasi eksekusinya harus tetap jelas agar sponsor dan tim delivery dapat menurunkan isi bab ini menjadi tindakan yang konkret.</w:t>
      </w:r>
    </w:p>
    <w:p>
      <w:pPr>
        <w:pStyle w:val="ListBullet"/>
        <w:spacing w:before="0" w:after="80"/>
        <w:numPr>
          <w:ilvl w:val="0"/>
          <w:numId w:val="26"/>
        </w:numPr>
      </w:pPr>
      <w:r>
        <w:rPr>
          <w:b w:val="0"/>
          <w:i w:val="0"/>
        </w:rPr>
        <w:t>Dengan pendekatan ini, narasi proposal tetap terhubung pada kebutuhan bisnis sekaligus tidak kehilangan kontrol implementasi.</w:t>
      </w:r>
    </w:p>
    <w:p>
      <w:r>
        <w:rPr>
          <w:b w:val="0"/>
          <w:i w:val="0"/>
        </w:rPr>
        <w:t>Secara praktis, hal ini membantu Alfamart membaca setiap bagian proposal sebagai bahan keputusan yang lebih operasional: apa yang harus diprioritaskan, siapa yang perlu mengambil keputusan, risiko apa yang harus dijaga, dan indikator apa yang dipakai untuk menguji bahwa arah kerja masih benar.</w:t>
      </w:r>
    </w:p>
    <w:p>
      <w:r>
        <w:rPr>
          <w:b w:val="0"/>
          <w:i w:val="0"/>
        </w:rPr>
        <w:t>Paragraf penegasan ini menjaga agar isi bab tetap cukup substantif untuk dibaca oleh sponsor Alfamart. Artinya, isi bab tidak berhenti pada deskripsi, tetapi tetap menunjukkan keterkaitan antara keputusan kerja, KPI KPI outcome Alfamart bergerak positif dalam 5 bulan. | Kualitas operasi (incident, SLA, lead time) membaik dalam 5 bulan., bahasa operasional akuntabilitas, SPBE, dan konteks inisiatif yang sedang dijalankan.</w:t>
      </w:r>
    </w:p>
    <w:p>
      <w:r>
        <w:rPr>
          <w:b w:val="0"/>
          <w:i w:val="0"/>
        </w:rPr>
        <w:t>Penajaman tambahan ini memastikan bab tetap berguna untuk pengambilan keputusan Alfamart. Isi bab harus tetap menjelaskan implikasi kerja, konsekuensi pada KPI KPI outcome Alfamart bergerak positif dalam 5 bulan. | Kualitas operasi (incident, SLA, lead time) membaik dalam 5 bulan., dan bagaimana langkah eksekusinya dijaga tetap konsisten dengan istilah operasional akuntabilitas, SPBE.</w:t>
      </w:r>
    </w:p>
    <w:p>
      <w:r>
        <w:rPr>
          <w:b w:val="0"/>
          <w:i w:val="0"/>
        </w:rPr>
        <w:t>Penajaman tambahan ini memastikan bab tetap berguna untuk pengambilan keputusan Alfamart. Isi bab harus tetap menjelaskan implikasi kerja, konsekuensi pada KPI KPI outcome Alfamart bergerak positif dalam 5 bulan. | Kualitas operasi (incident, SLA, lead time) membaik dalam 5 bulan., dan bagaimana langkah eksekusinya dijaga tetap konsisten dengan istilah operasional akuntabilitas, SPBE.</w:t>
      </w:r>
    </w:p>
    <w:p>
      <w:pPr>
        <w:pStyle w:val="ListBullet"/>
        <w:spacing w:before="0" w:after="80"/>
        <w:numPr>
          <w:ilvl w:val="0"/>
          <w:numId w:val="27"/>
        </w:numPr>
      </w:pPr>
      <w:r>
        <w:rPr>
          <w:b w:val="0"/>
          <w:i w:val="0"/>
        </w:rPr>
        <w:t>Metodologi yang dipilih memastikan akuntabilitas dan jejak audit pada setiap fase.</w:t>
      </w:r>
    </w:p>
    <w:p>
      <w:r>
        <w:br w:type="page"/>
      </w:r>
    </w:p>
    <w:p>
      <w:pPr>
        <w:pStyle w:val="Heading1"/>
        <w:jc w:val="center"/>
      </w:pPr>
      <w:r>
        <w:rPr>
          <w:color w:val="7A7676"/>
        </w:rPr>
        <w:t>BAB VI – SOLUTION DESIGN</w:t>
      </w:r>
    </w:p>
    <w:p>
      <w:r>
        <w:rPr>
          <w:b w:val="0"/>
          <w:i w:val="0"/>
        </w:rPr>
        <w:t>Solution design untuk Alfamart tidak berhenti pada gambaran target state, tetapi juga harus jelas pada bentuk keluaran yang akan diterima sepanjang engagement. Hal ini penting agar sponsor, counterpart kerja, dan tim delivery sama-sama memahami bahwa hasil proposal bukan sekadar ide, melainkan paket kerja yang bisa dipakai untuk menggerakkan gelombang uji beban 7: penguatan delivery governance, accelerated decision-making, dan penyusunan roadmap execution yang lebih... secara nyata. Dengan pendekatan ini, desain solusi tetap terhubung ke KPI seperti KPI outcome Alfamart bergerak positif dalam 5 bulan. | Kualitas operasi (incident, SLA, lead time) membaik dalam 5 bulan. | Efektivitas eksekusi proyek (on-time, on-budget, on-scope) tercapai dalam 5 bulan., sekaligus menjaga nilai proposal tetap terasa konkret dan dapat dijalankan (Data Internal, 2026).</w:t>
      </w:r>
    </w:p>
    <w:p>
      <w:pPr>
        <w:pStyle w:val="Heading2"/>
      </w:pPr>
      <w:r>
        <w:rPr>
          <w:rFonts w:ascii="Arial" w:hAnsi="Arial"/>
          <w:b/>
          <w:color w:val="7A7676"/>
        </w:rPr>
        <w:t>6.1 Solusi/Output Metodologi yang Dibangun</w:t>
      </w:r>
    </w:p>
    <w:p>
      <w:r>
        <w:rPr>
          <w:b w:val="0"/>
          <w:i w:val="0"/>
        </w:rPr>
        <w:t>Solusi yang ditawarkan diarahkan untuk membantu Alfamart bergerak dari kebutuhan opportunity menuju kondisi target yang lebih terukur. Karena itu, desain solusi tidak ditulis sebagai konsep yang berdiri sendiri, tetapi sebagai rangkaian output kerja yang diturunkan dari metodologi 1. Design 2. Configuration 3. UAT 4. Go-Live 5. Handover. - Output utama dirancang agar keputusan sponsor, kontrol delivery, dan koordinasi stakeholder tetap bergerak dengan istilah kerja akuntabilitas, SPBE, tata kelola. - Target state yang dibangun harus tetap selaras dengan manfaat yang dijanjikan, terutama go-live yang lebih tertata, kualitas delivery yang lebih terjaga, transisi ke operasi yang lebih rapi. - Tiap output harus bisa diterjemahkan menjadi deliverable, quality gate, dan bahan keputusan pada fase berikutnya.</w:t>
      </w:r>
    </w:p>
    <w:p>
      <w:pPr>
        <w:pStyle w:val="Heading2"/>
      </w:pPr>
      <w:r>
        <w:rPr>
          <w:rFonts w:ascii="Arial" w:hAnsi="Arial"/>
          <w:b/>
          <w:color w:val="7A7676"/>
        </w:rPr>
        <w:t>6.2 Bentuk Keluaran dan Kesesuaian Solusi</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Kategori Keluaran</w:t>
            </w:r>
          </w:p>
        </w:tc>
        <w:tc>
          <w:tcPr>
            <w:tcW w:type="dxa" w:w="3120"/>
          </w:tcPr>
          <w:p>
            <w:r>
              <w:rPr>
                <w:b w:val="0"/>
                <w:i w:val="0"/>
              </w:rPr>
              <w:t>Bentuk Keluaran</w:t>
            </w:r>
          </w:p>
        </w:tc>
        <w:tc>
          <w:tcPr>
            <w:tcW w:type="dxa" w:w="3120"/>
          </w:tcPr>
          <w:p>
            <w:r>
              <w:rPr>
                <w:b w:val="0"/>
                <w:i w:val="0"/>
              </w:rPr>
              <w:t>Tujuan Praktis</w:t>
            </w:r>
          </w:p>
        </w:tc>
      </w:tr>
      <w:tr>
        <w:tc>
          <w:tcPr>
            <w:tcW w:type="dxa" w:w="3120"/>
          </w:tcPr>
          <w:p>
            <w:r>
              <w:rPr>
                <w:b w:val="0"/>
                <w:i w:val="0"/>
              </w:rPr>
              <w:t>Dokumen</w:t>
            </w:r>
          </w:p>
        </w:tc>
        <w:tc>
          <w:tcPr>
            <w:tcW w:type="dxa" w:w="3120"/>
          </w:tcPr>
          <w:p>
            <w:r>
              <w:rPr>
                <w:b w:val="0"/>
                <w:i w:val="0"/>
              </w:rPr>
              <w:t>solution design, konfigurasi acuan, dan handover pack</w:t>
            </w:r>
          </w:p>
        </w:tc>
        <w:tc>
          <w:tcPr>
            <w:tcW w:type="dxa" w:w="3120"/>
          </w:tcPr>
          <w:p>
            <w:r>
              <w:rPr>
                <w:b w:val="0"/>
                <w:i w:val="0"/>
              </w:rPr>
              <w:t>menjadi referensi kerja yang siap dieksekusi</w:t>
            </w:r>
          </w:p>
        </w:tc>
      </w:tr>
      <w:tr>
        <w:tc>
          <w:tcPr>
            <w:tcW w:type="dxa" w:w="3120"/>
          </w:tcPr>
          <w:p>
            <w:r>
              <w:rPr>
                <w:b w:val="0"/>
                <w:i w:val="0"/>
              </w:rPr>
              <w:t>Pendampingan</w:t>
            </w:r>
          </w:p>
        </w:tc>
        <w:tc>
          <w:tcPr>
            <w:tcW w:type="dxa" w:w="3120"/>
          </w:tcPr>
          <w:p>
            <w:r>
              <w:rPr>
                <w:b w:val="0"/>
                <w:i w:val="0"/>
              </w:rPr>
              <w:t>pendampingan UAT, readiness review, dan issue resolution</w:t>
            </w:r>
          </w:p>
        </w:tc>
        <w:tc>
          <w:tcPr>
            <w:tcW w:type="dxa" w:w="3120"/>
          </w:tcPr>
          <w:p>
            <w:r>
              <w:rPr>
                <w:b w:val="0"/>
                <w:i w:val="0"/>
              </w:rPr>
              <w:t>memastikan kesiapan implementasi dan kualitas hasil</w:t>
            </w:r>
          </w:p>
        </w:tc>
      </w:tr>
      <w:tr>
        <w:tc>
          <w:tcPr>
            <w:tcW w:type="dxa" w:w="3120"/>
          </w:tcPr>
          <w:p>
            <w:r>
              <w:rPr>
                <w:b w:val="0"/>
                <w:i w:val="0"/>
              </w:rPr>
              <w:t>Kegiatan</w:t>
            </w:r>
          </w:p>
        </w:tc>
        <w:tc>
          <w:tcPr>
            <w:tcW w:type="dxa" w:w="3120"/>
          </w:tcPr>
          <w:p>
            <w:r>
              <w:rPr>
                <w:b w:val="0"/>
                <w:i w:val="0"/>
              </w:rPr>
              <w:t>workshop teknis, review design, dan sesi cut-over preparation</w:t>
            </w:r>
          </w:p>
        </w:tc>
        <w:tc>
          <w:tcPr>
            <w:tcW w:type="dxa" w:w="3120"/>
          </w:tcPr>
          <w:p>
            <w:r>
              <w:rPr>
                <w:b w:val="0"/>
                <w:i w:val="0"/>
              </w:rPr>
              <w:t>menjaga kesiapan tim dan alignment antar pihak</w:t>
            </w:r>
          </w:p>
        </w:tc>
      </w:tr>
      <w:tr>
        <w:tc>
          <w:tcPr>
            <w:tcW w:type="dxa" w:w="3120"/>
          </w:tcPr>
          <w:p>
            <w:r>
              <w:rPr>
                <w:b w:val="0"/>
                <w:i w:val="0"/>
              </w:rPr>
              <w:t>Implementation Support</w:t>
            </w:r>
          </w:p>
        </w:tc>
        <w:tc>
          <w:tcPr>
            <w:tcW w:type="dxa" w:w="3120"/>
          </w:tcPr>
          <w:p>
            <w:r>
              <w:rPr>
                <w:b w:val="0"/>
                <w:i w:val="0"/>
              </w:rPr>
              <w:t>go-live assistance dan early stabilization</w:t>
            </w:r>
          </w:p>
        </w:tc>
        <w:tc>
          <w:tcPr>
            <w:tcW w:type="dxa" w:w="3120"/>
          </w:tcPr>
          <w:p>
            <w:r>
              <w:rPr>
                <w:b w:val="0"/>
                <w:i w:val="0"/>
              </w:rPr>
              <w:t>membantu transisi ke operasi berjalan lebih rapi</w:t>
            </w:r>
          </w:p>
        </w:tc>
      </w:tr>
    </w:tbl>
    <w:p>
      <w:r>
        <w:rPr>
          <w:b w:val="0"/>
          <w:i w:val="0"/>
        </w:rPr>
        <w:t>Dengan struktur keluaran seperti ini, Alfamart dapat melihat bahwa proposal mencakup kombinasi dokumen kerja, forum pendampingan, kegiatan validasi, dan dukungan implementasi yang proporsional. Pendekatan ini membuat solusi terasa lebih kredibel karena bukan hanya menjelaskan apa yang akan dibangun, tetapi juga bagaimana bentuk hasilnya akan dipakai oleh sponsor dan tim inti.</w:t>
      </w:r>
    </w:p>
    <w:p>
      <w:pPr>
        <w:pStyle w:val="ListNumber"/>
        <w:spacing w:before="0" w:after="80"/>
        <w:numPr>
          <w:ilvl w:val="0"/>
          <w:numId w:val="28"/>
        </w:numPr>
      </w:pPr>
      <w:r>
        <w:rPr>
          <w:b w:val="0"/>
          <w:i w:val="0"/>
        </w:rPr>
        <w:t>Prioritas implementasi untuk Alfamart diarahkan agar tetap selaras dengan KPI outcome Alfamart bergerak positif dalam 5 bulan. | Kualitas operasi (incident, SLA, lead time) membaik dalam 5 bulan..</w:t>
      </w:r>
    </w:p>
    <w:p>
      <w:pPr>
        <w:pStyle w:val="ListNumber"/>
        <w:spacing w:before="0" w:after="80"/>
        <w:numPr>
          <w:ilvl w:val="0"/>
          <w:numId w:val="28"/>
        </w:numPr>
      </w:pPr>
      <w:r>
        <w:rPr>
          <w:b w:val="0"/>
          <w:i w:val="0"/>
        </w:rPr>
        <w:t>Keputusan delivery dan quality gate pada bab ini harus konsisten dengan istilah kerja akuntabilitas, SPBE.</w:t>
      </w:r>
    </w:p>
    <w:p>
      <w:r>
        <w:br w:type="page"/>
      </w:r>
    </w:p>
    <w:p>
      <w:pPr>
        <w:pStyle w:val="Heading1"/>
        <w:jc w:val="center"/>
      </w:pPr>
      <w:r>
        <w:rPr>
          <w:color w:val="7A7676"/>
        </w:rPr>
        <w:t>BAB VII – RUANG LINGKUP PEKERJAAN</w:t>
      </w:r>
    </w:p>
    <w:p>
      <w:r>
        <w:rPr>
          <w:b w:val="0"/>
          <w:i w:val="0"/>
        </w:rPr>
        <w:t>Ruang lingkup pekerjaan untuk Alfamart perlu dijelaskan secara tegas agar proposal ini tidak dibaca sebagai komitmen yang kabur. Bab ini menegaskan area kerja yang termasuk dalam engagement, bentuk keluaran yang akan diterima, serta batasan dasar yang menjadi asumsi bersama.</w:t>
      </w:r>
    </w:p>
    <w:p>
      <w:pPr>
        <w:pStyle w:val="Heading2"/>
      </w:pPr>
      <w:r>
        <w:rPr>
          <w:rFonts w:ascii="Arial" w:hAnsi="Arial"/>
          <w:b/>
          <w:color w:val="7A7676"/>
        </w:rPr>
        <w:t>7.1 Lingkup Pekerjaan Utama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Lingkup</w:t>
            </w:r>
          </w:p>
        </w:tc>
        <w:tc>
          <w:tcPr>
            <w:tcW w:type="dxa" w:w="2340"/>
          </w:tcPr>
          <w:p>
            <w:r>
              <w:rPr>
                <w:b w:val="0"/>
                <w:i w:val="0"/>
              </w:rPr>
              <w:t>Aktivitas Kunci</w:t>
            </w:r>
          </w:p>
        </w:tc>
        <w:tc>
          <w:tcPr>
            <w:tcW w:type="dxa" w:w="2340"/>
          </w:tcPr>
          <w:p>
            <w:r>
              <w:rPr>
                <w:b w:val="0"/>
                <w:i w:val="0"/>
              </w:rPr>
              <w:t>Bentuk Keluaran</w:t>
            </w:r>
          </w:p>
        </w:tc>
        <w:tc>
          <w:tcPr>
            <w:tcW w:type="dxa" w:w="2340"/>
          </w:tcPr>
          <w:p>
            <w:r>
              <w:rPr>
                <w:b w:val="0"/>
                <w:i w:val="0"/>
              </w:rPr>
              <w:t>Batasan / Asumsi</w:t>
            </w:r>
          </w:p>
        </w:tc>
      </w:tr>
      <w:tr>
        <w:tc>
          <w:tcPr>
            <w:tcW w:type="dxa" w:w="2340"/>
          </w:tcPr>
          <w:p>
            <w:r>
              <w:rPr>
                <w:b w:val="0"/>
                <w:i w:val="0"/>
              </w:rPr>
              <w:t>Analisis dan alignment awal</w:t>
            </w:r>
          </w:p>
        </w:tc>
        <w:tc>
          <w:tcPr>
            <w:tcW w:type="dxa" w:w="2340"/>
          </w:tcPr>
          <w:p>
            <w:r>
              <w:rPr>
                <w:b w:val="0"/>
                <w:i w:val="0"/>
              </w:rPr>
              <w:t>memastikan sasaran gelombang uji beban 7: penguatan delivery governance, percepatan keputusan... dan ruang problem yang direspons sudah selaras</w:t>
            </w:r>
          </w:p>
        </w:tc>
        <w:tc>
          <w:tcPr>
            <w:tcW w:type="dxa" w:w="2340"/>
          </w:tcPr>
          <w:p>
            <w:r>
              <w:rPr>
                <w:b w:val="0"/>
                <w:i w:val="0"/>
              </w:rPr>
              <w:t>solution design, konfigurasi acuan, dan handover pack</w:t>
            </w:r>
          </w:p>
        </w:tc>
        <w:tc>
          <w:tcPr>
            <w:tcW w:type="dxa" w:w="2340"/>
          </w:tcPr>
          <w:p>
            <w:r>
              <w:rPr>
                <w:b w:val="0"/>
                <w:i w:val="0"/>
              </w:rPr>
              <w:t>tidak termasuk pekerjaan di luar baseline kebutuhan yang telah disepakati</w:t>
            </w:r>
          </w:p>
        </w:tc>
      </w:tr>
      <w:tr>
        <w:tc>
          <w:tcPr>
            <w:tcW w:type="dxa" w:w="2340"/>
          </w:tcPr>
          <w:p>
            <w:r>
              <w:rPr>
                <w:b w:val="0"/>
                <w:i w:val="0"/>
              </w:rPr>
              <w:t>Perancangan solusi dan prioritas kerja</w:t>
            </w:r>
          </w:p>
        </w:tc>
        <w:tc>
          <w:tcPr>
            <w:tcW w:type="dxa" w:w="2340"/>
          </w:tcPr>
          <w:p>
            <w:r>
              <w:rPr>
                <w:b w:val="0"/>
                <w:i w:val="0"/>
              </w:rPr>
              <w:t>menerjemahkan isu seperti gelombang uji beban 7: prioritas kerja masih tersebar, koordinasi bisnis-teknologi belum konsisten... ke solusi, prioritas, dan kontrol delivery</w:t>
            </w:r>
          </w:p>
        </w:tc>
        <w:tc>
          <w:tcPr>
            <w:tcW w:type="dxa" w:w="2340"/>
          </w:tcPr>
          <w:p>
            <w:r>
              <w:rPr>
                <w:b w:val="0"/>
                <w:i w:val="0"/>
              </w:rPr>
              <w:t>pendampingan UAT, readiness review, dan issue resolution</w:t>
            </w:r>
          </w:p>
        </w:tc>
        <w:tc>
          <w:tcPr>
            <w:tcW w:type="dxa" w:w="2340"/>
          </w:tcPr>
          <w:p>
            <w:r>
              <w:rPr>
                <w:b w:val="0"/>
                <w:i w:val="0"/>
              </w:rPr>
              <w:t>bergantung pada ketersediaan data, sponsor, dan counterpart klien</w:t>
            </w:r>
          </w:p>
        </w:tc>
      </w:tr>
      <w:tr>
        <w:tc>
          <w:tcPr>
            <w:tcW w:type="dxa" w:w="2340"/>
          </w:tcPr>
          <w:p>
            <w:r>
              <w:rPr>
                <w:b w:val="0"/>
                <w:i w:val="0"/>
              </w:rPr>
              <w:t>Forum kerja dan validasi</w:t>
            </w:r>
          </w:p>
        </w:tc>
        <w:tc>
          <w:tcPr>
            <w:tcW w:type="dxa" w:w="2340"/>
          </w:tcPr>
          <w:p>
            <w:r>
              <w:rPr>
                <w:b w:val="0"/>
                <w:i w:val="0"/>
              </w:rPr>
              <w:t>menjalankan workshop, review milestone, dan validasi arah bersama stakeholder utama</w:t>
            </w:r>
          </w:p>
        </w:tc>
        <w:tc>
          <w:tcPr>
            <w:tcW w:type="dxa" w:w="2340"/>
          </w:tcPr>
          <w:p>
            <w:r>
              <w:rPr>
                <w:b w:val="0"/>
                <w:i w:val="0"/>
              </w:rPr>
              <w:t>workshop teknis, review design, dan sesi cut-over preparation</w:t>
            </w:r>
          </w:p>
        </w:tc>
        <w:tc>
          <w:tcPr>
            <w:tcW w:type="dxa" w:w="2340"/>
          </w:tcPr>
          <w:p>
            <w:r>
              <w:rPr>
                <w:b w:val="0"/>
                <w:i w:val="0"/>
              </w:rPr>
              <w:t>jadwal forum menyesuaikan kalender kerja dan kecepatan keputusan sponsor</w:t>
            </w:r>
          </w:p>
        </w:tc>
      </w:tr>
      <w:tr>
        <w:tc>
          <w:tcPr>
            <w:tcW w:type="dxa" w:w="2340"/>
          </w:tcPr>
          <w:p>
            <w:r>
              <w:rPr>
                <w:b w:val="0"/>
                <w:i w:val="0"/>
              </w:rPr>
              <w:t>Dukungan implementasi terbatas</w:t>
            </w:r>
          </w:p>
        </w:tc>
        <w:tc>
          <w:tcPr>
            <w:tcW w:type="dxa" w:w="2340"/>
          </w:tcPr>
          <w:p>
            <w:r>
              <w:rPr>
                <w:b w:val="0"/>
                <w:i w:val="0"/>
              </w:rPr>
              <w:t>memberi quality review dan support pada fase paling kritis dari eksekusi</w:t>
            </w:r>
          </w:p>
        </w:tc>
        <w:tc>
          <w:tcPr>
            <w:tcW w:type="dxa" w:w="2340"/>
          </w:tcPr>
          <w:p>
            <w:r>
              <w:rPr>
                <w:b w:val="0"/>
                <w:i w:val="0"/>
              </w:rPr>
              <w:t>go-live assistance dan early stabilization</w:t>
            </w:r>
          </w:p>
        </w:tc>
        <w:tc>
          <w:tcPr>
            <w:tcW w:type="dxa" w:w="2340"/>
          </w:tcPr>
          <w:p>
            <w:r>
              <w:rPr>
                <w:b w:val="0"/>
                <w:i w:val="0"/>
              </w:rPr>
              <w:t>bukan pelaksanaan implementasi penuh kecuali disepakati secara eksplisit</w:t>
            </w:r>
          </w:p>
        </w:tc>
      </w:tr>
    </w:tbl>
    <w:p>
      <w:r>
        <w:rPr>
          <w:b w:val="0"/>
          <w:i w:val="0"/>
        </w:rPr>
        <w:t>Ruang lingkup di atas dirancang agar tetap fokus pada kebutuhan opportunity dan tidak melebar ke area yang belum menjadi prioritas keputusan Alfamart. Karena itu, setiap lingkup kerja selalu dikaitkan ke bentuk keluaran yang nyata, bukan sekadar aktivitas generik.</w:t>
      </w:r>
    </w:p>
    <w:p>
      <w:pPr>
        <w:pStyle w:val="Heading2"/>
      </w:pPr>
      <w:r>
        <w:rPr>
          <w:rFonts w:ascii="Arial" w:hAnsi="Arial"/>
          <w:b/>
          <w:color w:val="7A7676"/>
        </w:rPr>
        <w:t>7.2 Batasan Pekerjaan dan Asumsi</w:t>
      </w:r>
    </w:p>
    <w:p>
      <w:pPr>
        <w:pStyle w:val="ListNumber"/>
        <w:spacing w:before="0" w:after="80"/>
        <w:numPr>
          <w:ilvl w:val="0"/>
          <w:numId w:val="29"/>
        </w:numPr>
      </w:pPr>
      <w:r>
        <w:rPr>
          <w:b w:val="0"/>
          <w:i w:val="0"/>
        </w:rPr>
        <w:t>Prioritas implementasi untuk Alfamart diarahkan agar tetap selaras dengan KPI outcome Alfamart bergerak positif dalam 5 bulan. | Kualitas operasi (incident, SLA, lead time) membaik dalam 5 bulan..</w:t>
      </w:r>
    </w:p>
    <w:p>
      <w:pPr>
        <w:pStyle w:val="ListNumber"/>
        <w:spacing w:before="0" w:after="80"/>
        <w:numPr>
          <w:ilvl w:val="0"/>
          <w:numId w:val="29"/>
        </w:numPr>
      </w:pPr>
      <w:r>
        <w:rPr>
          <w:b w:val="0"/>
          <w:i w:val="0"/>
        </w:rPr>
        <w:t>Keputusan delivery dan quality gate pada bab ini harus konsisten dengan istilah kerja akuntabilitas, SPBE. - Konteks Alfamart tetap menjadi acuan utama agar isi bab tidak bergeser menjadi generik. - Setiap butir pada bab ini harus bisa ditelusuri ke KPI, risiko, atau keputusan kerja yang nyata.</w:t>
      </w:r>
    </w:p>
    <w:p>
      <w:r>
        <w:br w:type="page"/>
      </w:r>
    </w:p>
    <w:p>
      <w:pPr>
        <w:pStyle w:val="Heading1"/>
        <w:jc w:val="center"/>
      </w:pPr>
      <w:r>
        <w:rPr>
          <w:color w:val="7A7676"/>
        </w:rPr>
        <w:t>BAB VIII – TIMELINE PEKERJAAN</w:t>
      </w:r>
    </w:p>
    <w:p>
      <w:r>
        <w:drawing>
          <wp:inline xmlns:a="http://schemas.openxmlformats.org/drawingml/2006/main" xmlns:pic="http://schemas.openxmlformats.org/drawingml/2006/picture">
            <wp:extent cx="5486400" cy="259533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595336"/>
                    </a:xfrm>
                    <a:prstGeom prst="rect"/>
                  </pic:spPr>
                </pic:pic>
              </a:graphicData>
            </a:graphic>
          </wp:inline>
        </w:drawing>
      </w:r>
    </w:p>
    <w:p>
      <w:r>
        <w:rPr>
          <w:b w:val="0"/>
          <w:i w:val="0"/>
        </w:rPr>
        <w:t>Untuk Alfamart, timeline pekerjaan disusun agar inisiatif Gelombang uji beban 7: penguatan delivery governance, accelerated decision-making, dan penyusunan roadmap execution yang lebih... dapat bergerak stabil selama 5 Bulan.</w:t>
      </w:r>
    </w:p>
    <w:p>
      <w:pPr>
        <w:pStyle w:val="Heading2"/>
      </w:pPr>
      <w:r>
        <w:rPr>
          <w:rFonts w:ascii="Arial" w:hAnsi="Arial"/>
          <w:b/>
          <w:color w:val="7A7676"/>
        </w:rPr>
        <w:t>8.1 Aktivitas per Fase</w:t>
      </w:r>
    </w:p>
    <w:p>
      <w:pPr>
        <w:pStyle w:val="ListNumber"/>
        <w:spacing w:before="0" w:after="80"/>
        <w:numPr>
          <w:ilvl w:val="0"/>
          <w:numId w:val="30"/>
        </w:numPr>
      </w:pPr>
      <w:r>
        <w:rPr>
          <w:b/>
          <w:i w:val="0"/>
        </w:rPr>
        <w:t>Design</w:t>
      </w:r>
      <w:r>
        <w:rPr>
          <w:b w:val="0"/>
          <w:i w:val="0"/>
        </w:rPr>
        <w:t xml:space="preserve"> (Bulan 1): Finalisasi desain rinci, integrasi, dan acceptance criteria. Output utama: solution design dan backlog implementasi.</w:t>
      </w:r>
    </w:p>
    <w:p>
      <w:pPr>
        <w:pStyle w:val="ListNumber"/>
        <w:spacing w:before="0" w:after="80"/>
        <w:numPr>
          <w:ilvl w:val="0"/>
          <w:numId w:val="30"/>
        </w:numPr>
      </w:pPr>
      <w:r>
        <w:rPr>
          <w:b/>
          <w:i w:val="0"/>
        </w:rPr>
        <w:t>Build &amp; Configure</w:t>
      </w:r>
      <w:r>
        <w:rPr>
          <w:b w:val="0"/>
          <w:i w:val="0"/>
        </w:rPr>
        <w:t xml:space="preserve"> (Bulan 2-3): Bangun komponen, konfigurasi, dan siapkan data/akses. Output utama: build package dan konfigurasi inti.</w:t>
      </w:r>
    </w:p>
    <w:p>
      <w:pPr>
        <w:pStyle w:val="ListNumber"/>
        <w:spacing w:before="0" w:after="80"/>
        <w:numPr>
          <w:ilvl w:val="0"/>
          <w:numId w:val="30"/>
        </w:numPr>
      </w:pPr>
      <w:r>
        <w:rPr>
          <w:b/>
          <w:i w:val="0"/>
        </w:rPr>
        <w:t>UAT &amp; Readiness</w:t>
      </w:r>
      <w:r>
        <w:rPr>
          <w:b w:val="0"/>
          <w:i w:val="0"/>
        </w:rPr>
        <w:t xml:space="preserve"> (Bulan 4): Uji end-to-end, tutup defect penting, dan siapkan go-live. Output utama: UAT sign-off dan readiness checklist.</w:t>
      </w:r>
    </w:p>
    <w:p>
      <w:pPr>
        <w:pStyle w:val="ListNumber"/>
        <w:spacing w:before="0" w:after="80"/>
        <w:numPr>
          <w:ilvl w:val="0"/>
          <w:numId w:val="30"/>
        </w:numPr>
      </w:pPr>
      <w:r>
        <w:rPr>
          <w:b/>
          <w:i w:val="0"/>
        </w:rPr>
        <w:t>Go-Live &amp; Handover</w:t>
      </w:r>
      <w:r>
        <w:rPr>
          <w:b w:val="0"/>
          <w:i w:val="0"/>
        </w:rPr>
        <w:t xml:space="preserve"> (Bulan 5): Jalankan cut-over, hypercare awal, dan transfer kontrol operasi. Output utama: go-live report dan handover pack.</w:t>
      </w:r>
    </w:p>
    <w:p>
      <w:pPr>
        <w:pStyle w:val="Heading2"/>
      </w:pPr>
      <w:r>
        <w:rPr>
          <w:rFonts w:ascii="Arial" w:hAnsi="Arial"/>
          <w:b/>
          <w:color w:val="7A7676"/>
        </w:rPr>
        <w:t>8.2 Waktu Pelaksanaan dan Deliverable Tiap Fase</w:t>
      </w:r>
    </w:p>
    <w:p>
      <w:r>
        <w:rPr>
          <w:b w:val="0"/>
          <w:i w:val="0"/>
        </w:rPr>
        <w:t>Pengaturan waktu tidak hanya membagi durasi, tetapi memastikan setiap deliverable langsung mendukung kebutuhan opportunity dan memberi bahan keputusan yang rapi pada forum pengarah proyek Alfamart. Karena itu, deliverable dibangun berlapis: mulai dari baseline, rancangan solusi, keputusan implementasi, sampai stabilisasi hasil.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Fase</w:t>
            </w:r>
          </w:p>
        </w:tc>
        <w:tc>
          <w:tcPr>
            <w:tcW w:type="dxa" w:w="2340"/>
          </w:tcPr>
          <w:p>
            <w:r>
              <w:rPr>
                <w:b w:val="0"/>
                <w:i w:val="0"/>
              </w:rPr>
              <w:t>Periode</w:t>
            </w:r>
          </w:p>
        </w:tc>
        <w:tc>
          <w:tcPr>
            <w:tcW w:type="dxa" w:w="2340"/>
          </w:tcPr>
          <w:p>
            <w:r>
              <w:rPr>
                <w:b w:val="0"/>
                <w:i w:val="0"/>
              </w:rPr>
              <w:t>Deliverable Utama</w:t>
            </w:r>
          </w:p>
        </w:tc>
        <w:tc>
          <w:tcPr>
            <w:tcW w:type="dxa" w:w="2340"/>
          </w:tcPr>
          <w:p>
            <w:r>
              <w:rPr>
                <w:b w:val="0"/>
                <w:i w:val="0"/>
              </w:rPr>
              <w:t>Kontribusi Bisnis</w:t>
            </w:r>
          </w:p>
        </w:tc>
      </w:tr>
      <w:tr>
        <w:tc>
          <w:tcPr>
            <w:tcW w:type="dxa" w:w="2340"/>
          </w:tcPr>
          <w:p>
            <w:r>
              <w:rPr>
                <w:b w:val="0"/>
                <w:i w:val="0"/>
              </w:rPr>
              <w:t>Design</w:t>
            </w:r>
          </w:p>
        </w:tc>
        <w:tc>
          <w:tcPr>
            <w:tcW w:type="dxa" w:w="2340"/>
          </w:tcPr>
          <w:p>
            <w:r>
              <w:rPr>
                <w:b w:val="0"/>
                <w:i w:val="0"/>
              </w:rPr>
              <w:t>Bulan 1</w:t>
            </w:r>
          </w:p>
        </w:tc>
        <w:tc>
          <w:tcPr>
            <w:tcW w:type="dxa" w:w="2340"/>
          </w:tcPr>
          <w:p>
            <w:r>
              <w:rPr>
                <w:b w:val="0"/>
                <w:i w:val="0"/>
              </w:rPr>
              <w:t>solution design dan backlog implementasi</w:t>
            </w:r>
          </w:p>
        </w:tc>
        <w:tc>
          <w:tcPr>
            <w:tcW w:type="dxa" w:w="2340"/>
          </w:tcPr>
          <w:p>
            <w:r>
              <w:rPr>
                <w:b w:val="0"/>
                <w:i w:val="0"/>
              </w:rPr>
              <w:t>Menjaga progres opportunity</w:t>
            </w:r>
          </w:p>
        </w:tc>
      </w:tr>
      <w:tr>
        <w:tc>
          <w:tcPr>
            <w:tcW w:type="dxa" w:w="2340"/>
          </w:tcPr>
          <w:p>
            <w:r>
              <w:rPr>
                <w:b w:val="0"/>
                <w:i w:val="0"/>
              </w:rPr>
              <w:t>Build &amp; Configure</w:t>
            </w:r>
          </w:p>
        </w:tc>
        <w:tc>
          <w:tcPr>
            <w:tcW w:type="dxa" w:w="2340"/>
          </w:tcPr>
          <w:p>
            <w:r>
              <w:rPr>
                <w:b w:val="0"/>
                <w:i w:val="0"/>
              </w:rPr>
              <w:t>Bulan 2-3</w:t>
            </w:r>
          </w:p>
        </w:tc>
        <w:tc>
          <w:tcPr>
            <w:tcW w:type="dxa" w:w="2340"/>
          </w:tcPr>
          <w:p>
            <w:r>
              <w:rPr>
                <w:b w:val="0"/>
                <w:i w:val="0"/>
              </w:rPr>
              <w:t>build package dan konfigurasi inti</w:t>
            </w:r>
          </w:p>
        </w:tc>
        <w:tc>
          <w:tcPr>
            <w:tcW w:type="dxa" w:w="2340"/>
          </w:tcPr>
          <w:p>
            <w:r>
              <w:rPr>
                <w:b w:val="0"/>
                <w:i w:val="0"/>
              </w:rPr>
              <w:t>Menjaga progres opportunity</w:t>
            </w:r>
          </w:p>
        </w:tc>
      </w:tr>
      <w:tr>
        <w:tc>
          <w:tcPr>
            <w:tcW w:type="dxa" w:w="2340"/>
          </w:tcPr>
          <w:p>
            <w:r>
              <w:rPr>
                <w:b w:val="0"/>
                <w:i w:val="0"/>
              </w:rPr>
              <w:t>UAT &amp; Readiness</w:t>
            </w:r>
          </w:p>
        </w:tc>
        <w:tc>
          <w:tcPr>
            <w:tcW w:type="dxa" w:w="2340"/>
          </w:tcPr>
          <w:p>
            <w:r>
              <w:rPr>
                <w:b w:val="0"/>
                <w:i w:val="0"/>
              </w:rPr>
              <w:t>Bulan 4</w:t>
            </w:r>
          </w:p>
        </w:tc>
        <w:tc>
          <w:tcPr>
            <w:tcW w:type="dxa" w:w="2340"/>
          </w:tcPr>
          <w:p>
            <w:r>
              <w:rPr>
                <w:b w:val="0"/>
                <w:i w:val="0"/>
              </w:rPr>
              <w:t>UAT sign-off dan readiness checklist</w:t>
            </w:r>
          </w:p>
        </w:tc>
        <w:tc>
          <w:tcPr>
            <w:tcW w:type="dxa" w:w="2340"/>
          </w:tcPr>
          <w:p>
            <w:r>
              <w:rPr>
                <w:b w:val="0"/>
                <w:i w:val="0"/>
              </w:rPr>
              <w:t>Menjaga progres opportunity</w:t>
            </w:r>
          </w:p>
        </w:tc>
      </w:tr>
      <w:tr>
        <w:tc>
          <w:tcPr>
            <w:tcW w:type="dxa" w:w="2340"/>
          </w:tcPr>
          <w:p>
            <w:r>
              <w:rPr>
                <w:b w:val="0"/>
                <w:i w:val="0"/>
              </w:rPr>
              <w:t>Go-Live &amp; Handover</w:t>
            </w:r>
          </w:p>
        </w:tc>
        <w:tc>
          <w:tcPr>
            <w:tcW w:type="dxa" w:w="2340"/>
          </w:tcPr>
          <w:p>
            <w:r>
              <w:rPr>
                <w:b w:val="0"/>
                <w:i w:val="0"/>
              </w:rPr>
              <w:t>Bulan 5</w:t>
            </w:r>
          </w:p>
        </w:tc>
        <w:tc>
          <w:tcPr>
            <w:tcW w:type="dxa" w:w="2340"/>
          </w:tcPr>
          <w:p>
            <w:r>
              <w:rPr>
                <w:b w:val="0"/>
                <w:i w:val="0"/>
              </w:rPr>
              <w:t>go-live report dan handover pack</w:t>
            </w:r>
          </w:p>
        </w:tc>
        <w:tc>
          <w:tcPr>
            <w:tcW w:type="dxa" w:w="2340"/>
          </w:tcPr>
          <w:p>
            <w:r>
              <w:rPr>
                <w:b w:val="0"/>
                <w:i w:val="0"/>
              </w:rPr>
              <w:t>Menjaga progres opportunity</w:t>
            </w:r>
          </w:p>
        </w:tc>
      </w:tr>
    </w:tbl>
    <w:p>
      <w:r>
        <w:rPr>
          <w:b w:val="0"/>
          <w:i w:val="0"/>
        </w:rPr>
        <w:t>Penjadwalan tidak hanya membagi durasi 5 Bulan ke dalam fase, tetapi juga memastikan dependensi, keputusan sponsor, dan kesiapan stakeholder bergerak dalam ritme yang sama. Untuk Alfamart, pengaturan ini penting agar progres tidak sekadar terlihat aktif, melainkan benar-benar menjaga jalur pencapaian KPI seperti KPI outcome Alfamart bergerak positif dalam 5 bulan. - Konteks Alfamart tetap menjadi acuan utama agar isi bab tidak bergeser menjadi generik. - Setiap butir pada bab ini harus bisa ditelusuri ke KPI, risiko, atau keputusan kerja yang nyata.</w:t>
      </w:r>
    </w:p>
    <w:p>
      <w:r>
        <w:br w:type="page"/>
      </w:r>
    </w:p>
    <w:p>
      <w:pPr>
        <w:pStyle w:val="Heading1"/>
        <w:jc w:val="center"/>
      </w:pPr>
      <w:r>
        <w:rPr>
          <w:color w:val="7A7676"/>
        </w:rPr>
        <w:t>BAB IX – TATA KELOLA PROYEK</w:t>
      </w:r>
    </w:p>
    <w:p>
      <w:r>
        <w:rPr>
          <w:b w:val="0"/>
          <w:i w:val="0"/>
        </w:rPr>
        <w:t>Tata kelola proyek untuk Alfamart dirancang agar keputusan strategis, kontrol eksekusi, dan penanganan risiko berjalan dalam satu sistem kerja yang konsisten. Fokusnya adalah menjaga gelombang uji beban 7: penguatan delivery governance, accelerated decision-making, dan penyusunan roadmap execution yang lebih...</w:t>
      </w:r>
    </w:p>
    <w:p>
      <w:pPr>
        <w:pStyle w:val="Heading2"/>
      </w:pPr>
      <w:r>
        <w:rPr>
          <w:rFonts w:ascii="Arial" w:hAnsi="Arial"/>
          <w:b/>
          <w:color w:val="7A7676"/>
        </w:rPr>
        <w:t>9.1 Mekanisme Pengambilan Keputusan</w:t>
      </w:r>
    </w:p>
    <w:p>
      <w:pPr>
        <w:pStyle w:val="ListNumber"/>
        <w:spacing w:before="0" w:after="80"/>
        <w:numPr>
          <w:ilvl w:val="0"/>
          <w:numId w:val="31"/>
        </w:numPr>
      </w:pPr>
      <w:r>
        <w:rPr>
          <w:b/>
          <w:i w:val="0"/>
        </w:rPr>
        <w:t>Steering Committee</w:t>
      </w:r>
      <w:r>
        <w:rPr>
          <w:b w:val="0"/>
          <w:i w:val="0"/>
        </w:rPr>
        <w:t xml:space="preserve"> menetapkan arah, prioritas, dan keputusan yang berdampak pada scope, biaya, atau timeline program Alfamart.</w:t>
      </w:r>
    </w:p>
    <w:p>
      <w:pPr>
        <w:pStyle w:val="ListNumber"/>
        <w:spacing w:before="0" w:after="80"/>
        <w:numPr>
          <w:ilvl w:val="0"/>
          <w:numId w:val="31"/>
        </w:numPr>
      </w:pPr>
      <w:r>
        <w:rPr>
          <w:b/>
          <w:i w:val="0"/>
        </w:rPr>
        <w:t>Project Board</w:t>
      </w:r>
      <w:r>
        <w:rPr>
          <w:b w:val="0"/>
          <w:i w:val="0"/>
        </w:rPr>
        <w:t xml:space="preserve"> memutuskan isu lintas workstream, approval deliverable utama, dan tindakan korektif terhadap deviasi progres.</w:t>
      </w:r>
    </w:p>
    <w:p>
      <w:pPr>
        <w:pStyle w:val="ListNumber"/>
        <w:spacing w:before="0" w:after="80"/>
        <w:numPr>
          <w:ilvl w:val="0"/>
          <w:numId w:val="31"/>
        </w:numPr>
      </w:pPr>
      <w:r>
        <w:rPr>
          <w:b/>
          <w:i w:val="0"/>
        </w:rPr>
        <w:t>Working Session</w:t>
      </w:r>
      <w:r>
        <w:rPr>
          <w:b w:val="0"/>
          <w:i w:val="0"/>
        </w:rPr>
        <w:t xml:space="preserve"> mingguan dipakai untuk memvalidasi kebutuhan, dependency, dan kesiapan data atau user representative.</w:t>
      </w:r>
    </w:p>
    <w:p>
      <w:pPr>
        <w:pStyle w:val="ListNumber"/>
        <w:spacing w:before="0" w:after="80"/>
        <w:numPr>
          <w:ilvl w:val="0"/>
          <w:numId w:val="31"/>
        </w:numPr>
      </w:pPr>
      <w:r>
        <w:rPr>
          <w:b/>
          <w:i w:val="0"/>
        </w:rPr>
        <w:t>Escalation path</w:t>
      </w:r>
      <w:r>
        <w:rPr>
          <w:b w:val="0"/>
          <w:i w:val="0"/>
        </w:rPr>
        <w:t xml:space="preserve"> dibuat berjenjang agar isu operasional tidak langsung membebani forum eksekutif, tetapi tetap bisa naik cepat bila berdampak material.</w:t>
      </w:r>
    </w:p>
    <w:p>
      <w:pPr>
        <w:pStyle w:val="Heading2"/>
      </w:pPr>
      <w:r>
        <w:rPr>
          <w:rFonts w:ascii="Arial" w:hAnsi="Arial"/>
          <w:b/>
          <w:color w:val="7A7676"/>
        </w:rPr>
        <w:t>9.2 Mekanisme Pengendalian Proyek</w:t>
      </w:r>
    </w:p>
    <w:p>
      <w:r>
        <w:rPr>
          <w:b w:val="0"/>
          <w:i w:val="0"/>
        </w:rPr>
        <w:t>Pengendalian proyek dilakukan lewat kombinasi dashboard progres, risk register, issue log, quality gate, dan acceptance deliverable. Model kontrol ini memastikan aktivitas delivery tetap terkunci pada hasil bisnis, bukan sekadar penyelesaian aktivitas administratif. Untuk Alfamart, pengendalian semacam ini penting karena program gelombang uji beban 7: penguatan delivery governance, accelerated decision-making, dan penyusunan roadmap execution yang lebih... berpotensi melibatkan banyak dependency dan keputusan cepat. - Konteks Alfamart tetap menjadi acuan utama agar isi bab tidak bergeser menjadi generik. - Setiap butir pada bab ini harus bisa ditelusuri ke KPI, risiko, atau keputusan kerja yang nyata.</w:t>
      </w:r>
    </w:p>
    <w:p>
      <w:r>
        <w:rPr>
          <w:b w:val="0"/>
          <w:i w:val="0"/>
        </w:rPr>
        <w:t>Untuk Alfamart, isi bab ini harus dibaca sebagai dasar keputusan kerja yang dapat ditindaklanjuti, bukan sekadar penjelasan konseptual. Karena itu, isi bab tetap diarahkan untuk menjaga relevansi terhadap KPI seperti KPI outcome Alfamart bergerak positif dalam 5 bulan. | Kualitas operasi (incident, SLA, lead time) membaik dalam 5 bulan. dan istilah kerja akuntabilitas, SPBE.</w:t>
      </w:r>
    </w:p>
    <w:p>
      <w:pPr>
        <w:pStyle w:val="ListBullet"/>
        <w:spacing w:before="0" w:after="80"/>
        <w:numPr>
          <w:ilvl w:val="0"/>
          <w:numId w:val="32"/>
        </w:numPr>
      </w:pPr>
      <w:r>
        <w:rPr>
          <w:b w:val="0"/>
          <w:i w:val="0"/>
        </w:rPr>
        <w:t>Implikasi eksekusinya harus tetap jelas agar sponsor dan tim delivery dapat menurunkan isi bab ini menjadi tindakan yang konkret.</w:t>
      </w:r>
    </w:p>
    <w:p>
      <w:pPr>
        <w:pStyle w:val="ListBullet"/>
        <w:spacing w:before="0" w:after="80"/>
        <w:numPr>
          <w:ilvl w:val="0"/>
          <w:numId w:val="32"/>
        </w:numPr>
      </w:pPr>
      <w:r>
        <w:rPr>
          <w:b w:val="0"/>
          <w:i w:val="0"/>
        </w:rPr>
        <w:t>Dengan pendekatan ini, narasi proposal tetap terhubung pada kebutuhan bisnis sekaligus tidak kehilangan kontrol implementasi.</w:t>
      </w:r>
    </w:p>
    <w:p>
      <w:r>
        <w:br w:type="page"/>
      </w:r>
    </w:p>
    <w:p>
      <w:pPr>
        <w:pStyle w:val="Heading1"/>
        <w:jc w:val="center"/>
      </w:pPr>
      <w:r>
        <w:rPr>
          <w:color w:val="7A7676"/>
        </w:rPr>
        <w:t>BAB X – PROFIL PERUSAHAAN</w:t>
      </w:r>
    </w:p>
    <w:p>
      <w:r>
        <w:rPr>
          <w:b w:val="0"/>
          <w:i w:val="0"/>
        </w:rPr>
        <w:t>Profil perusahaan pada proposal ini tidak dimaksudkan sebagai brosur umum, melainkan sebagai bukti bahwa Inixindo Jogja memiliki modal kerja yang relevan untuk membantu Alfamart. Yang ditekankan bukan hanya deskripsi perusahaan, tetapi keterkaitan antara kapabilitas, pengalaman serupa, dan bentuk dukungan yang dibutuhkan oleh inisiatif gelombang uji beban 7: penguatan delivery governance, accelerated decision-making, dan penyusunan roadmap execution yang lebih...</w:t>
      </w:r>
    </w:p>
    <w:p>
      <w:pPr>
        <w:pStyle w:val="Heading2"/>
      </w:pPr>
      <w:r>
        <w:rPr>
          <w:rFonts w:ascii="Arial" w:hAnsi="Arial"/>
          <w:b/>
          <w:color w:val="7A7676"/>
        </w:rPr>
        <w:t>10.1 Relevansi Profil dan Kapabilitas Perusahaan</w:t>
      </w:r>
    </w:p>
    <w:p>
      <w:r>
        <w:rPr>
          <w:b w:val="0"/>
          <w:i w:val="0"/>
        </w:rPr>
        <w:t>Inixindo Jogja diposisikan sebagai Inixindo Jogja adalah mitra pembelajaran dan konsultasi yang membantu klien bergerak dari kebutuhan bisnis ke rencana eksekusi yang jelas, kredibel, dan dapat dijalankan. Posisi ini diperkuat oleh kemampuan untuk menghubungkan metodologi, governance, dan quality control ke kebutuhan nyata klien, terutama pada konteks akuntabilitas, SPBE, tata kelola.</w:t>
      </w:r>
    </w:p>
    <w:p>
      <w:pPr>
        <w:pStyle w:val="Heading2"/>
      </w:pPr>
      <w:r>
        <w:rPr>
          <w:rFonts w:ascii="Arial" w:hAnsi="Arial"/>
          <w:b/>
          <w:color w:val="7A7676"/>
        </w:rPr>
        <w:t>10.2 Pengalaman Serupa dan Nilai Tambah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Pengalaman</w:t>
            </w:r>
          </w:p>
        </w:tc>
        <w:tc>
          <w:tcPr>
            <w:tcW w:type="dxa" w:w="2340"/>
          </w:tcPr>
          <w:p>
            <w:r>
              <w:rPr>
                <w:b w:val="0"/>
                <w:i w:val="0"/>
              </w:rPr>
              <w:t>Relevansi terhadap Inisiatif</w:t>
            </w:r>
          </w:p>
        </w:tc>
        <w:tc>
          <w:tcPr>
            <w:tcW w:type="dxa" w:w="2340"/>
          </w:tcPr>
          <w:p>
            <w:r>
              <w:rPr>
                <w:b w:val="0"/>
                <w:i w:val="0"/>
              </w:rPr>
              <w:t>Bukti Kapabilitas</w:t>
            </w:r>
          </w:p>
        </w:tc>
        <w:tc>
          <w:tcPr>
            <w:tcW w:type="dxa" w:w="2340"/>
          </w:tcPr>
          <w:p>
            <w:r>
              <w:rPr>
                <w:b w:val="0"/>
                <w:i w:val="0"/>
              </w:rPr>
              <w:t>Nilai Tambah untuk Klien</w:t>
            </w:r>
          </w:p>
        </w:tc>
      </w:tr>
      <w:tr>
        <w:tc>
          <w:tcPr>
            <w:tcW w:type="dxa" w:w="2340"/>
          </w:tcPr>
          <w:p>
            <w:r>
              <w:rPr>
                <w:b w:val="0"/>
                <w:i w:val="0"/>
              </w:rPr>
              <w:t>Perumusan strategi, tata kelola, dan prioritas kerja</w:t>
            </w:r>
          </w:p>
        </w:tc>
        <w:tc>
          <w:tcPr>
            <w:tcW w:type="dxa" w:w="2340"/>
          </w:tcPr>
          <w:p>
            <w:r>
              <w:rPr>
                <w:b w:val="0"/>
                <w:i w:val="0"/>
              </w:rPr>
              <w:t>relevan untuk proyek implementation dengan layanan konsultan</w:t>
            </w:r>
          </w:p>
        </w:tc>
        <w:tc>
          <w:tcPr>
            <w:tcW w:type="dxa" w:w="2340"/>
          </w:tcPr>
          <w:p>
            <w:r>
              <w:rPr>
                <w:b w:val="0"/>
                <w:i w:val="0"/>
              </w:rPr>
              <w:t>Kapabilitas layanan menyesuaikan kebutuhan proyek klien</w:t>
            </w:r>
          </w:p>
        </w:tc>
        <w:tc>
          <w:tcPr>
            <w:tcW w:type="dxa" w:w="2340"/>
          </w:tcPr>
          <w:p>
            <w:r>
              <w:rPr>
                <w:b w:val="0"/>
                <w:i w:val="0"/>
              </w:rPr>
              <w:t>membantu klien mendapat arah kerja yang lebih tajam dan dapat diputuskan lebih cepat</w:t>
            </w:r>
          </w:p>
        </w:tc>
      </w:tr>
      <w:tr>
        <w:tc>
          <w:tcPr>
            <w:tcW w:type="dxa" w:w="2340"/>
          </w:tcPr>
          <w:p>
            <w:r>
              <w:rPr>
                <w:b w:val="0"/>
                <w:i w:val="0"/>
              </w:rPr>
              <w:t>Pengawalan delivery dan quality gate</w:t>
            </w:r>
          </w:p>
        </w:tc>
        <w:tc>
          <w:tcPr>
            <w:tcW w:type="dxa" w:w="2340"/>
          </w:tcPr>
          <w:p>
            <w:r>
              <w:rPr>
                <w:b w:val="0"/>
                <w:i w:val="0"/>
              </w:rPr>
              <w:t>relevan ketika program memerlukan pengendalian milestone, deliverable, dan mekanisme review yang disiplin</w:t>
            </w:r>
          </w:p>
        </w:tc>
        <w:tc>
          <w:tcPr>
            <w:tcW w:type="dxa" w:w="2340"/>
          </w:tcPr>
          <w:p>
            <w:r>
              <w:rPr>
                <w:b w:val="0"/>
                <w:i w:val="0"/>
              </w:rPr>
              <w:t>Kapabilitas layanan menyesuaikan kebutuhan proyek klien, 1. Design 2. Configuration 3. UAT 4. Go-Live 5. Handover, 1x PM, 1x Lead Engineer, 3x Implementers</w:t>
            </w:r>
          </w:p>
        </w:tc>
        <w:tc>
          <w:tcPr>
            <w:tcW w:type="dxa" w:w="2340"/>
          </w:tcPr>
          <w:p>
            <w:r>
              <w:rPr>
                <w:b w:val="0"/>
                <w:i w:val="0"/>
              </w:rPr>
              <w:t>membantu sponsor menjaga kualitas hasil dan mengurangi deviasi di lapangan</w:t>
            </w:r>
          </w:p>
        </w:tc>
      </w:tr>
      <w:tr>
        <w:tc>
          <w:tcPr>
            <w:tcW w:type="dxa" w:w="2340"/>
          </w:tcPr>
          <w:p>
            <w:r>
              <w:rPr>
                <w:b w:val="0"/>
                <w:i w:val="0"/>
              </w:rPr>
              <w:t>Pendampingan stakeholder dan penyiapan hasil kerja</w:t>
            </w:r>
          </w:p>
        </w:tc>
        <w:tc>
          <w:tcPr>
            <w:tcW w:type="dxa" w:w="2340"/>
          </w:tcPr>
          <w:p>
            <w:r>
              <w:rPr>
                <w:b w:val="0"/>
                <w:i w:val="0"/>
              </w:rPr>
              <w:t>relevan untuk inisiatif yang menuntut sinkronisasi bisnis, operasi, dan tata kelola</w:t>
            </w:r>
          </w:p>
        </w:tc>
        <w:tc>
          <w:tcPr>
            <w:tcW w:type="dxa" w:w="2340"/>
          </w:tcPr>
          <w:p>
            <w:r>
              <w:rPr>
                <w:b w:val="0"/>
                <w:i w:val="0"/>
              </w:rPr>
              <w:t>pengalaman menyusun bahan keputusan, workshop kerja, dan dokumen tindak lanjut</w:t>
            </w:r>
          </w:p>
        </w:tc>
        <w:tc>
          <w:tcPr>
            <w:tcW w:type="dxa" w:w="2340"/>
          </w:tcPr>
          <w:p>
            <w:r>
              <w:rPr>
                <w:b w:val="0"/>
                <w:i w:val="0"/>
              </w:rPr>
              <w:t>membantu hasil proposal lebih mudah ditindaklanjuti oleh tim klien</w:t>
            </w:r>
          </w:p>
        </w:tc>
      </w:tr>
    </w:tbl>
    <w:p>
      <w:r>
        <w:rPr>
          <w:b w:val="0"/>
          <w:i w:val="0"/>
        </w:rPr>
        <w:t>Dengan penyajian seperti ini, Alfamart dapat melihat bahwa pengalaman Inixindo Jogja tidak diposisikan sebagai klaim umum, melainkan sebagai landasan untuk memberikan hasil yang lebih siap dijalankan. Karena itu, bab ini sengaja diarahkan untuk menjawab pertanyaan sederhana sponsor: mengapa perusahaan penyusun ini layak dipercaya untuk mendampingi inisiatif yang diusulkan.</w:t>
      </w:r>
    </w:p>
    <w:p>
      <w:pPr>
        <w:pStyle w:val="ListNumber"/>
        <w:spacing w:before="0" w:after="80"/>
        <w:numPr>
          <w:ilvl w:val="0"/>
          <w:numId w:val="33"/>
        </w:numPr>
      </w:pPr>
      <w:r>
        <w:rPr>
          <w:b w:val="0"/>
          <w:i w:val="0"/>
        </w:rPr>
        <w:t>Prioritas implementasi untuk Alfamart diarahkan agar tetap selaras dengan KPI outcome Alfamart bergerak positif dalam 5 bulan. | Kualitas operasi (incident, SLA, lead time) membaik dalam 5 bulan..</w:t>
      </w:r>
    </w:p>
    <w:p>
      <w:pPr>
        <w:pStyle w:val="ListNumber"/>
        <w:spacing w:before="0" w:after="80"/>
        <w:numPr>
          <w:ilvl w:val="0"/>
          <w:numId w:val="33"/>
        </w:numPr>
      </w:pPr>
      <w:r>
        <w:rPr>
          <w:b w:val="0"/>
          <w:i w:val="0"/>
        </w:rPr>
        <w:t>Keputusan delivery dan quality gate pada bab ini harus konsisten dengan istilah kerja akuntabilitas, SPBE. - Konteks Alfamart tetap menjadi acuan utama agar isi bab tidak bergeser menjadi generik. - Setiap butir pada bab ini harus bisa ditelusuri ke KPI, risiko, atau keputusan kerja yang nyata.</w:t>
      </w:r>
    </w:p>
    <w:p>
      <w:r>
        <w:br w:type="page"/>
      </w:r>
    </w:p>
    <w:p>
      <w:pPr>
        <w:pStyle w:val="Heading1"/>
        <w:jc w:val="center"/>
      </w:pPr>
      <w:r>
        <w:rPr>
          <w:color w:val="7A7676"/>
        </w:rPr>
        <w:t>BAB XI – STRUKTUR &amp; TENAGA AHLI PROYEK</w:t>
      </w:r>
    </w:p>
    <w:p>
      <w:r>
        <w:rPr>
          <w:b w:val="0"/>
          <w:i w:val="0"/>
        </w:rPr>
        <w:t>Struktur tim proyek untuk Alfamart dibentuk agar pengambilan keputusan, pengawasan mutu, dan eksekusi lapangan bergerak seirama. Komposisi tim tidak diperlakukan sebagai daftar jabatan semata, tetapi sebagai mekanisme untuk menjaga kualitas output terhadap target KPI outcome Alfamart bergerak positif dalam 5 bulan.</w:t>
      </w:r>
    </w:p>
    <w:p>
      <w:pPr>
        <w:pStyle w:val="Heading2"/>
      </w:pPr>
      <w:r>
        <w:rPr>
          <w:rFonts w:ascii="Arial" w:hAnsi="Arial"/>
          <w:b/>
          <w:color w:val="7A7676"/>
        </w:rPr>
        <w:t>11.1 Struktur Tim Proyek</w:t>
      </w:r>
    </w:p>
    <w:p>
      <w:pPr>
        <w:pStyle w:val="ListNumber"/>
        <w:spacing w:before="0" w:after="80"/>
        <w:numPr>
          <w:ilvl w:val="0"/>
          <w:numId w:val="34"/>
        </w:numPr>
      </w:pPr>
      <w:r>
        <w:rPr>
          <w:b/>
          <w:i w:val="0"/>
        </w:rPr>
        <w:t>Engagement Lead / Project Director</w:t>
      </w:r>
      <w:r>
        <w:rPr>
          <w:b w:val="0"/>
          <w:i w:val="0"/>
        </w:rPr>
        <w:t xml:space="preserve"> menjaga arah kemitraan dan keputusan strategis sponsor.</w:t>
      </w:r>
    </w:p>
    <w:p>
      <w:pPr>
        <w:pStyle w:val="ListNumber"/>
        <w:spacing w:before="0" w:after="80"/>
        <w:numPr>
          <w:ilvl w:val="0"/>
          <w:numId w:val="34"/>
        </w:numPr>
      </w:pPr>
      <w:r>
        <w:rPr>
          <w:b/>
          <w:i w:val="0"/>
        </w:rPr>
        <w:t>Project Manager / PMO Lead</w:t>
      </w:r>
      <w:r>
        <w:rPr>
          <w:b w:val="0"/>
          <w:i w:val="0"/>
        </w:rPr>
        <w:t xml:space="preserve"> mengendalikan ritme kerja, milestone, dan quality gate.</w:t>
      </w:r>
    </w:p>
    <w:p>
      <w:pPr>
        <w:pStyle w:val="ListNumber"/>
        <w:spacing w:before="0" w:after="80"/>
        <w:numPr>
          <w:ilvl w:val="0"/>
          <w:numId w:val="34"/>
        </w:numPr>
      </w:pPr>
      <w:r>
        <w:rPr>
          <w:b/>
          <w:i w:val="0"/>
        </w:rPr>
        <w:t>Lead Fungsional / Solusi</w:t>
      </w:r>
      <w:r>
        <w:rPr>
          <w:b w:val="0"/>
          <w:i w:val="0"/>
        </w:rPr>
        <w:t xml:space="preserve"> menjaga kualitas desain solusi dan relevansi output kerja.</w:t>
      </w:r>
    </w:p>
    <w:p>
      <w:pPr>
        <w:pStyle w:val="ListNumber"/>
        <w:spacing w:before="0" w:after="80"/>
        <w:numPr>
          <w:ilvl w:val="0"/>
          <w:numId w:val="34"/>
        </w:numPr>
      </w:pPr>
      <w:r>
        <w:rPr>
          <w:b/>
          <w:i w:val="0"/>
        </w:rPr>
        <w:t>Reviewer Governance / Quality</w:t>
      </w:r>
      <w:r>
        <w:rPr>
          <w:b w:val="0"/>
          <w:i w:val="0"/>
        </w:rPr>
        <w:t xml:space="preserve"> memastikan disiplin review, sign-off, dan kontrol risiko.</w:t>
      </w:r>
    </w:p>
    <w:p>
      <w:pPr>
        <w:pStyle w:val="Heading2"/>
      </w:pPr>
      <w:r>
        <w:rPr>
          <w:rFonts w:ascii="Arial" w:hAnsi="Arial"/>
          <w:b/>
          <w:color w:val="7A7676"/>
        </w:rPr>
        <w:t>11.2 Tabel Tenaga Ahli dan Kualifikasi</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Peran Tenaga Ahli</w:t>
            </w:r>
          </w:p>
        </w:tc>
        <w:tc>
          <w:tcPr>
            <w:tcW w:type="dxa" w:w="2340"/>
          </w:tcPr>
          <w:p>
            <w:r>
              <w:rPr>
                <w:b w:val="0"/>
                <w:i w:val="0"/>
              </w:rPr>
              <w:t>Fokus Tanggung Jawab</w:t>
            </w:r>
          </w:p>
        </w:tc>
        <w:tc>
          <w:tcPr>
            <w:tcW w:type="dxa" w:w="2340"/>
          </w:tcPr>
          <w:p>
            <w:r>
              <w:rPr>
                <w:b w:val="0"/>
                <w:i w:val="0"/>
              </w:rPr>
              <w:t>Kompetensi / Pengalaman Kunci</w:t>
            </w:r>
          </w:p>
        </w:tc>
        <w:tc>
          <w:tcPr>
            <w:tcW w:type="dxa" w:w="2340"/>
          </w:tcPr>
          <w:p>
            <w:r>
              <w:rPr>
                <w:b w:val="0"/>
                <w:i w:val="0"/>
              </w:rPr>
              <w:t>Keterlibatan</w:t>
            </w:r>
          </w:p>
        </w:tc>
      </w:tr>
      <w:tr>
        <w:tc>
          <w:tcPr>
            <w:tcW w:type="dxa" w:w="2340"/>
          </w:tcPr>
          <w:p>
            <w:r>
              <w:rPr>
                <w:b w:val="0"/>
                <w:i w:val="0"/>
              </w:rPr>
              <w:t>Engagement Lead / Project Director</w:t>
            </w:r>
          </w:p>
        </w:tc>
        <w:tc>
          <w:tcPr>
            <w:tcW w:type="dxa" w:w="2340"/>
          </w:tcPr>
          <w:p>
            <w:r>
              <w:rPr>
                <w:b w:val="0"/>
                <w:i w:val="0"/>
              </w:rPr>
              <w:t>menjaga arah kemitraan, kualitas proposal, dan keputusan strategis sponsor</w:t>
            </w:r>
          </w:p>
        </w:tc>
        <w:tc>
          <w:tcPr>
            <w:tcW w:type="dxa" w:w="2340"/>
          </w:tcPr>
          <w:p>
            <w:r>
              <w:rPr>
                <w:b w:val="0"/>
                <w:i w:val="0"/>
              </w:rPr>
              <w:t>kepemimpinan delivery, komunikasi eksekutif, dan pengendalian isu kritis</w:t>
            </w:r>
          </w:p>
        </w:tc>
        <w:tc>
          <w:tcPr>
            <w:tcW w:type="dxa" w:w="2340"/>
          </w:tcPr>
          <w:p>
            <w:r>
              <w:rPr>
                <w:b w:val="0"/>
                <w:i w:val="0"/>
              </w:rPr>
              <w:t>tetap pada fase kickoff, milestone utama, dan review keputusan</w:t>
            </w:r>
          </w:p>
        </w:tc>
      </w:tr>
      <w:tr>
        <w:tc>
          <w:tcPr>
            <w:tcW w:type="dxa" w:w="2340"/>
          </w:tcPr>
          <w:p>
            <w:r>
              <w:rPr>
                <w:b w:val="0"/>
                <w:i w:val="0"/>
              </w:rPr>
              <w:t>Project Manager / PMO Lead</w:t>
            </w:r>
          </w:p>
        </w:tc>
        <w:tc>
          <w:tcPr>
            <w:tcW w:type="dxa" w:w="2340"/>
          </w:tcPr>
          <w:p>
            <w:r>
              <w:rPr>
                <w:b w:val="0"/>
                <w:i w:val="0"/>
              </w:rPr>
              <w:t>mengendalikan timeline, dependency, action log, dan quality gate proyek</w:t>
            </w:r>
          </w:p>
        </w:tc>
        <w:tc>
          <w:tcPr>
            <w:tcW w:type="dxa" w:w="2340"/>
          </w:tcPr>
          <w:p>
            <w:r>
              <w:rPr>
                <w:b w:val="0"/>
                <w:i w:val="0"/>
              </w:rPr>
              <w:t>manajemen proyek, governance, dan koordinasi lintas workstream</w:t>
            </w:r>
          </w:p>
        </w:tc>
        <w:tc>
          <w:tcPr>
            <w:tcW w:type="dxa" w:w="2340"/>
          </w:tcPr>
          <w:p>
            <w:r>
              <w:rPr>
                <w:b w:val="0"/>
                <w:i w:val="0"/>
              </w:rPr>
              <w:t>aktif sepanjang siklus delivery</w:t>
            </w:r>
          </w:p>
        </w:tc>
      </w:tr>
      <w:tr>
        <w:tc>
          <w:tcPr>
            <w:tcW w:type="dxa" w:w="2340"/>
          </w:tcPr>
          <w:p>
            <w:r>
              <w:rPr>
                <w:b w:val="0"/>
                <w:i w:val="0"/>
              </w:rPr>
              <w:t>Solution / Domain Lead</w:t>
            </w:r>
          </w:p>
        </w:tc>
        <w:tc>
          <w:tcPr>
            <w:tcW w:type="dxa" w:w="2340"/>
          </w:tcPr>
          <w:p>
            <w:r>
              <w:rPr>
                <w:b w:val="0"/>
                <w:i w:val="0"/>
              </w:rPr>
              <w:t>menerjemahkan kebutuhan implementation ke rancangan kerja dan deliverable utama</w:t>
            </w:r>
          </w:p>
        </w:tc>
        <w:tc>
          <w:tcPr>
            <w:tcW w:type="dxa" w:w="2340"/>
          </w:tcPr>
          <w:p>
            <w:r>
              <w:rPr>
                <w:b w:val="0"/>
                <w:i w:val="0"/>
              </w:rPr>
              <w:t>analisis kebutuhan, desain solusi, dan penguatan target state</w:t>
            </w:r>
          </w:p>
        </w:tc>
        <w:tc>
          <w:tcPr>
            <w:tcW w:type="dxa" w:w="2340"/>
          </w:tcPr>
          <w:p>
            <w:r>
              <w:rPr>
                <w:b w:val="0"/>
                <w:i w:val="0"/>
              </w:rPr>
              <w:t>intens pada fase analisis, desain, dan review hasil</w:t>
            </w:r>
          </w:p>
        </w:tc>
      </w:tr>
      <w:tr>
        <w:tc>
          <w:tcPr>
            <w:tcW w:type="dxa" w:w="2340"/>
          </w:tcPr>
          <w:p>
            <w:r>
              <w:rPr>
                <w:b w:val="0"/>
                <w:i w:val="0"/>
              </w:rPr>
              <w:t>Quality &amp; Governance Reviewer</w:t>
            </w:r>
          </w:p>
        </w:tc>
        <w:tc>
          <w:tcPr>
            <w:tcW w:type="dxa" w:w="2340"/>
          </w:tcPr>
          <w:p>
            <w:r>
              <w:rPr>
                <w:b w:val="0"/>
                <w:i w:val="0"/>
              </w:rPr>
              <w:t>memastikan hasil kerja, dokumentasi, dan kontrol proyek sesuai standar</w:t>
            </w:r>
          </w:p>
        </w:tc>
        <w:tc>
          <w:tcPr>
            <w:tcW w:type="dxa" w:w="2340"/>
          </w:tcPr>
          <w:p>
            <w:r>
              <w:rPr>
                <w:b w:val="0"/>
                <w:i w:val="0"/>
              </w:rPr>
              <w:t>governance, review mutu, dan pemahaman framework/regulasi TOGAF, ITIL, COBIT, ISO 27001</w:t>
            </w:r>
          </w:p>
        </w:tc>
        <w:tc>
          <w:tcPr>
            <w:tcW w:type="dxa" w:w="2340"/>
          </w:tcPr>
          <w:p>
            <w:r>
              <w:rPr>
                <w:b w:val="0"/>
                <w:i w:val="0"/>
              </w:rPr>
              <w:t>aktif pada quality gate dan sign-off deliverable utama</w:t>
            </w:r>
          </w:p>
        </w:tc>
      </w:tr>
      <w:tr>
        <w:tc>
          <w:tcPr>
            <w:tcW w:type="dxa" w:w="2340"/>
          </w:tcPr>
          <w:p>
            <w:r>
              <w:rPr>
                <w:b w:val="0"/>
                <w:i w:val="0"/>
              </w:rPr>
              <w:t>Spesialis Workstream</w:t>
            </w:r>
          </w:p>
        </w:tc>
        <w:tc>
          <w:tcPr>
            <w:tcW w:type="dxa" w:w="2340"/>
          </w:tcPr>
          <w:p>
            <w:r>
              <w:rPr>
                <w:b w:val="0"/>
                <w:i w:val="0"/>
              </w:rPr>
              <w:t>menjalankan area prioritas dengan baseline komposisi 1x PM, 1x Lead Engineer, 3x Implementers</w:t>
            </w:r>
          </w:p>
        </w:tc>
        <w:tc>
          <w:tcPr>
            <w:tcW w:type="dxa" w:w="2340"/>
          </w:tcPr>
          <w:p>
            <w:r>
              <w:rPr>
                <w:b w:val="0"/>
                <w:i w:val="0"/>
              </w:rPr>
              <w:t>pelaksanaan aktivitas teknis/fungsional dan penyusunan keluaran detail</w:t>
            </w:r>
          </w:p>
        </w:tc>
        <w:tc>
          <w:tcPr>
            <w:tcW w:type="dxa" w:w="2340"/>
          </w:tcPr>
          <w:p>
            <w:r>
              <w:rPr>
                <w:b w:val="0"/>
                <w:i w:val="0"/>
              </w:rPr>
              <w:t>menyesuaikan kebutuhan fase dan area kerja</w:t>
            </w:r>
          </w:p>
        </w:tc>
      </w:tr>
    </w:tbl>
    <w:p>
      <w:r>
        <w:rPr>
          <w:b w:val="0"/>
          <w:i w:val="0"/>
        </w:rPr>
        <w:t>Dengan tabel ini, Alfamart memperoleh gambaran yang lebih konkret mengenai siapa yang menjaga keputusan, siapa yang mengawal delivery, dan siapa yang mengamankan mutu hasil kerja. Pendekatan ini membuat bab tenaga ahli lebih mudah diaudit dan lebih meyakinkan bagi sponsor proyek. - Konteks Alfamart tetap menjadi acuan utama agar isi bab tidak bergeser menjadi generik. - Setiap butir pada bab ini harus bisa ditelusuri ke KPI, risiko, atau keputusan kerja yang nyata. - Istilah kerja yang tetap dijaga pada bab ini mencakup akuntabilitas, SPBE, tata kelola.</w:t>
      </w:r>
    </w:p>
    <w:p>
      <w:r>
        <w:br w:type="page"/>
      </w:r>
    </w:p>
    <w:p>
      <w:pPr>
        <w:pStyle w:val="Heading1"/>
        <w:jc w:val="center"/>
      </w:pPr>
      <w:r>
        <w:rPr>
          <w:color w:val="7A7676"/>
        </w:rPr>
        <w:t>BAB XII – MODEL PEMBIAYAAN</w:t>
      </w:r>
    </w:p>
    <w:p>
      <w:r>
        <w:rPr>
          <w:b w:val="0"/>
          <w:i w:val="0"/>
        </w:rPr>
        <w:t>Model pembiayaan untuk Alfamart disusun agar komitmen biaya, mekanisme pembayaran, dan batas ruang lingkup tetap jelas sejak awal. Tujuannya adalah menjaga proyek gelombang uji beban 7: penguatan delivery governance, accelerated decision-making, dan penyusunan roadmap execution yang lebih...</w:t>
      </w:r>
    </w:p>
    <w:p>
      <w:pPr>
        <w:pStyle w:val="Heading2"/>
      </w:pPr>
      <w:r>
        <w:rPr>
          <w:rFonts w:ascii="Arial" w:hAnsi="Arial"/>
          <w:b/>
          <w:color w:val="7A7676"/>
        </w:rPr>
        <w:t>12.1 Biaya dan Tahapan Pembayaran</w:t>
      </w:r>
    </w:p>
    <w:p>
      <w:r>
        <w:rPr>
          <w:b w:val="0"/>
          <w:i w:val="0"/>
        </w:rPr>
        <w:t>Estimasi investasi awal untuk engagement ini adalah</w:t>
      </w:r>
      <w:r>
        <w:rPr>
          <w:b/>
          <w:i w:val="0"/>
        </w:rPr>
        <w:t xml:space="preserve"> Rp 500.000.000</w:t>
      </w:r>
      <w:r>
        <w:rPr>
          <w:b w:val="0"/>
          <w:i w:val="0"/>
        </w:rPr>
        <w:t>, dengan tipe layanan</w:t>
      </w:r>
      <w:r>
        <w:rPr>
          <w:b/>
          <w:i w:val="0"/>
        </w:rPr>
        <w:t xml:space="preserve"> Konsultan</w:t>
      </w:r>
      <w:r>
        <w:rPr>
          <w:b w:val="0"/>
          <w:i w:val="0"/>
        </w:rPr>
        <w:t xml:space="preserve"> pada model proyek</w:t>
      </w:r>
      <w:r>
        <w:rPr>
          <w:b/>
          <w:i w:val="0"/>
        </w:rPr>
        <w:t xml:space="preserve"> Implementation</w:t>
      </w:r>
      <w:r>
        <w:rPr>
          <w:b w:val="0"/>
          <w:i w:val="0"/>
        </w:rPr>
        <w:t xml:space="preserve"> selama</w:t>
      </w:r>
      <w:r>
        <w:rPr>
          <w:b/>
          <w:i w:val="0"/>
        </w:rPr>
        <w:t xml:space="preserve"> 5 Bulan</w:t>
      </w:r>
      <w:r>
        <w:rPr>
          <w:b w:val="0"/>
          <w:i w:val="0"/>
        </w:rPr>
        <w:t>. Baseline komersial internal yang menjadi acuan adalah Milestones: 20% Kickoff, 40% UAT, 30% Go-Live, 10% Handover.</w:t>
      </w:r>
    </w:p>
    <w:tbl>
      <w:tblPr>
        <w:tblStyle w:val="TableGrid"/>
        <w:tblW w:type="auto" w:w="0"/>
        <w:tblLook w:firstColumn="1" w:firstRow="1" w:lastColumn="0" w:lastRow="0" w:noHBand="0" w:noVBand="1" w:val="04A0"/>
      </w:tblPr>
      <w:tblGrid>
        <w:gridCol w:w="4680"/>
        <w:gridCol w:w="4680"/>
      </w:tblGrid>
      <w:tr>
        <w:tc>
          <w:tcPr>
            <w:tcW w:type="dxa" w:w="4680"/>
          </w:tcPr>
          <w:p>
            <w:r>
              <w:rPr>
                <w:b w:val="0"/>
                <w:i w:val="0"/>
              </w:rPr>
              <w:t>Komponen</w:t>
            </w:r>
          </w:p>
        </w:tc>
        <w:tc>
          <w:tcPr>
            <w:tcW w:type="dxa" w:w="4680"/>
          </w:tcPr>
          <w:p>
            <w:r>
              <w:rPr>
                <w:b w:val="0"/>
                <w:i w:val="0"/>
              </w:rPr>
              <w:t>Rancangan Komersial</w:t>
            </w:r>
          </w:p>
        </w:tc>
      </w:tr>
      <w:tr>
        <w:tc>
          <w:tcPr>
            <w:tcW w:type="dxa" w:w="4680"/>
          </w:tcPr>
          <w:p>
            <w:r>
              <w:rPr>
                <w:b w:val="0"/>
                <w:i w:val="0"/>
              </w:rPr>
              <w:t>Estimasi investasi</w:t>
            </w:r>
          </w:p>
        </w:tc>
        <w:tc>
          <w:tcPr>
            <w:tcW w:type="dxa" w:w="4680"/>
          </w:tcPr>
          <w:p>
            <w:r>
              <w:rPr>
                <w:b w:val="0"/>
                <w:i w:val="0"/>
              </w:rPr>
              <w:t>Rp 500.000.000</w:t>
            </w:r>
          </w:p>
        </w:tc>
      </w:tr>
      <w:tr>
        <w:tc>
          <w:tcPr>
            <w:tcW w:type="dxa" w:w="4680"/>
          </w:tcPr>
          <w:p>
            <w:r>
              <w:rPr>
                <w:b w:val="0"/>
                <w:i w:val="0"/>
              </w:rPr>
              <w:t>Model engagement</w:t>
            </w:r>
          </w:p>
        </w:tc>
        <w:tc>
          <w:tcPr>
            <w:tcW w:type="dxa" w:w="4680"/>
          </w:tcPr>
          <w:p>
            <w:r>
              <w:rPr>
                <w:b w:val="0"/>
                <w:i w:val="0"/>
              </w:rPr>
              <w:t>Konsultan - Implementation</w:t>
            </w:r>
          </w:p>
        </w:tc>
      </w:tr>
      <w:tr>
        <w:tc>
          <w:tcPr>
            <w:tcW w:type="dxa" w:w="4680"/>
          </w:tcPr>
          <w:p>
            <w:r>
              <w:rPr>
                <w:b w:val="0"/>
                <w:i w:val="0"/>
              </w:rPr>
              <w:t>Durasi acuan</w:t>
            </w:r>
          </w:p>
        </w:tc>
        <w:tc>
          <w:tcPr>
            <w:tcW w:type="dxa" w:w="4680"/>
          </w:tcPr>
          <w:p>
            <w:r>
              <w:rPr>
                <w:b w:val="0"/>
                <w:i w:val="0"/>
              </w:rPr>
              <w:t>5 Bulan</w:t>
            </w:r>
          </w:p>
        </w:tc>
      </w:tr>
      <w:tr>
        <w:tc>
          <w:tcPr>
            <w:tcW w:type="dxa" w:w="4680"/>
          </w:tcPr>
          <w:p>
            <w:r>
              <w:rPr>
                <w:b w:val="0"/>
                <w:i w:val="0"/>
              </w:rPr>
              <w:t>Basis commercial</w:t>
            </w:r>
          </w:p>
        </w:tc>
        <w:tc>
          <w:tcPr>
            <w:tcW w:type="dxa" w:w="4680"/>
          </w:tcPr>
          <w:p>
            <w:r>
              <w:rPr>
                <w:b w:val="0"/>
                <w:i w:val="0"/>
              </w:rPr>
              <w:t>Milestones: 20% Kickoff, 40% UAT, 30% Go-Live, 10% Handover.</w:t>
            </w:r>
          </w:p>
        </w:tc>
      </w:tr>
      <w:tr>
        <w:tc>
          <w:tcPr>
            <w:tcW w:type="dxa" w:w="4680"/>
          </w:tcPr>
          <w:p>
            <w:r>
              <w:rPr>
                <w:b w:val="0"/>
                <w:i w:val="0"/>
              </w:rPr>
              <w:t>Mekanisme review</w:t>
            </w:r>
          </w:p>
        </w:tc>
        <w:tc>
          <w:tcPr>
            <w:tcW w:type="dxa" w:w="4680"/>
          </w:tcPr>
          <w:p>
            <w:r>
              <w:rPr>
                <w:b w:val="0"/>
                <w:i w:val="0"/>
              </w:rPr>
              <w:t>Review milestone, acceptance deliverable, dan approval perubahan scope</w:t>
            </w:r>
          </w:p>
        </w:tc>
      </w:tr>
    </w:tbl>
    <w:p>
      <w:pPr>
        <w:pStyle w:val="ListNumber"/>
        <w:spacing w:before="0" w:after="80"/>
        <w:numPr>
          <w:ilvl w:val="0"/>
          <w:numId w:val="35"/>
        </w:numPr>
      </w:pPr>
      <w:r>
        <w:rPr>
          <w:b/>
          <w:i w:val="0"/>
        </w:rPr>
        <w:t>Kickoff &amp; design sign-off</w:t>
      </w:r>
      <w:r>
        <w:rPr>
          <w:b w:val="0"/>
          <w:i w:val="0"/>
        </w:rPr>
        <w:t xml:space="preserve"> sebesar 20% dari estimasi investasi, ditagihkan setelah milestone terkait diterima.</w:t>
      </w:r>
    </w:p>
    <w:p>
      <w:pPr>
        <w:pStyle w:val="ListNumber"/>
        <w:spacing w:before="0" w:after="80"/>
        <w:numPr>
          <w:ilvl w:val="0"/>
          <w:numId w:val="35"/>
        </w:numPr>
      </w:pPr>
      <w:r>
        <w:rPr>
          <w:b/>
          <w:i w:val="0"/>
        </w:rPr>
        <w:t>Build/configuration milestone</w:t>
      </w:r>
      <w:r>
        <w:rPr>
          <w:b w:val="0"/>
          <w:i w:val="0"/>
        </w:rPr>
        <w:t xml:space="preserve"> sebesar 30% dari estimasi investasi, ditagihkan setelah milestone terkait diterima.</w:t>
      </w:r>
    </w:p>
    <w:p>
      <w:pPr>
        <w:pStyle w:val="ListNumber"/>
        <w:spacing w:before="0" w:after="80"/>
        <w:numPr>
          <w:ilvl w:val="0"/>
          <w:numId w:val="35"/>
        </w:numPr>
      </w:pPr>
      <w:r>
        <w:rPr>
          <w:b/>
          <w:i w:val="0"/>
        </w:rPr>
        <w:t>UAT &amp; readiness sign-off</w:t>
      </w:r>
      <w:r>
        <w:rPr>
          <w:b w:val="0"/>
          <w:i w:val="0"/>
        </w:rPr>
        <w:t xml:space="preserve"> sebesar 30% dari estimasi investasi, ditagihkan setelah milestone terkait diterima.</w:t>
      </w:r>
    </w:p>
    <w:p>
      <w:pPr>
        <w:pStyle w:val="ListNumber"/>
        <w:spacing w:before="0" w:after="80"/>
        <w:numPr>
          <w:ilvl w:val="0"/>
          <w:numId w:val="35"/>
        </w:numPr>
      </w:pPr>
      <w:r>
        <w:rPr>
          <w:b/>
          <w:i w:val="0"/>
        </w:rPr>
        <w:t>Go-live &amp; handover</w:t>
      </w:r>
      <w:r>
        <w:rPr>
          <w:b w:val="0"/>
          <w:i w:val="0"/>
        </w:rPr>
        <w:t xml:space="preserve"> sebesar 20% dari estimasi investasi, ditagihkan setelah milestone terkait diterima.</w:t>
      </w:r>
    </w:p>
    <w:p>
      <w:pPr>
        <w:pStyle w:val="Heading2"/>
      </w:pPr>
      <w:r>
        <w:rPr>
          <w:rFonts w:ascii="Arial" w:hAnsi="Arial"/>
          <w:b/>
          <w:color w:val="7A7676"/>
        </w:rPr>
        <w:t>12.2 Model Pekerjaan dan Batasan Pekerjaan</w:t>
      </w:r>
    </w:p>
    <w:p>
      <w:r>
        <w:rPr>
          <w:b w:val="0"/>
          <w:i w:val="0"/>
        </w:rPr>
        <w:t>Model kerja dirancang agar ruang lingkup delivery tetap fokus pada kebutuhan opportunity dan KPI seperti KPI outcome Alfamart bergerak positif dalam 5 bulan. | Kualitas operasi (incident, SLA, lead time) membaik dalam 5 bulan. Untuk Alfamart, disiplin komersial seperti ini penting agar keputusan investasi tetap berada dalam koridor manfaat bisnis dan risk appetite yang dapat dipertanggungjawabkan. Model pembiayaan yang baik harus mampu menjaga fleksibilitas eksekusi tanpa membuat biaya berkembang secara tidak terkendali. - Konteks Alfamart tetap menjadi acuan utama agar isi bab tidak bergeser menjadi generik. - Setiap butir pada bab ini harus bisa ditelusuri ke KPI, risiko, atau keputusan kerja yang nyata.</w:t>
      </w:r>
    </w:p>
    <w:p>
      <w:r>
        <w:br w:type="page"/>
      </w:r>
    </w:p>
    <w:p>
      <w:pPr>
        <w:pStyle w:val="Heading1"/>
        <w:jc w:val="center"/>
      </w:pPr>
      <w:r>
        <w:rPr>
          <w:color w:val="7A7676"/>
        </w:rPr>
        <w:t>PENUTUP &amp; APRESIASI KEMITRAAN</w:t>
      </w:r>
    </w:p>
    <w:p>
      <w:r>
        <w:rPr>
          <w:b w:val="0"/>
          <w:i w:val="0"/>
        </w:rPr>
        <w:t>Terima kasih atas kesempatan yang diberikan kepada Inixindo Jogja untuk menyusun proposal bagi Alfamart. Kami memandang inisiatif gelombang uji beban 7: penguatan delivery governance, accelerated decision-making, dan penyusunan roadmap execution yang lebih...</w:t>
      </w:r>
    </w:p>
    <w:p>
      <w:pPr>
        <w:pStyle w:val="Heading2"/>
      </w:pPr>
      <w:r>
        <w:rPr>
          <w:rFonts w:ascii="Arial" w:hAnsi="Arial"/>
          <w:b/>
          <w:color w:val="7A7676"/>
        </w:rPr>
        <w:t>Apresiasi dan Komitmen Kemitraan</w:t>
      </w:r>
    </w:p>
    <w:p>
      <w:pPr>
        <w:pStyle w:val="ListNumber"/>
        <w:spacing w:before="0" w:after="80"/>
        <w:numPr>
          <w:ilvl w:val="0"/>
          <w:numId w:val="36"/>
        </w:numPr>
      </w:pPr>
      <w:r>
        <w:rPr>
          <w:b w:val="0"/>
          <w:i w:val="0"/>
        </w:rPr>
        <w:t>Kami mengapresiasi keterbukaan Alfamart dalam mengangkat konteks, tantangan, dan target bisnis yang menjadi dasar proposal ini.</w:t>
      </w:r>
    </w:p>
    <w:p>
      <w:pPr>
        <w:pStyle w:val="ListNumber"/>
        <w:spacing w:before="0" w:after="80"/>
        <w:numPr>
          <w:ilvl w:val="0"/>
          <w:numId w:val="36"/>
        </w:numPr>
      </w:pPr>
      <w:r>
        <w:rPr>
          <w:b w:val="0"/>
          <w:i w:val="0"/>
        </w:rPr>
        <w:t>Kami berkomitmen menjaga kualitas kolaborasi melalui cara kerja yang jelas, komunikasi yang responsif, dan deliverable yang dapat ditindaklanjuti, sejalan dengan positioning Inixindo Jogja sebagai Inixindo Jogja adalah mitra pembelajaran dan konsultasi yang membantu klien bergerak dari kebutuhan bisnis ke rencana eksekusi yang jelas, kredibel, dan dapat dijalankan.</w:t>
      </w:r>
    </w:p>
    <w:p>
      <w:pPr>
        <w:pStyle w:val="ListNumber"/>
        <w:spacing w:before="0" w:after="80"/>
        <w:numPr>
          <w:ilvl w:val="0"/>
          <w:numId w:val="36"/>
        </w:numPr>
      </w:pPr>
      <w:r>
        <w:rPr>
          <w:b w:val="0"/>
          <w:i w:val="0"/>
        </w:rPr>
        <w:t>Fokus awal kemitraan diarahkan pada prioritas seperti KPI outcome Alfamart bergerak positif dalam 5 bulan. | Kualitas operasi (incident, SLA, lead time) membaik dalam 5 bulan. | Efektivitas eksekusi proyek (on-time, on-budget, on-scope) tercapai dalam 5 bulan., dengan tata kelola dan ritme eksekusi yang stabil sejak kickoff.</w:t>
      </w:r>
    </w:p>
    <w:p>
      <w:pPr>
        <w:pStyle w:val="Heading2"/>
      </w:pPr>
      <w:r>
        <w:rPr>
          <w:rFonts w:ascii="Arial" w:hAnsi="Arial"/>
          <w:b/>
          <w:color w:val="7A7676"/>
        </w:rPr>
        <w:t>Informasi Kontak dan Langkah Lanjutan</w:t>
      </w:r>
    </w:p>
    <w:p>
      <w:r>
        <w:rPr>
          <w:b w:val="0"/>
          <w:i w:val="0"/>
        </w:rPr>
        <w:t>Untuk melanjutkan pembahasan, Inixindo Jogja siap menindaklanjuti review proposal, penajaman ruang lingkup, dan penyesuaian komersial yang diperlukan. - Konteks Alfamart tetap menjadi acuan utama agar isi bab tidak bergeser menjadi generik. - Setiap butir pada bab ini harus bisa ditelusuri ke KPI, risiko, atau keputusan kerja yang nyata.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8"/>
  </w:num>
  <w:num w:numId="12">
    <w:abstractNumId w:val="8"/>
  </w:num>
  <w:num w:numId="13">
    <w:abstractNumId w:val="7"/>
  </w:num>
  <w:num w:numId="14">
    <w:abstractNumId w:val="8"/>
  </w:num>
  <w:num w:numId="15">
    <w:abstractNumId w:val="8"/>
  </w:num>
  <w:num w:numId="16">
    <w:abstractNumId w:val="8"/>
  </w:num>
  <w:num w:numId="17">
    <w:abstractNumId w:val="7"/>
  </w:num>
  <w:num w:numId="18">
    <w:abstractNumId w:val="7"/>
  </w:num>
  <w:num w:numId="19">
    <w:abstractNumId w:val="8"/>
  </w:num>
  <w:num w:numId="20">
    <w:abstractNumId w:val="8"/>
  </w:num>
  <w:num w:numId="21">
    <w:abstractNumId w:val="7"/>
  </w:num>
  <w:num w:numId="22">
    <w:abstractNumId w:val="8"/>
  </w:num>
  <w:num w:numId="23">
    <w:abstractNumId w:val="7"/>
  </w:num>
  <w:num w:numId="24">
    <w:abstractNumId w:val="7"/>
  </w:num>
  <w:num w:numId="25">
    <w:abstractNumId w:val="8"/>
  </w:num>
  <w:num w:numId="26">
    <w:abstractNumId w:val="8"/>
  </w:num>
  <w:num w:numId="27">
    <w:abstractNumId w:val="8"/>
  </w:num>
  <w:num w:numId="28">
    <w:abstractNumId w:val="7"/>
  </w:num>
  <w:num w:numId="29">
    <w:abstractNumId w:val="7"/>
  </w:num>
  <w:num w:numId="30">
    <w:abstractNumId w:val="7"/>
  </w:num>
  <w:num w:numId="31">
    <w:abstractNumId w:val="7"/>
  </w:num>
  <w:num w:numId="32">
    <w:abstractNumId w:val="8"/>
  </w:num>
  <w:num w:numId="33">
    <w:abstractNumId w:val="7"/>
  </w:num>
  <w:num w:numId="34">
    <w:abstractNumId w:val="7"/>
  </w:num>
  <w:num w:numId="35">
    <w:abstractNumId w:val="7"/>
  </w:num>
  <w:num w:numId="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