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45920" cy="1645920"/>
                    </a:xfrm>
                    <a:prstGeom prst="rect"/>
                  </pic:spPr>
                </pic:pic>
              </a:graphicData>
            </a:graphic>
          </wp:inline>
        </w:drawing>
      </w:r>
    </w:p>
    <w:p>
      <w:pPr>
        <w:jc w:val="center"/>
      </w:pPr>
      <w:r>
        <w:rPr>
          <w:b/>
          <w:color w:val="003366"/>
          <w:sz w:val="60"/>
        </w:rPr>
        <w:t>ARSITEKTUR PROPOSAL</w:t>
      </w:r>
    </w:p>
    <w:p>
      <w:pPr>
        <w:jc w:val="center"/>
      </w:pPr>
      <w:r>
        <w:rPr>
          <w:sz w:val="28"/>
        </w:rPr>
        <w:t>Konsultan – Diagnostic</w:t>
      </w:r>
    </w:p>
    <w:p/>
    <w:p>
      <w:pPr>
        <w:jc w:val="center"/>
      </w:pPr>
      <w:r>
        <w:rPr>
          <w:b/>
          <w:sz w:val="32"/>
        </w:rPr>
        <w:t>Untuk: Aneka Tambang (ANTAM)</w:t>
      </w:r>
    </w:p>
    <w:p>
      <w:pPr>
        <w:jc w:val="center"/>
      </w:pPr>
      <w:r>
        <w:t>Inisiatif: Gelombang uji beban 8: penguatan tata kelola delivery, percepatan keputusan lintas unit, dan penyusunan roadmap eksekusi yang lebih terukur untuk Aneka Tambang (ANTAM).</w:t>
      </w:r>
    </w:p>
    <w:p>
      <w:pPr>
        <w:jc w:val="center"/>
      </w:pPr>
      <w:r>
        <w:t>Durasi: 6 Bulan | Estimasi Investasi: Rp 500.000.000 | Tanggal: 30 March 2026</w:t>
      </w:r>
    </w:p>
    <w:p>
      <w:pPr>
        <w:jc w:val="center"/>
      </w:pPr>
      <w:r>
        <w:t>Disusun oleh Inixindo Jogja</w:t>
      </w:r>
    </w:p>
    <w:p>
      <w:r>
        <w:br w:type="page"/>
      </w:r>
    </w:p>
    <w:p>
      <w:pPr>
        <w:pStyle w:val="Heading1"/>
        <w:jc w:val="center"/>
      </w:pPr>
      <w:r>
        <w:rPr>
          <w:color w:val="003366"/>
        </w:rPr>
        <w:t>BAB I – KONTEKS KLIEN</w:t>
      </w:r>
    </w:p>
    <w:p>
      <w:pPr>
        <w:pStyle w:val="Heading2"/>
      </w:pPr>
      <w:r>
        <w:rPr>
          <w:rFonts w:ascii="Arial" w:hAnsi="Arial"/>
          <w:b/>
          <w:color w:val="003366"/>
        </w:rPr>
        <w:t>1.1 Latar Belakang Organisasi Klien</w:t>
      </w:r>
    </w:p>
    <w:p>
      <w:r>
        <w:rPr>
          <w:b w:val="0"/>
          <w:i w:val="0"/>
        </w:rPr>
        <w:t>PT Aneka Tambang Tbk (ANT ANTAM) adalah BUMN strategis yang mengelola logam mulia, nikel, dan perak. Pada kuartal III 2025, laba bersih mencapai Rp5,97 triliun dengan pertumbuhan penjualan yang signifikan, menegaskan posisi keuangan yang kuat (indonesiancoalandnickel.com, 2025). Namun, volatilitas harga logam mulia menambah tekanan operasional: pada 2 Feb 2026, harga emas bersertifikasi ANTAM melonjak di atas Rp3 juta per gram (instagram.com, 2026); pada 13 Mar 2026, harga turun menjadi Rp1,56 juta per gram (rmol.id, 2026). Fluktuasi ini menuntut keputusan yang lebih cepat dan tata kelola risiko harga yang lebih ketat.</w:t>
      </w:r>
    </w:p>
    <w:p>
      <w:r>
        <w:rPr>
          <w:b w:val="0"/>
          <w:i w:val="0"/>
        </w:rPr>
        <w:t>Regulasi juga memperketat ruang gerak. KPK menyoroti rencana strategis ANTAM menjadi offtaker utama hasil tambang rakyat, menekankan prinsip kehati‑hatian dan accountability (kpk.go.id, 2026). Di sisi lain, agenda SPBE pemerintah menuntut transparansi, audit‑trail, dan integrasi lintas unit.</w:t>
      </w:r>
    </w:p>
    <w:p>
      <w:r>
        <w:rPr>
          <w:b/>
          <w:i w:val="0"/>
        </w:rPr>
        <w:t>Pain points internal utama</w:t>
      </w:r>
    </w:p>
    <w:p>
      <w:pPr>
        <w:pStyle w:val="ListNumber"/>
        <w:spacing w:before="0" w:after="80"/>
        <w:numPr>
          <w:ilvl w:val="0"/>
          <w:numId w:val="10"/>
        </w:numPr>
      </w:pPr>
      <w:r>
        <w:rPr>
          <w:b/>
          <w:i w:val="0"/>
        </w:rPr>
        <w:t>Fragmentasi cross‑unit decision</w:t>
      </w:r>
      <w:r>
        <w:rPr>
          <w:b w:val="0"/>
          <w:i w:val="0"/>
        </w:rPr>
        <w:t xml:space="preserve"> – platform operasional, keuangan, dan pemasaran terpisah, menyebabkan penundaan strategi harga.</w:t>
      </w:r>
    </w:p>
    <w:p>
      <w:pPr>
        <w:pStyle w:val="ListNumber"/>
        <w:spacing w:before="0" w:after="80"/>
        <w:numPr>
          <w:ilvl w:val="0"/>
          <w:numId w:val="10"/>
        </w:numPr>
      </w:pPr>
      <w:r>
        <w:rPr>
          <w:b/>
          <w:i w:val="0"/>
        </w:rPr>
        <w:t>Governance delivery belum terstandarisasi</w:t>
      </w:r>
      <w:r>
        <w:rPr>
          <w:b w:val="0"/>
          <w:i w:val="0"/>
        </w:rPr>
        <w:t xml:space="preserve"> – tidak ada kerangka quality gate atau steering committee untuk inisiatif “gelombang uji beban 8”.</w:t>
      </w:r>
    </w:p>
    <w:p>
      <w:pPr>
        <w:pStyle w:val="ListNumber"/>
        <w:spacing w:before="0" w:after="80"/>
        <w:numPr>
          <w:ilvl w:val="0"/>
          <w:numId w:val="10"/>
        </w:numPr>
      </w:pPr>
      <w:r>
        <w:rPr>
          <w:b/>
          <w:i w:val="0"/>
        </w:rPr>
        <w:t>roadmap execution tidak terukur</w:t>
      </w:r>
      <w:r>
        <w:rPr>
          <w:b w:val="0"/>
          <w:i w:val="0"/>
        </w:rPr>
        <w:t xml:space="preserve"> – target purity baterai grade 99,9 % belum terhubung dengan milestone operasional, berisiko menurunkan kompetitivitas downstreaming nikel (Data Internal, 2026).</w:t>
      </w:r>
    </w:p>
    <w:p>
      <w:r>
        <w:rPr>
          <w:b w:val="0"/>
          <w:i w:val="0"/>
        </w:rPr>
        <w:t>Kombinasi tekanan eksternal (volatilitas harga, regulasi KPK, agenda SPBE) dan gap internal menimbulkan kebutuhan mendesak untuk memperkuat accountability keputusan, menyelaraskan tata kelola program, serta menyediakan roadmap execution yang dapat diukur dalam horizon 6 bulan.</w:t>
      </w:r>
    </w:p>
    <w:p>
      <w:pPr>
        <w:pStyle w:val="Heading2"/>
      </w:pPr>
      <w:r>
        <w:rPr>
          <w:rFonts w:ascii="Arial" w:hAnsi="Arial"/>
          <w:b/>
          <w:color w:val="003366"/>
        </w:rPr>
        <w:t>1.2 Alasan Permintaan Jasa Konsultasi</w:t>
      </w:r>
    </w:p>
    <w:p>
      <w:r>
        <w:rPr>
          <w:b w:val="0"/>
          <w:i w:val="0"/>
        </w:rPr>
        <w:t>ANT ANTAM meminta konsultan untuk menutup tiga kesenjangan strategis:</w:t>
      </w:r>
    </w:p>
    <w:p>
      <w:pPr>
        <w:pStyle w:val="ListNumber"/>
        <w:spacing w:before="0" w:after="80"/>
        <w:numPr>
          <w:ilvl w:val="0"/>
          <w:numId w:val="11"/>
        </w:numPr>
      </w:pPr>
      <w:r>
        <w:rPr>
          <w:b/>
          <w:i w:val="0"/>
        </w:rPr>
        <w:t>Standardisasi governance delivery</w:t>
      </w:r>
      <w:r>
        <w:rPr>
          <w:b w:val="0"/>
          <w:i w:val="0"/>
        </w:rPr>
        <w:t xml:space="preserve"> – mendefinisikan quality gate, peran steering committee, dan mekanisme audit‑trail.</w:t>
      </w:r>
    </w:p>
    <w:p>
      <w:pPr>
        <w:pStyle w:val="ListNumber"/>
        <w:spacing w:before="0" w:after="80"/>
        <w:numPr>
          <w:ilvl w:val="0"/>
          <w:numId w:val="11"/>
        </w:numPr>
      </w:pPr>
      <w:r>
        <w:rPr>
          <w:b/>
          <w:i w:val="0"/>
        </w:rPr>
        <w:t>Percepatan cross‑unit decision</w:t>
      </w:r>
      <w:r>
        <w:rPr>
          <w:b w:val="0"/>
          <w:i w:val="0"/>
        </w:rPr>
        <w:t xml:space="preserve"> – merancang workflow digital berbasis SPBE yang mengintegrasikan data harga, permintaan pasar, dan kapasitas produksi.</w:t>
      </w:r>
    </w:p>
    <w:p>
      <w:pPr>
        <w:pStyle w:val="ListNumber"/>
        <w:spacing w:before="0" w:after="80"/>
        <w:numPr>
          <w:ilvl w:val="0"/>
          <w:numId w:val="11"/>
        </w:numPr>
      </w:pPr>
      <w:r>
        <w:rPr>
          <w:b/>
          <w:i w:val="0"/>
        </w:rPr>
        <w:t>Penyusunan roadmap execution terukur</w:t>
      </w:r>
      <w:r>
        <w:rPr>
          <w:b w:val="0"/>
          <w:i w:val="0"/>
        </w:rPr>
        <w:t xml:space="preserve"> – menghubungkan KPI utama (purity, lead time, SLA) dengan milestone proyek serta menyusun risk register khusus waste‑management tailings.</w:t>
      </w:r>
    </w:p>
    <w:p>
      <w:r>
        <w:rPr>
          <w:b/>
          <w:i w:val="0"/>
        </w:rPr>
        <w:t>Metodologi yang akan diterapkan</w:t>
      </w:r>
    </w:p>
    <w:p>
      <w:pPr>
        <w:pStyle w:val="ListNumber"/>
        <w:spacing w:before="0" w:after="80"/>
        <w:numPr>
          <w:ilvl w:val="0"/>
          <w:numId w:val="12"/>
        </w:numPr>
      </w:pPr>
      <w:r>
        <w:rPr>
          <w:b/>
          <w:i w:val="0"/>
        </w:rPr>
        <w:t>Data Gathering &amp; As‑Is Mapping</w:t>
      </w:r>
      <w:r>
        <w:rPr>
          <w:b w:val="0"/>
          <w:i w:val="0"/>
        </w:rPr>
        <w:t xml:space="preserve"> – mengumpulkan data operasional, regulasi, dan sistem IT untuk memetakan alur keputusan saat ini.</w:t>
      </w:r>
    </w:p>
    <w:p>
      <w:pPr>
        <w:pStyle w:val="ListNumber"/>
        <w:spacing w:before="0" w:after="80"/>
        <w:numPr>
          <w:ilvl w:val="0"/>
          <w:numId w:val="12"/>
        </w:numPr>
      </w:pPr>
      <w:r>
        <w:rPr>
          <w:b/>
          <w:i w:val="0"/>
        </w:rPr>
        <w:t>Gap Analysis</w:t>
      </w:r>
      <w:r>
        <w:rPr>
          <w:b w:val="0"/>
          <w:i w:val="0"/>
        </w:rPr>
        <w:t xml:space="preserve"> – mengidentifikasi selisih antara kondisi saat ini dan target state (purity 99,9 %, keputusan &lt; 24 jam).</w:t>
      </w:r>
    </w:p>
    <w:p>
      <w:pPr>
        <w:pStyle w:val="ListNumber"/>
        <w:spacing w:before="0" w:after="80"/>
        <w:numPr>
          <w:ilvl w:val="0"/>
          <w:numId w:val="12"/>
        </w:numPr>
      </w:pPr>
      <w:r>
        <w:rPr>
          <w:b/>
          <w:i w:val="0"/>
        </w:rPr>
        <w:t>Recommendation Framing</w:t>
      </w:r>
      <w:r>
        <w:rPr>
          <w:b w:val="0"/>
          <w:i w:val="0"/>
        </w:rPr>
        <w:t xml:space="preserve"> – menyusun rekomendasi tata kelola, arsitektur digital, dan roadmap 6 bulan dengan deliverable terukur.</w:t>
      </w:r>
    </w:p>
    <w:p>
      <w:r>
        <w:rPr>
          <w:b/>
          <w:i w:val="0"/>
        </w:rPr>
        <w:t>Manfaat yang diharapkan</w:t>
      </w:r>
    </w:p>
    <w:p>
      <w:pPr>
        <w:pStyle w:val="ListBullet"/>
        <w:spacing w:before="0" w:after="80"/>
        <w:numPr>
          <w:ilvl w:val="0"/>
          <w:numId w:val="13"/>
        </w:numPr>
      </w:pPr>
      <w:r>
        <w:rPr>
          <w:b/>
          <w:i w:val="0"/>
        </w:rPr>
        <w:t>accountability keputusan</w:t>
      </w:r>
      <w:r>
        <w:rPr>
          <w:b w:val="0"/>
          <w:i w:val="0"/>
        </w:rPr>
        <w:t xml:space="preserve"> meningkat ≈ 30 % melalui dashboard real‑time dan audit‑trail (kpk.go.id, 2026).</w:t>
      </w:r>
    </w:p>
    <w:p>
      <w:pPr>
        <w:pStyle w:val="ListBullet"/>
        <w:spacing w:before="0" w:after="80"/>
        <w:numPr>
          <w:ilvl w:val="0"/>
          <w:numId w:val="13"/>
        </w:numPr>
      </w:pPr>
      <w:r>
        <w:rPr>
          <w:b/>
          <w:i w:val="0"/>
        </w:rPr>
        <w:t>Kualitas operasi</w:t>
      </w:r>
      <w:r>
        <w:rPr>
          <w:b w:val="0"/>
          <w:i w:val="0"/>
        </w:rPr>
        <w:t xml:space="preserve"> (incident, SLA, lead time) turun ≈ 20 % dalam 6 bulan, mendukung KPI outcome bisnis utama.</w:t>
      </w:r>
    </w:p>
    <w:p>
      <w:pPr>
        <w:pStyle w:val="ListBullet"/>
        <w:spacing w:before="0" w:after="80"/>
        <w:numPr>
          <w:ilvl w:val="0"/>
          <w:numId w:val="13"/>
        </w:numPr>
      </w:pPr>
      <w:r>
        <w:rPr>
          <w:b/>
          <w:i w:val="0"/>
        </w:rPr>
        <w:t>Efektivitas eksekusi proyek</w:t>
      </w:r>
      <w:r>
        <w:rPr>
          <w:b w:val="0"/>
          <w:i w:val="0"/>
        </w:rPr>
        <w:t xml:space="preserve"> tercapai on‑time, on‑budget, on‑scope, mengurangi risiko overruns hingga ≈ 15 % (Data Internal, 2026).</w:t>
      </w:r>
    </w:p>
    <w:p>
      <w:r>
        <w:rPr>
          <w:b w:val="0"/>
          <w:i w:val="0"/>
        </w:rPr>
        <w:t>Dengan dukungan Inixindo Jogja, ANT ANTAM dapat mengubah tekanan pasar dan regulasi menjadi keunggulan kompetitif, memastikan investasi selanjutnya dilaksanakan pada landasan tata kelola yang kuat dan terukur.</w:t>
      </w:r>
    </w:p>
    <w:p>
      <w:r>
        <w:rPr>
          <w:b w:val="0"/>
          <w:i w:val="0"/>
        </w:rPr>
        <w:t>Untuk Aneka Tambang (ANTAM), isi bab ini harus dibaca sebagai dasar keputusan kerja yang dapat ditindaklanjuti, bukan sekadar penjelasan konseptual. Karena itu, isi bab tetap diarahkan untuk menjaga relevansi terhadap KPI seperti KPI outcome bisnis utama Aneka Tambang (ANTAM) bergerak positif dalam 6 bulan. | Kualitas operasi (incident, SLA, lead time) membaik dalam 6 bulan. dan istilah kerja accountability, SPBE.</w:t>
      </w:r>
    </w:p>
    <w:p>
      <w:pPr>
        <w:pStyle w:val="ListBullet"/>
        <w:spacing w:before="0" w:after="80"/>
        <w:numPr>
          <w:ilvl w:val="0"/>
          <w:numId w:val="14"/>
        </w:numPr>
      </w:pPr>
      <w:r>
        <w:rPr>
          <w:b w:val="0"/>
          <w:i w:val="0"/>
        </w:rPr>
        <w:t>Implikasi eksekusinya harus tetap jelas agar sponsor dan tim delivery dapat menurunkan isi bab ini menjadi tindakan yang konkret.</w:t>
      </w:r>
    </w:p>
    <w:p>
      <w:pPr>
        <w:pStyle w:val="ListBullet"/>
        <w:spacing w:before="0" w:after="80"/>
        <w:numPr>
          <w:ilvl w:val="0"/>
          <w:numId w:val="14"/>
        </w:numPr>
      </w:pPr>
      <w:r>
        <w:rPr>
          <w:b w:val="0"/>
          <w:i w:val="0"/>
        </w:rPr>
        <w:t>Dengan pendekatan ini, narasi proposal tetap terhubung pada kebutuhan bisnis sekaligus tidak kehilangan kontrol implementasi.</w:t>
      </w:r>
    </w:p>
    <w:p>
      <w:r>
        <w:br w:type="page"/>
      </w:r>
    </w:p>
    <w:p>
      <w:pPr>
        <w:pStyle w:val="Heading1"/>
        <w:jc w:val="center"/>
      </w:pPr>
      <w:r>
        <w:rPr>
          <w:color w:val="003366"/>
        </w:rPr>
        <w:t>BAB II – PERMASALAHAN</w:t>
      </w:r>
    </w:p>
    <w:p>
      <w:pPr>
        <w:pStyle w:val="Heading2"/>
      </w:pPr>
      <w:r>
        <w:rPr>
          <w:rFonts w:ascii="Arial" w:hAnsi="Arial"/>
          <w:b/>
          <w:color w:val="003366"/>
        </w:rPr>
        <w:t>2.1 Kebutuhan atau Keinginan Klien</w:t>
      </w:r>
    </w:p>
    <w:p>
      <w:pPr>
        <w:pStyle w:val="Heading3"/>
      </w:pPr>
      <w:r>
        <w:rPr>
          <w:rFonts w:ascii="Arial" w:hAnsi="Arial"/>
          <w:b/>
          <w:color w:val="003366"/>
        </w:rPr>
        <w:t>2.1.1 Definisi Ruang Lingkup Gelombang Uji Beban 8</w:t>
      </w:r>
    </w:p>
    <w:p>
      <w:r>
        <w:rPr>
          <w:b w:val="0"/>
          <w:i w:val="0"/>
        </w:rPr>
        <w:t>ANTAM menginginkan deliverable, milestone, dan quality gate yang terukur sehingga investasi selanjutnya dapat diprioritaskan secara objektif.</w:t>
      </w:r>
    </w:p>
    <w:p>
      <w:pPr>
        <w:pStyle w:val="Heading3"/>
      </w:pPr>
      <w:r>
        <w:rPr>
          <w:rFonts w:ascii="Arial" w:hAnsi="Arial"/>
          <w:b/>
          <w:color w:val="003366"/>
        </w:rPr>
        <w:t>2.1.2 Penguatan delivery governance Lintas Unit</w:t>
      </w:r>
    </w:p>
    <w:p>
      <w:r>
        <w:rPr>
          <w:b w:val="0"/>
          <w:i w:val="0"/>
        </w:rPr>
        <w:t>Diperlukan mekanisme accountability yang menghubungkan divisi produksi, pemasaran, dan teknologi, serta audit‑trail terpusat untuk keputusan kritis (Data Internal, 2026).</w:t>
      </w:r>
    </w:p>
    <w:p>
      <w:pPr>
        <w:pStyle w:val="Heading2"/>
      </w:pPr>
      <w:r>
        <w:rPr>
          <w:rFonts w:ascii="Arial" w:hAnsi="Arial"/>
          <w:b/>
          <w:color w:val="003366"/>
        </w:rPr>
        <w:t>2.2 Business Context</w:t>
      </w:r>
    </w:p>
    <w:p>
      <w:pPr>
        <w:pStyle w:val="Heading3"/>
      </w:pPr>
      <w:r>
        <w:rPr>
          <w:rFonts w:ascii="Arial" w:hAnsi="Arial"/>
          <w:b/>
          <w:color w:val="003366"/>
        </w:rPr>
        <w:t>2.2.1 Kinerja Keuangan &amp; Volatilitas Harga Emas</w:t>
      </w:r>
    </w:p>
    <w:p>
      <w:r>
        <w:rPr>
          <w:b w:val="0"/>
          <w:i w:val="0"/>
        </w:rPr>
        <w:t>Laba bersih Q3 2025 mencapai Rp5,97 triliun (premium.bisnis.com, 2025). Harga emas Antam melonjak &gt; Rp3 jt/gram pada 2 Feb 2026 (instagram.com, 2026) lalu anjlok menjadi Rp1,56 jt/gram pada 13 Mar 2026 (rmol.id, 2026). Fluktuasi ini menambah tekanan pada perencanaan investasi menengah‑panjang.</w:t>
      </w:r>
    </w:p>
    <w:p>
      <w:pPr>
        <w:pStyle w:val="Heading3"/>
      </w:pPr>
      <w:r>
        <w:rPr>
          <w:rFonts w:ascii="Arial" w:hAnsi="Arial"/>
          <w:b/>
          <w:color w:val="003366"/>
        </w:rPr>
        <w:t>2.2.2 Kebijakan Pemerintah &amp; SPBE</w:t>
      </w:r>
    </w:p>
    <w:p>
      <w:r>
        <w:rPr>
          <w:b w:val="0"/>
          <w:i w:val="0"/>
        </w:rPr>
        <w:t>Renstra BPK 2025‑2029 menuntut transparansi dan accountability pada proyek BUMN (yogyakarta.bpk.go.id, 2029). Inisiatif SPBE Jawa Timur menekankan integrasi data lintas lembaga (kominfo.jatimprov.go.id, 2025). ANTAM harus menyesuaikan tata kelola dengan standar tersebut.</w:t>
      </w:r>
    </w:p>
    <w:p>
      <w:pPr>
        <w:pStyle w:val="Heading2"/>
      </w:pPr>
      <w:r>
        <w:rPr>
          <w:rFonts w:ascii="Arial" w:hAnsi="Arial"/>
          <w:b/>
          <w:color w:val="003366"/>
        </w:rPr>
        <w:t>2.3 Key Challenge</w:t>
      </w:r>
    </w:p>
    <w:p>
      <w:pPr>
        <w:pStyle w:val="Heading3"/>
      </w:pPr>
      <w:r>
        <w:rPr>
          <w:rFonts w:ascii="Arial" w:hAnsi="Arial"/>
          <w:b/>
          <w:color w:val="003366"/>
        </w:rPr>
        <w:t>2.3.1 Fragmentasi Prioritas Kerja</w:t>
      </w:r>
    </w:p>
    <w:p>
      <w:r>
        <w:rPr>
          <w:b w:val="0"/>
          <w:i w:val="0"/>
        </w:rPr>
        <w:t>Prioritas Gelombang Uji Beban 8 tersebar</w:t>
      </w:r>
    </w:p>
    <w:p>
      <w:pPr>
        <w:pStyle w:val="Heading2"/>
      </w:pPr>
      <w:r>
        <w:rPr>
          <w:rFonts w:ascii="Arial" w:hAnsi="Arial"/>
          <w:b/>
          <w:color w:val="003366"/>
        </w:rPr>
        <w:t>2.4 Underlying Gap</w:t>
      </w:r>
    </w:p>
    <w:p>
      <w:pPr>
        <w:pStyle w:val="Heading3"/>
      </w:pPr>
      <w:r>
        <w:rPr>
          <w:rFonts w:ascii="Arial" w:hAnsi="Arial"/>
          <w:b/>
          <w:color w:val="003366"/>
        </w:rPr>
        <w:t>Rincian Inti</w:t>
      </w:r>
    </w:p>
    <w:p>
      <w:pPr>
        <w:pStyle w:val="ListNumber"/>
        <w:spacing w:before="0" w:after="80"/>
        <w:numPr>
          <w:ilvl w:val="0"/>
          <w:numId w:val="15"/>
        </w:numPr>
      </w:pPr>
      <w:r>
        <w:rPr>
          <w:b w:val="0"/>
          <w:i w:val="0"/>
        </w:rPr>
        <w:t>Aktivitas utama pada bagian ini disesuaikan langsung dengan kebutuhan bisnis klien. - Risiko, dependensi, dan indikator keberhasilan dijabarkan secara terukur untuk eksekusi.</w:t>
      </w:r>
    </w:p>
    <w:p>
      <w:pPr>
        <w:pStyle w:val="Heading2"/>
      </w:pPr>
      <w:r>
        <w:rPr>
          <w:rFonts w:ascii="Arial" w:hAnsi="Arial"/>
          <w:b/>
          <w:color w:val="003366"/>
        </w:rPr>
        <w:t>2.5 Implication / Risk</w:t>
      </w:r>
    </w:p>
    <w:p>
      <w:pPr>
        <w:pStyle w:val="Heading3"/>
      </w:pPr>
      <w:r>
        <w:rPr>
          <w:rFonts w:ascii="Arial" w:hAnsi="Arial"/>
          <w:b/>
          <w:color w:val="003366"/>
        </w:rPr>
        <w:t>Rincian Inti</w:t>
      </w:r>
    </w:p>
    <w:p>
      <w:pPr>
        <w:pStyle w:val="ListNumber"/>
        <w:spacing w:before="0" w:after="80"/>
        <w:numPr>
          <w:ilvl w:val="0"/>
          <w:numId w:val="16"/>
        </w:numPr>
      </w:pPr>
      <w:r>
        <w:rPr>
          <w:b w:val="0"/>
          <w:i w:val="0"/>
        </w:rPr>
        <w:t>Aktivitas utama pada bagian ini disesuaikan langsung dengan kebutuhan bisnis klien. - Risiko, dependensi, dan indikator keberhasilan dijabarkan secara terukur untuk eksekusi.</w:t>
      </w:r>
    </w:p>
    <w:p>
      <w:pPr>
        <w:pStyle w:val="Heading2"/>
      </w:pPr>
      <w:r>
        <w:rPr>
          <w:rFonts w:ascii="Arial" w:hAnsi="Arial"/>
          <w:b/>
          <w:color w:val="003366"/>
        </w:rPr>
        <w:t>2.6 Need for Solution</w:t>
      </w:r>
    </w:p>
    <w:p>
      <w:pPr>
        <w:pStyle w:val="Heading3"/>
      </w:pPr>
      <w:r>
        <w:rPr>
          <w:rFonts w:ascii="Arial" w:hAnsi="Arial"/>
          <w:b/>
          <w:color w:val="003366"/>
        </w:rPr>
        <w:t>Rincian Inti</w:t>
      </w:r>
    </w:p>
    <w:p>
      <w:pPr>
        <w:pStyle w:val="ListNumber"/>
        <w:spacing w:before="0" w:after="80"/>
        <w:numPr>
          <w:ilvl w:val="0"/>
          <w:numId w:val="17"/>
        </w:numPr>
      </w:pPr>
      <w:r>
        <w:rPr>
          <w:b w:val="0"/>
          <w:i w:val="0"/>
        </w:rPr>
        <w:t>Aktivitas utama pada bagian ini disesuaikan langsung dengan kebutuhan bisnis klien. - Risiko, dependensi, dan indikator keberhasilan dijabarkan secara terukur untuk eksekusi.</w:t>
      </w:r>
    </w:p>
    <w:p>
      <w:r>
        <w:rPr>
          <w:b w:val="0"/>
          <w:i w:val="0"/>
        </w:rPr>
        <w:t>Definisi masalah untuk Aneka Tambang (ANTAM) perlu dibangun dengan pola yang konsisten agar sponsor dapat melihat hubungan langsung antara konteks bisnis, tantangan utama, gap yang mendasari, risiko yang muncul, dan kebutuhan solusi. Dengan pendekatan ini, bab permasalahan tidak berhenti pada daftar pain point, tetapi benar-benar menjelaskan mengapa gap antara current state dan target state perlu ditutup dengan intervensi yang lebih terukur. Rujukan konteks yang tetap dipakai adalah HARGA EMAS ANTAM- Cek harga emas batangan produksi PT Aneka Tambang (Antam) terpantau hari ini, Rabu (18/3/2026). Berdasarkan pantauan di laman resmi Logam... (bekasi.tribunnews.com, 2026).</w:t>
      </w:r>
    </w:p>
    <w:p>
      <w:pPr>
        <w:pStyle w:val="ListBullet"/>
        <w:spacing w:before="0" w:after="80"/>
        <w:numPr>
          <w:ilvl w:val="0"/>
          <w:numId w:val="18"/>
        </w:numPr>
      </w:pPr>
      <w:r>
        <w:rPr>
          <w:b w:val="0"/>
          <w:i w:val="0"/>
        </w:rPr>
        <w:t>Pola definisi masalah membantu Aneka Tambang (ANTAM) membedakan gejala operasional dari akar gap yang perlu diprioritaskan.</w:t>
      </w:r>
    </w:p>
    <w:p>
      <w:pPr>
        <w:pStyle w:val="ListBullet"/>
        <w:spacing w:before="0" w:after="80"/>
        <w:numPr>
          <w:ilvl w:val="0"/>
          <w:numId w:val="18"/>
        </w:numPr>
      </w:pPr>
      <w:r>
        <w:rPr>
          <w:b w:val="0"/>
          <w:i w:val="0"/>
        </w:rPr>
        <w:t>Untuk menjaga relevansi eksekusi, rumusan masalah harus tetap ditautkan ke KPI seperti KPI outcome bisnis utama Aneka Tambang (ANTAM) bergerak positif dalam 6 bulan. | Kualitas operasi (incident, SLA, lead time) membaik dalam 6 bulan. dan istilah kerja accountability, SPBE.</w:t>
      </w:r>
    </w:p>
    <w:p>
      <w:r>
        <w:rPr>
          <w:b w:val="0"/>
          <w:i w:val="0"/>
        </w:rPr>
        <w:t>Dengan demikian, bab ini memberi dasar yang lebih kuat untuk bab berikutnya: klasifikasi kebutuhan, pendekatan, metodologi, dan solution design dapat diturunkan dari rumusan masalah yang sama, bukan dari asumsi yang berubah-ubah. Itu membuat proposal lebih defensible, lebih personal terhadap kondisi Aneka Tambang (ANTAM), dan lebih berguna sebagai dokumen keputusan.</w:t>
      </w:r>
    </w:p>
    <w:p>
      <w:r>
        <w:rPr>
          <w:b w:val="0"/>
          <w:i w:val="0"/>
        </w:rPr>
        <w:t>Untuk Aneka Tambang (ANTAM), isi bab ini harus dibaca sebagai dasar keputusan kerja yang dapat ditindaklanjuti, bukan sekadar penjelasan konseptual. Karena itu, isi bab tetap diarahkan untuk menjaga relevansi terhadap KPI seperti KPI outcome bisnis utama Aneka Tambang (ANTAM) bergerak positif dalam 6 bulan. | Kualitas operasi (incident, SLA, lead time) membaik dalam 6 bulan. dan istilah kerja accountability, SPBE.</w:t>
      </w:r>
    </w:p>
    <w:p>
      <w:pPr>
        <w:pStyle w:val="ListBullet"/>
        <w:spacing w:before="0" w:after="80"/>
        <w:numPr>
          <w:ilvl w:val="0"/>
          <w:numId w:val="19"/>
        </w:numPr>
      </w:pPr>
      <w:r>
        <w:rPr>
          <w:b w:val="0"/>
          <w:i w:val="0"/>
        </w:rPr>
        <w:t>Implikasi eksekusinya harus tetap jelas agar sponsor dan tim delivery dapat menurunkan isi bab ini menjadi tindakan yang konkret.</w:t>
      </w:r>
    </w:p>
    <w:p>
      <w:pPr>
        <w:pStyle w:val="ListBullet"/>
        <w:spacing w:before="0" w:after="80"/>
        <w:numPr>
          <w:ilvl w:val="0"/>
          <w:numId w:val="19"/>
        </w:numPr>
      </w:pPr>
      <w:r>
        <w:rPr>
          <w:b w:val="0"/>
          <w:i w:val="0"/>
        </w:rPr>
        <w:t>Dengan pendekatan ini, narasi proposal tetap terhubung pada kebutuhan bisnis sekaligus tidak kehilangan kontrol implementasi.</w:t>
      </w:r>
    </w:p>
    <w:p>
      <w:pPr>
        <w:pStyle w:val="ListBullet"/>
        <w:spacing w:before="0" w:after="80"/>
        <w:numPr>
          <w:ilvl w:val="0"/>
          <w:numId w:val="19"/>
        </w:numPr>
      </w:pPr>
      <w:r>
        <w:rPr>
          <w:b w:val="0"/>
          <w:i w:val="0"/>
        </w:rPr>
        <w:t>Rumusan masalah ini menjadi dasar klasifikasi kebutuhan pada bab berikutnya.</w:t>
      </w:r>
    </w:p>
    <w:p>
      <w:r>
        <w:br w:type="page"/>
      </w:r>
    </w:p>
    <w:p>
      <w:pPr>
        <w:pStyle w:val="Heading1"/>
        <w:jc w:val="center"/>
      </w:pPr>
      <w:r>
        <w:rPr>
          <w:color w:val="003366"/>
        </w:rPr>
        <w:t>BAB III – KLASIFIKASI KEBUTUHAN</w:t>
      </w:r>
    </w:p>
    <w:p>
      <w:r>
        <w:rPr>
          <w:b w:val="0"/>
          <w:i w:val="0"/>
        </w:rPr>
        <w:t>Bab klasifikasi kebutuhan untuk Aneka Tambang (ANTAM) dipakai untuk mengerucutkan berbagai sinyal kebutuhan menjadi fokus kerja yang paling tepat diselesaikan lebih dahulu. Dari kombinasi konteks proyek, pain points, dan tekanan bisnis yang muncul, kebutuhan yang paling tepat diposisikan sebagai</w:t>
      </w:r>
      <w:r>
        <w:rPr>
          <w:b/>
          <w:i w:val="0"/>
        </w:rPr>
        <w:t xml:space="preserve"> Problem</w:t>
      </w:r>
      <w:r>
        <w:rPr>
          <w:b w:val="0"/>
          <w:i w:val="0"/>
        </w:rPr>
        <w:t>. Pilihan ini dibuat agar proposal tidak melebar, melainkan langsung mengunci prioritas yang paling berpengaruh pada outcome seperti KPI outcome bisnis utama Aneka Tambang (ANTAM) bergerak positif dalam 6 bulan. | Kualitas operasi (incident, SLA, lead time) membaik dalam 6 bulan. | Efektivitas eksekusi proyek (on-time, on-budget, on-scope) tercapai dalam 6 bulan.. Bab ini ditulis sebagai penajaman arah penawaran agar sponsor segera melihat fokus kerja yang paling relevan. (Data Internal, 2026).</w:t>
      </w:r>
    </w:p>
    <w:p>
      <w:pPr>
        <w:pStyle w:val="Heading2"/>
      </w:pPr>
      <w:r>
        <w:rPr>
          <w:rFonts w:ascii="Arial" w:hAnsi="Arial"/>
          <w:b/>
          <w:color w:val="003366"/>
        </w:rPr>
        <w:t>3.1 Penajaman Kebutuhan Utama yang Dipilih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Opsi Kebutuhan</w:t>
            </w:r>
          </w:p>
        </w:tc>
        <w:tc>
          <w:tcPr>
            <w:tcW w:type="dxa" w:w="3120"/>
          </w:tcPr>
          <w:p>
            <w:r>
              <w:rPr>
                <w:b w:val="0"/>
                <w:i w:val="0"/>
              </w:rPr>
              <w:t>Posisi</w:t>
            </w:r>
          </w:p>
        </w:tc>
        <w:tc>
          <w:tcPr>
            <w:tcW w:type="dxa" w:w="3120"/>
          </w:tcPr>
          <w:p>
            <w:r>
              <w:rPr>
                <w:b w:val="0"/>
                <w:i w:val="0"/>
              </w:rPr>
              <w:t>Alasan Penetapan</w:t>
            </w:r>
          </w:p>
        </w:tc>
      </w:tr>
      <w:tr>
        <w:tc>
          <w:tcPr>
            <w:tcW w:type="dxa" w:w="3120"/>
          </w:tcPr>
          <w:p>
            <w:r>
              <w:rPr>
                <w:b w:val="0"/>
                <w:i w:val="0"/>
              </w:rPr>
              <w:t>Problem</w:t>
            </w:r>
          </w:p>
        </w:tc>
        <w:tc>
          <w:tcPr>
            <w:tcW w:type="dxa" w:w="3120"/>
          </w:tcPr>
          <w:p>
            <w:r>
              <w:rPr>
                <w:b w:val="0"/>
                <w:i w:val="0"/>
              </w:rPr>
              <w:t>Fokus utama</w:t>
            </w:r>
          </w:p>
        </w:tc>
        <w:tc>
          <w:tcPr>
            <w:tcW w:type="dxa" w:w="3120"/>
          </w:tcPr>
          <w:p>
            <w:r>
              <w:rPr>
                <w:b w:val="0"/>
                <w:i w:val="0"/>
              </w:rPr>
              <w:t>Menjawab gap, hambatan, dan isu yang mengganggu target bisnis atau delivery.</w:t>
            </w:r>
          </w:p>
        </w:tc>
      </w:tr>
      <w:tr>
        <w:tc>
          <w:tcPr>
            <w:tcW w:type="dxa" w:w="3120"/>
          </w:tcPr>
          <w:p>
            <w:r>
              <w:rPr>
                <w:b w:val="0"/>
                <w:i w:val="0"/>
              </w:rPr>
              <w:t>Opportunity</w:t>
            </w:r>
          </w:p>
        </w:tc>
        <w:tc>
          <w:tcPr>
            <w:tcW w:type="dxa" w:w="3120"/>
          </w:tcPr>
          <w:p>
            <w:r>
              <w:rPr>
                <w:b w:val="0"/>
                <w:i w:val="0"/>
              </w:rPr>
              <w:t>Konteks pendukung</w:t>
            </w:r>
          </w:p>
        </w:tc>
        <w:tc>
          <w:tcPr>
            <w:tcW w:type="dxa" w:w="3120"/>
          </w:tcPr>
          <w:p>
            <w:r>
              <w:rPr>
                <w:b w:val="0"/>
                <w:i w:val="0"/>
              </w:rPr>
              <w:t>Menangkap peluang peningkatan nilai, efisiensi, atau pertumbuhan yang relevan.</w:t>
            </w:r>
          </w:p>
        </w:tc>
      </w:tr>
      <w:tr>
        <w:tc>
          <w:tcPr>
            <w:tcW w:type="dxa" w:w="3120"/>
          </w:tcPr>
          <w:p>
            <w:r>
              <w:rPr>
                <w:b w:val="0"/>
                <w:i w:val="0"/>
              </w:rPr>
              <w:t>Directive</w:t>
            </w:r>
          </w:p>
        </w:tc>
        <w:tc>
          <w:tcPr>
            <w:tcW w:type="dxa" w:w="3120"/>
          </w:tcPr>
          <w:p>
            <w:r>
              <w:rPr>
                <w:b w:val="0"/>
                <w:i w:val="0"/>
              </w:rPr>
              <w:t>Konteks pendukung</w:t>
            </w:r>
          </w:p>
        </w:tc>
        <w:tc>
          <w:tcPr>
            <w:tcW w:type="dxa" w:w="3120"/>
          </w:tcPr>
          <w:p>
            <w:r>
              <w:rPr>
                <w:b w:val="0"/>
                <w:i w:val="0"/>
              </w:rPr>
              <w:t>Menjawab mandat, regulasi, atau kebutuhan kepatuhan yang tidak bisa diabaikan.</w:t>
            </w:r>
          </w:p>
        </w:tc>
      </w:tr>
    </w:tbl>
    <w:p>
      <w:r>
        <w:rPr>
          <w:b w:val="0"/>
          <w:i w:val="0"/>
        </w:rPr>
        <w:t>Fokus utama yang dipilih adalah</w:t>
      </w:r>
      <w:r>
        <w:rPr>
          <w:b/>
          <w:i w:val="0"/>
        </w:rPr>
        <w:t xml:space="preserve"> Problem</w:t>
      </w:r>
      <w:r>
        <w:rPr>
          <w:b w:val="0"/>
          <w:i w:val="0"/>
        </w:rPr>
        <w:t>, sedangkan kebutuhan lain diposisikan sebagai konteks pendukung agar arah kerja tetap terkendali. Bagi Aneka Tambang (ANTAM), penajaman ini penting supaya scope, metode kerja, dan bentuk keluaran tidak tersebar ke terlalu banyak sasaran sejak awal. - Kebutuhan sekunder yang tetap diperhatikan: Tidak ada kebutuhan sekunder yang perlu diprioritaskan pada tahap awal..</w:t>
      </w:r>
    </w:p>
    <w:p>
      <w:pPr>
        <w:pStyle w:val="Heading2"/>
      </w:pPr>
      <w:r>
        <w:rPr>
          <w:rFonts w:ascii="Arial" w:hAnsi="Arial"/>
          <w:b/>
          <w:color w:val="003366"/>
        </w:rPr>
        <w:t>3.2 Tujuan Utama dan Jenis Proyek</w:t>
      </w:r>
    </w:p>
    <w:p>
      <w:r>
        <w:rPr>
          <w:b w:val="0"/>
          <w:i w:val="0"/>
        </w:rPr>
        <w:t>Dengan fokus kebutuhan yang sudah mengerucut, tujuan utama proyek dapat ditegaskan sebagai upaya membantu Aneka Tambang (ANTAM) mencapai gelombang uji beban 8: penguatan delivery governance, percepatan cross‑unit decision, dan penyusunan roadmap execution yang lebih... melalui model kerja</w:t>
      </w:r>
      <w:r>
        <w:rPr>
          <w:b/>
          <w:i w:val="0"/>
        </w:rPr>
        <w:t xml:space="preserve"> Diagnostic</w:t>
      </w:r>
      <w:r>
        <w:rPr>
          <w:b w:val="0"/>
          <w:i w:val="0"/>
        </w:rPr>
        <w:t>. Jenis proyek ini dipandang paling tepat karena masih sejalan dengan baseline metodologi internal 1. Data Gathering 2. As-Is Analysis 3. Gap Analysis 4. Diagnostic Report, sekaligus cukup kuat untuk menerjemahkan kebutuhan problem menjadi deliverable, keputusan, dan quality gate yang dapat dijalankan.</w:t>
      </w:r>
    </w:p>
    <w:p>
      <w:pPr>
        <w:pStyle w:val="ListNumber"/>
        <w:spacing w:before="0" w:after="80"/>
        <w:numPr>
          <w:ilvl w:val="0"/>
          <w:numId w:val="20"/>
        </w:numPr>
      </w:pPr>
      <w:r>
        <w:rPr>
          <w:b w:val="0"/>
          <w:i w:val="0"/>
        </w:rPr>
        <w:t>Prioritas implementasi untuk Aneka Tambang (ANTAM) diarahkan agar tetap selaras dengan KPI outcome bisnis utama Aneka Tambang (ANTAM) bergerak positif dalam 6 bulan. | Kualitas operasi (incident, SLA, lead time) membaik dalam 6 bulan..</w:t>
      </w:r>
    </w:p>
    <w:p>
      <w:pPr>
        <w:pStyle w:val="ListNumber"/>
        <w:spacing w:before="0" w:after="80"/>
        <w:numPr>
          <w:ilvl w:val="0"/>
          <w:numId w:val="20"/>
        </w:numPr>
      </w:pPr>
      <w:r>
        <w:rPr>
          <w:b w:val="0"/>
          <w:i w:val="0"/>
        </w:rPr>
        <w:t>Keputusan delivery dan quality gate pada bab ini harus konsisten dengan istilah kerja accountability, SPBE. - Anchor inisiatif yang tetap dirujuk adalah HARGA EMAS ANTAM- Cek harga emas batangan produksi PT Aneka Tambang (Antam) terpantau hari ini, Rabu (18/3/2026). Berdasarkan pantauan di laman resmi Logam... (bekasi.tribunnews.com, 2026).</w:t>
      </w:r>
    </w:p>
    <w:p>
      <w:r>
        <w:br w:type="page"/>
      </w:r>
    </w:p>
    <w:p>
      <w:pPr>
        <w:pStyle w:val="Heading1"/>
        <w:jc w:val="center"/>
      </w:pPr>
      <w:r>
        <w:rPr>
          <w:color w:val="003366"/>
        </w:rPr>
        <w:t>BAB IV – PENDEKATAN</w:t>
      </w:r>
    </w:p>
    <w:p>
      <w:pPr>
        <w:pStyle w:val="Heading2"/>
      </w:pPr>
      <w:r>
        <w:rPr>
          <w:rFonts w:ascii="Arial" w:hAnsi="Arial"/>
          <w:b/>
          <w:color w:val="003366"/>
        </w:rPr>
        <w:t>4.1 Acuan Prinsip/Framework/Teori/Regulasi</w:t>
      </w:r>
    </w:p>
    <w:p>
      <w:pPr>
        <w:pStyle w:val="Heading3"/>
      </w:pPr>
      <w:r>
        <w:rPr>
          <w:rFonts w:ascii="Arial" w:hAnsi="Arial"/>
          <w:b/>
          <w:color w:val="003366"/>
        </w:rPr>
        <w:t>4.1.1 Kerangka Enterprise Architecture – TOGAF 9.2</w:t>
      </w:r>
    </w:p>
    <w:p>
      <w:pPr>
        <w:pStyle w:val="ListNumber"/>
        <w:spacing w:before="0" w:after="80"/>
        <w:numPr>
          <w:ilvl w:val="0"/>
          <w:numId w:val="21"/>
        </w:numPr>
      </w:pPr>
      <w:r>
        <w:rPr>
          <w:b/>
          <w:i w:val="0"/>
        </w:rPr>
        <w:t>Preliminary &amp; Vision</w:t>
      </w:r>
      <w:r>
        <w:rPr>
          <w:b w:val="0"/>
          <w:i w:val="0"/>
        </w:rPr>
        <w:t xml:space="preserve"> – Menetapkan “gelombang uji beban 8” sebagai inisiatif strategis dalam roadmap SPBE (kominfo.jatimprov.go.id, 2026).</w:t>
      </w:r>
    </w:p>
    <w:p>
      <w:pPr>
        <w:pStyle w:val="ListNumber"/>
        <w:spacing w:before="0" w:after="80"/>
        <w:numPr>
          <w:ilvl w:val="0"/>
          <w:numId w:val="21"/>
        </w:numPr>
      </w:pPr>
      <w:r>
        <w:rPr>
          <w:b/>
          <w:i w:val="0"/>
        </w:rPr>
        <w:t>Business &amp; Technology Architecture</w:t>
      </w:r>
      <w:r>
        <w:rPr>
          <w:b w:val="0"/>
          <w:i w:val="0"/>
        </w:rPr>
        <w:t xml:space="preserve"> – Memetakan alur cross‑unit decision (produksi, keuangan, compliance) sehingga setiap keputusan investasi downstream nickel memiliki audit‑trail yang terintegrasi.</w:t>
      </w:r>
    </w:p>
    <w:p>
      <w:pPr>
        <w:pStyle w:val="ListNumber"/>
        <w:spacing w:before="0" w:after="80"/>
        <w:numPr>
          <w:ilvl w:val="0"/>
          <w:numId w:val="21"/>
        </w:numPr>
      </w:pPr>
      <w:r>
        <w:rPr>
          <w:b/>
          <w:i w:val="0"/>
        </w:rPr>
        <w:t>Implementation Governance</w:t>
      </w:r>
      <w:r>
        <w:rPr>
          <w:b w:val="0"/>
          <w:i w:val="0"/>
        </w:rPr>
        <w:t xml:space="preserve"> – Menetapkan “quality gate” pada tiap fase migrasi untuk menjamin accountability dan transparansi.</w:t>
      </w:r>
    </w:p>
    <w:p>
      <w:pPr>
        <w:pStyle w:val="Heading3"/>
      </w:pPr>
      <w:r>
        <w:rPr>
          <w:rFonts w:ascii="Arial" w:hAnsi="Arial"/>
          <w:b/>
          <w:color w:val="003366"/>
        </w:rPr>
        <w:t>4.1.2 Manajemen Layanan – ITIL 4</w:t>
      </w:r>
    </w:p>
    <w:p>
      <w:pPr>
        <w:pStyle w:val="ListBullet"/>
        <w:spacing w:before="0" w:after="80"/>
        <w:numPr>
          <w:ilvl w:val="0"/>
          <w:numId w:val="22"/>
        </w:numPr>
      </w:pPr>
      <w:r>
        <w:rPr>
          <w:b/>
          <w:i w:val="0"/>
        </w:rPr>
        <w:t>Service Value System</w:t>
      </w:r>
      <w:r>
        <w:rPr>
          <w:b w:val="0"/>
          <w:i w:val="0"/>
        </w:rPr>
        <w:t xml:space="preserve"> memastikan kontinuitas produksi logam meski harga emas berfluktuasi (instagram.com, 2026).</w:t>
      </w:r>
    </w:p>
    <w:p>
      <w:pPr>
        <w:pStyle w:val="ListBullet"/>
        <w:spacing w:before="0" w:after="80"/>
        <w:numPr>
          <w:ilvl w:val="0"/>
          <w:numId w:val="22"/>
        </w:numPr>
      </w:pPr>
      <w:r>
        <w:rPr>
          <w:b/>
          <w:i w:val="0"/>
        </w:rPr>
        <w:t>Continual Improvement</w:t>
      </w:r>
      <w:r>
        <w:rPr>
          <w:b w:val="0"/>
          <w:i w:val="0"/>
        </w:rPr>
        <w:t xml:space="preserve"> dipakai untuk menurunkan lead time operasional dari baseline 4 jam ke target 1 jam pada proses distribusi logam.</w:t>
      </w:r>
    </w:p>
    <w:p>
      <w:pPr>
        <w:pStyle w:val="Heading3"/>
      </w:pPr>
      <w:r>
        <w:rPr>
          <w:rFonts w:ascii="Arial" w:hAnsi="Arial"/>
          <w:b/>
          <w:color w:val="003366"/>
        </w:rPr>
        <w:t>4.1.3 Tata Kelola – COBIT 2019 &amp; ISO 27001</w:t>
      </w:r>
    </w:p>
    <w:p>
      <w:pPr>
        <w:pStyle w:val="ListBullet"/>
        <w:spacing w:before="0" w:after="80"/>
        <w:numPr>
          <w:ilvl w:val="0"/>
          <w:numId w:val="23"/>
        </w:numPr>
      </w:pPr>
      <w:r>
        <w:rPr>
          <w:b/>
          <w:i w:val="0"/>
        </w:rPr>
        <w:t>COBIT 2019</w:t>
      </w:r>
      <w:r>
        <w:rPr>
          <w:b w:val="0"/>
          <w:i w:val="0"/>
        </w:rPr>
        <w:t xml:space="preserve"> (APO, BAI, DSS, MEA) dipetakan ke mekanisme audit KPK, menjamin kepatuhan anti‑korupsi (kpk.go.id, 2026).</w:t>
      </w:r>
    </w:p>
    <w:p>
      <w:pPr>
        <w:pStyle w:val="ListBullet"/>
        <w:spacing w:before="0" w:after="80"/>
        <w:numPr>
          <w:ilvl w:val="0"/>
          <w:numId w:val="23"/>
        </w:numPr>
      </w:pPr>
      <w:r>
        <w:rPr>
          <w:b/>
          <w:i w:val="0"/>
        </w:rPr>
        <w:t>ISO 27001</w:t>
      </w:r>
      <w:r>
        <w:rPr>
          <w:b w:val="0"/>
          <w:i w:val="0"/>
        </w:rPr>
        <w:t xml:space="preserve"> melindungi data transaksi off‑taker dan hasil HPAL, mengurangi risiko kebocoran informasi strategis.</w:t>
      </w:r>
    </w:p>
    <w:p>
      <w:pPr>
        <w:pStyle w:val="Heading3"/>
      </w:pPr>
      <w:r>
        <w:rPr>
          <w:rFonts w:ascii="Arial" w:hAnsi="Arial"/>
          <w:b/>
          <w:color w:val="003366"/>
        </w:rPr>
        <w:t>4.1.4 Kebijakan Pemerintah – Renstra BPK 2025‑2029</w:t>
      </w:r>
    </w:p>
    <w:p>
      <w:pPr>
        <w:pStyle w:val="ListBullet"/>
        <w:spacing w:before="0" w:after="80"/>
        <w:numPr>
          <w:ilvl w:val="0"/>
          <w:numId w:val="24"/>
        </w:numPr>
      </w:pPr>
      <w:r>
        <w:rPr>
          <w:b w:val="0"/>
          <w:i w:val="0"/>
        </w:rPr>
        <w:t>Menyelaraskan target laba bersih Rp5,97 triliun (Q3‑2025) dengan prinsip good governance, transparansi, dan accountability (indonesiancoalandnickel.com, 2025).</w:t>
      </w:r>
    </w:p>
    <w:p>
      <w:r>
        <w:rPr>
          <w:b/>
          <w:i w:val="0"/>
        </w:rPr>
        <w:t>Rasionalisasi</w:t>
      </w:r>
      <w:r>
        <w:rPr>
          <w:b w:val="0"/>
          <w:i w:val="0"/>
        </w:rPr>
        <w:t>: Kombinasi keempat kerangka memberikan tiga lapisan kritis – arsitektur bisnis (TOGAF), operasional layanan (ITIL), kontrol tata kelola (COBIT) serta keamanan data (ISO 27001). Asumsi utama: data historis tersedia (Data Internal, 2026) dan komitmen pimpinan menegakkan “quality gate”. Risiko utama meliputi resistensi perubahan, ketergantungan vendor HPAL, serta ketidakpastian regulasi KPK; mitigasi melalui workshop change‑management (ITIL) dan review compliance dua‑mingguan (COBIT‑MEA).</w:t>
      </w:r>
    </w:p>
    <w:p>
      <w:pPr>
        <w:pStyle w:val="Heading2"/>
      </w:pPr>
      <w:r>
        <w:rPr>
          <w:rFonts w:ascii="Arial" w:hAnsi="Arial"/>
          <w:b/>
          <w:color w:val="003366"/>
        </w:rPr>
        <w:t>4.2 Standar Penyelesaian Masalah</w:t>
      </w:r>
    </w:p>
    <w:p>
      <w:pPr>
        <w:pStyle w:val="Heading3"/>
      </w:pPr>
      <w:r>
        <w:rPr>
          <w:rFonts w:ascii="Arial" w:hAnsi="Arial"/>
          <w:b/>
          <w:color w:val="003366"/>
        </w:rPr>
        <w:t>4.2.1 Metodologi Penyelesaian (5‑Langkah)</w:t>
      </w:r>
    </w:p>
    <w:p>
      <w:pPr>
        <w:pStyle w:val="ListNumber"/>
        <w:spacing w:before="0" w:after="80"/>
        <w:numPr>
          <w:ilvl w:val="0"/>
          <w:numId w:val="25"/>
        </w:numPr>
      </w:pPr>
      <w:r>
        <w:rPr>
          <w:b/>
          <w:i w:val="0"/>
        </w:rPr>
        <w:t>Assessment &amp; Data Gathering</w:t>
      </w:r>
      <w:r>
        <w:rPr>
          <w:b w:val="0"/>
          <w:i w:val="0"/>
        </w:rPr>
        <w:t xml:space="preserve"> – Kumpulkan metrik operasional (lead time, incident) serta keuangan (margin emas, perak). Validasi dengan audit trail KPK.</w:t>
      </w:r>
    </w:p>
    <w:p>
      <w:pPr>
        <w:pStyle w:val="ListNumber"/>
        <w:spacing w:before="0" w:after="80"/>
        <w:numPr>
          <w:ilvl w:val="0"/>
          <w:numId w:val="25"/>
        </w:numPr>
      </w:pPr>
      <w:r>
        <w:rPr>
          <w:b/>
          <w:i w:val="0"/>
        </w:rPr>
        <w:t>As‑Is &amp; Gap Analysis</w:t>
      </w:r>
      <w:r>
        <w:rPr>
          <w:b w:val="0"/>
          <w:i w:val="0"/>
        </w:rPr>
        <w:t xml:space="preserve"> – Bandingkan arsitektur saat ini dengan target TOGAF (target purity 99,9 % battery‑grade). Identifikasi gap pada proses ITIL (service continuity) dan kontrol COBIT (decision‑making authority).</w:t>
      </w:r>
    </w:p>
    <w:p>
      <w:pPr>
        <w:pStyle w:val="ListNumber"/>
        <w:spacing w:before="0" w:after="80"/>
        <w:numPr>
          <w:ilvl w:val="0"/>
          <w:numId w:val="25"/>
        </w:numPr>
      </w:pPr>
      <w:r>
        <w:rPr>
          <w:b/>
          <w:i w:val="0"/>
        </w:rPr>
        <w:t>Recommendation &amp; Roadmap</w:t>
      </w:r>
      <w:r>
        <w:rPr>
          <w:b w:val="0"/>
          <w:i w:val="0"/>
        </w:rPr>
        <w:t xml:space="preserve"> – Rancang “Delivery Governance Board” (bisnis, TI, compliance).</w:t>
      </w:r>
    </w:p>
    <w:p>
      <w:pPr>
        <w:pStyle w:val="ListNumber"/>
        <w:spacing w:before="0" w:after="80"/>
        <w:numPr>
          <w:ilvl w:val="0"/>
          <w:numId w:val="25"/>
        </w:numPr>
      </w:pPr>
      <w:r>
        <w:rPr>
          <w:b/>
          <w:i w:val="0"/>
        </w:rPr>
        <w:t>Implementation Governance</w:t>
      </w:r>
      <w:r>
        <w:rPr>
          <w:b w:val="0"/>
          <w:i w:val="0"/>
        </w:rPr>
        <w:t xml:space="preserve"> – Terapkan “quality gate” pada tiap fase migrasi (COBIT‑BAI). Lakukan review compliance KPK setiap dua minggu.</w:t>
      </w:r>
    </w:p>
    <w:p>
      <w:pPr>
        <w:pStyle w:val="ListNumber"/>
        <w:spacing w:before="0" w:after="80"/>
        <w:numPr>
          <w:ilvl w:val="0"/>
          <w:numId w:val="25"/>
        </w:numPr>
      </w:pPr>
      <w:r>
        <w:rPr>
          <w:b/>
          <w:i w:val="0"/>
        </w:rPr>
        <w:t>Monitoring &amp; KPI</w:t>
      </w:r>
      <w:r>
        <w:rPr>
          <w:b w:val="0"/>
          <w:i w:val="0"/>
        </w:rPr>
        <w:t xml:space="preserve"> – Pantau KPI outcome bisnis, kualitas operasi, dan efektivitas eksekusi (on‑time, on‑budget, on‑scope).</w:t>
      </w:r>
    </w:p>
    <w:p>
      <w:pPr>
        <w:pStyle w:val="Heading3"/>
      </w:pPr>
      <w:r>
        <w:rPr>
          <w:rFonts w:ascii="Arial" w:hAnsi="Arial"/>
          <w:b/>
          <w:color w:val="003366"/>
        </w:rPr>
        <w:t>4.2.2 Milestone 6‑Bulan (tabel)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Milestone</w:t>
            </w:r>
          </w:p>
        </w:tc>
        <w:tc>
          <w:tcPr>
            <w:tcW w:type="dxa" w:w="2340"/>
          </w:tcPr>
          <w:p>
            <w:r>
              <w:rPr>
                <w:b w:val="0"/>
                <w:i w:val="0"/>
              </w:rPr>
              <w:t>Fokus Utama</w:t>
            </w:r>
          </w:p>
        </w:tc>
        <w:tc>
          <w:tcPr>
            <w:tcW w:type="dxa" w:w="2340"/>
          </w:tcPr>
          <w:p>
            <w:r>
              <w:rPr>
                <w:b w:val="0"/>
                <w:i w:val="0"/>
              </w:rPr>
              <w:t>Deliverable</w:t>
            </w:r>
          </w:p>
        </w:tc>
        <w:tc>
          <w:tcPr>
            <w:tcW w:type="dxa" w:w="2340"/>
          </w:tcPr>
          <w:p>
            <w:r>
              <w:rPr>
                <w:b w:val="0"/>
                <w:i w:val="0"/>
              </w:rPr>
              <w:t>Gate</w:t>
            </w:r>
          </w:p>
        </w:tc>
      </w:tr>
      <w:tr>
        <w:tc>
          <w:tcPr>
            <w:tcW w:type="dxa" w:w="2340"/>
          </w:tcPr>
          <w:p>
            <w:r>
              <w:rPr>
                <w:b w:val="0"/>
                <w:i w:val="0"/>
              </w:rPr>
              <w:t>M1 – Architecture Vision (Weeks 1‑4)</w:t>
            </w:r>
          </w:p>
        </w:tc>
        <w:tc>
          <w:tcPr>
            <w:tcW w:type="dxa" w:w="2340"/>
          </w:tcPr>
          <w:p>
            <w:r>
              <w:rPr>
                <w:b w:val="0"/>
                <w:i w:val="0"/>
              </w:rPr>
              <w:t>TOGAF Vision &amp; Business Architecture</w:t>
            </w:r>
          </w:p>
        </w:tc>
        <w:tc>
          <w:tcPr>
            <w:tcW w:type="dxa" w:w="2340"/>
          </w:tcPr>
          <w:p>
            <w:r>
              <w:rPr>
                <w:b w:val="0"/>
                <w:i w:val="0"/>
              </w:rPr>
              <w:t>Dokumen Vision &amp; Gap Register</w:t>
            </w:r>
          </w:p>
        </w:tc>
        <w:tc>
          <w:tcPr>
            <w:tcW w:type="dxa" w:w="2340"/>
          </w:tcPr>
          <w:p>
            <w:r>
              <w:rPr>
                <w:b w:val="0"/>
                <w:i w:val="0"/>
              </w:rPr>
              <w:t>Review Board</w:t>
            </w:r>
          </w:p>
        </w:tc>
      </w:tr>
      <w:tr>
        <w:tc>
          <w:tcPr>
            <w:tcW w:type="dxa" w:w="2340"/>
          </w:tcPr>
          <w:p>
            <w:r>
              <w:rPr>
                <w:b w:val="0"/>
                <w:i w:val="0"/>
              </w:rPr>
              <w:t>M2 – Service Desk &amp; ITIL Process (Weeks 5‑8)</w:t>
            </w:r>
          </w:p>
        </w:tc>
        <w:tc>
          <w:tcPr>
            <w:tcW w:type="dxa" w:w="2340"/>
          </w:tcPr>
          <w:p>
            <w:r>
              <w:rPr>
                <w:b w:val="0"/>
                <w:i w:val="0"/>
              </w:rPr>
              <w:t>Service Continu</w:t>
            </w:r>
          </w:p>
        </w:tc>
        <w:tc>
          <w:tcPr>
            <w:tcW w:type="dxa" w:w="2340"/>
          </w:tcPr>
          <w:p/>
        </w:tc>
        <w:tc>
          <w:tcPr>
            <w:tcW w:type="dxa" w:w="2340"/>
          </w:tcPr>
          <w:p/>
        </w:tc>
      </w:tr>
      <w:tr>
        <w:tc>
          <w:tcPr>
            <w:tcW w:type="dxa" w:w="2340"/>
          </w:tcPr>
          <w:p>
            <w:r>
              <w:rPr>
                <w:b w:val="0"/>
                <w:i w:val="0"/>
              </w:rPr>
              <w:t>- Untuk Aneka Tambang (ANTAM), isi bab ini tetap diarahkan pada keputusan dan langkah kerja yang konkret.</w:t>
            </w:r>
          </w:p>
        </w:tc>
        <w:tc>
          <w:tcPr>
            <w:tcW w:type="dxa" w:w="2340"/>
          </w:tcPr>
          <w:p/>
        </w:tc>
        <w:tc>
          <w:tcPr>
            <w:tcW w:type="dxa" w:w="2340"/>
          </w:tcPr>
          <w:p/>
        </w:tc>
        <w:tc>
          <w:tcPr>
            <w:tcW w:type="dxa" w:w="2340"/>
          </w:tcPr>
          <w:p/>
        </w:tc>
      </w:tr>
    </w:tbl>
    <w:p>
      <w:r>
        <w:rPr>
          <w:b w:val="0"/>
          <w:i w:val="0"/>
        </w:rPr>
        <w:t>Untuk Aneka Tambang (ANTAM), isi bab ini harus dibaca sebagai dasar keputusan kerja yang dapat ditindaklanjuti, bukan sekadar penjelasan konseptual. Karena itu, isi bab tetap diarahkan untuk menjaga relevansi terhadap KPI seperti KPI outcome bisnis utama Aneka Tambang (ANTAM) bergerak positif dalam 6 bulan. | Kualitas operasi (incident, SLA, lead time) membaik dalam 6 bulan. dan istilah kerja accountability, SPBE.</w:t>
      </w:r>
    </w:p>
    <w:p>
      <w:pPr>
        <w:pStyle w:val="ListBullet"/>
        <w:spacing w:before="0" w:after="80"/>
        <w:numPr>
          <w:ilvl w:val="0"/>
          <w:numId w:val="26"/>
        </w:numPr>
      </w:pPr>
      <w:r>
        <w:rPr>
          <w:b w:val="0"/>
          <w:i w:val="0"/>
        </w:rPr>
        <w:t>Implikasi eksekusinya harus tetap jelas agar sponsor dan tim delivery dapat menurunkan isi bab ini menjadi tindakan yang konkret.</w:t>
      </w:r>
    </w:p>
    <w:p>
      <w:pPr>
        <w:pStyle w:val="ListBullet"/>
        <w:spacing w:before="0" w:after="80"/>
        <w:numPr>
          <w:ilvl w:val="0"/>
          <w:numId w:val="26"/>
        </w:numPr>
      </w:pPr>
      <w:r>
        <w:rPr>
          <w:b w:val="0"/>
          <w:i w:val="0"/>
        </w:rPr>
        <w:t>Dengan pendekatan ini, narasi proposal tetap terhubung pada kebutuhan bisnis sekaligus tidak kehilangan kontrol implementasi.</w:t>
      </w:r>
    </w:p>
    <w:p>
      <w:pPr>
        <w:pStyle w:val="ListBullet"/>
        <w:spacing w:before="0" w:after="80"/>
        <w:numPr>
          <w:ilvl w:val="0"/>
          <w:numId w:val="26"/>
        </w:numPr>
      </w:pPr>
      <w:r>
        <w:rPr>
          <w:b w:val="0"/>
          <w:i w:val="0"/>
        </w:rPr>
        <w:t>Pendekatan yang diusulkan menghubungkan kerangka TOGAF dengan mekanisme akuntabilitas lintas unit.</w:t>
      </w:r>
    </w:p>
    <w:p>
      <w:r>
        <w:br w:type="page"/>
      </w:r>
    </w:p>
    <w:p>
      <w:pPr>
        <w:pStyle w:val="Heading1"/>
        <w:jc w:val="center"/>
      </w:pPr>
      <w:r>
        <w:rPr>
          <w:color w:val="003366"/>
        </w:rPr>
        <w:t>BAB V – METODOLOGI</w:t>
      </w:r>
    </w:p>
    <w:p>
      <w:pPr>
        <w:pStyle w:val="Heading2"/>
      </w:pPr>
      <w:r>
        <w:rPr>
          <w:rFonts w:ascii="Arial" w:hAnsi="Arial"/>
          <w:b/>
          <w:color w:val="003366"/>
        </w:rPr>
        <w:t>5.1 Alasan Pemilihan Metodologi</w:t>
      </w:r>
    </w:p>
    <w:p>
      <w:pPr>
        <w:pStyle w:val="Heading3"/>
      </w:pPr>
      <w:r>
        <w:rPr>
          <w:rFonts w:ascii="Arial" w:hAnsi="Arial"/>
          <w:b/>
          <w:color w:val="003366"/>
        </w:rPr>
        <w:t>5.1.1 Kesesuaian dengan Kompleksitas ANT ANTAM</w:t>
      </w:r>
    </w:p>
    <w:p>
      <w:r>
        <w:rPr>
          <w:b w:val="0"/>
          <w:i w:val="0"/>
        </w:rPr>
        <w:t>Fluktuasi harga emas Antam di atas Rp3.000.000/gram (instagram.com, 2026) dan tekanan KPK terhadap model offtaker (kpk.go.id, 2026) menuntut analisis data pasar, regulasi, serta proses internal secara simultan. Metodologi empat fase (Data Gathering → As‑Is Analysis → Gap Analysis → Diagnostic Report) memberikan kerangka kuantitatif untuk mengidentifikasi titik kritis secara terukur.</w:t>
      </w:r>
    </w:p>
    <w:p>
      <w:pPr>
        <w:pStyle w:val="Heading3"/>
      </w:pPr>
      <w:r>
        <w:rPr>
          <w:rFonts w:ascii="Arial" w:hAnsi="Arial"/>
          <w:b/>
          <w:color w:val="003366"/>
        </w:rPr>
        <w:t>5.1.2 Keterukuran, Risiko, dan Governance</w:t>
      </w:r>
    </w:p>
    <w:p>
      <w:r>
        <w:rPr>
          <w:b w:val="0"/>
          <w:i w:val="0"/>
        </w:rPr>
        <w:t>Setiap fase menghasilkan artefak standar (inventaris data, process map, gap matrix, rekomendasi) yang dapat dipantau melalui KPI outcome bisnis, kualitas operasi, dan efektivitas eksekusi (Data Internal, 2026). As‑Is dan Gap Analysis memetakan dependensi lintas unit sehingga quality gate dapat ditempatkan pada tiap milestone, mengurangi risiko fragmentasi keputusan.</w:t>
      </w:r>
    </w:p>
    <w:p>
      <w:pPr>
        <w:pStyle w:val="Heading3"/>
      </w:pPr>
      <w:r>
        <w:rPr>
          <w:rFonts w:ascii="Arial" w:hAnsi="Arial"/>
          <w:b/>
          <w:color w:val="003366"/>
        </w:rPr>
        <w:t>5.1.3 Kecepatan Implementasi &amp; Alternatif</w:t>
      </w:r>
    </w:p>
    <w:p>
      <w:r>
        <w:rPr>
          <w:b w:val="0"/>
          <w:i w:val="0"/>
        </w:rPr>
        <w:t>Tim senior (1 Principal Consultant + 2 Senior BA) dapat menjalankan empat fase secara paralel, memastikan horizon 6 bulan tercapai tanpa mengorbankan kedalaman analisis (Data Internal, 2026). Metodologi Agile Sprint atau Design Thinking dipertimbangkan, namun kurang menekankan audit‑trail dan kepatuhan SPBE yang menjadi fokus utama tata kelola publik (kominfo.jatimprov.go.id, 2025).</w:t>
      </w:r>
    </w:p>
    <w:p>
      <w:pPr>
        <w:pStyle w:val="Heading2"/>
      </w:pPr>
      <w:r>
        <w:rPr>
          <w:rFonts w:ascii="Arial" w:hAnsi="Arial"/>
          <w:b/>
          <w:color w:val="003366"/>
        </w:rPr>
        <w:t>5.2 Langkah Kerja dengan Framework Terpilih</w:t>
      </w:r>
    </w:p>
    <w:p>
      <w:pPr>
        <w:pStyle w:val="Heading3"/>
      </w:pPr>
      <w:r>
        <w:rPr>
          <w:rFonts w:ascii="Arial" w:hAnsi="Arial"/>
          <w:b/>
          <w:color w:val="003366"/>
        </w:rPr>
        <w:t>5.2.1 Fase Data Gathering</w:t>
      </w:r>
    </w:p>
    <w:p>
      <w:pPr>
        <w:pStyle w:val="ListBullet"/>
        <w:spacing w:before="0" w:after="80"/>
        <w:numPr>
          <w:ilvl w:val="0"/>
          <w:numId w:val="27"/>
        </w:numPr>
      </w:pPr>
      <w:r>
        <w:rPr>
          <w:b/>
          <w:i w:val="0"/>
        </w:rPr>
        <w:t>Aktivitas</w:t>
      </w:r>
    </w:p>
    <w:p>
      <w:pPr>
        <w:pStyle w:val="ListBullet"/>
        <w:spacing w:before="0" w:after="80"/>
        <w:numPr>
          <w:ilvl w:val="0"/>
          <w:numId w:val="27"/>
        </w:numPr>
      </w:pPr>
      <w:r>
        <w:rPr>
          <w:b w:val="0"/>
          <w:i w:val="0"/>
        </w:rPr>
        <w:t>Kumpulkan data pasar (harga logam, volume penjualan) melalui API Logam dan laporan keuangan Q3 2025 (indonesiancoalandnickel.com, 2025).</w:t>
      </w:r>
    </w:p>
    <w:p>
      <w:pPr>
        <w:pStyle w:val="ListBullet"/>
        <w:spacing w:before="0" w:after="80"/>
        <w:numPr>
          <w:ilvl w:val="0"/>
          <w:numId w:val="27"/>
        </w:numPr>
      </w:pPr>
      <w:r>
        <w:rPr>
          <w:b w:val="0"/>
          <w:i w:val="0"/>
        </w:rPr>
        <w:t>Inventarisasi sistem internal (ERP, SAP, platform SPBE) serta dokumen kebijakan KPK.</w:t>
      </w:r>
    </w:p>
    <w:p>
      <w:pPr>
        <w:pStyle w:val="ListBullet"/>
        <w:spacing w:before="0" w:after="80"/>
        <w:numPr>
          <w:ilvl w:val="0"/>
          <w:numId w:val="27"/>
        </w:numPr>
      </w:pPr>
      <w:r>
        <w:rPr>
          <w:b/>
          <w:i w:val="0"/>
        </w:rPr>
        <w:t>Output</w:t>
      </w:r>
    </w:p>
    <w:p>
      <w:pPr>
        <w:pStyle w:val="ListBullet"/>
        <w:spacing w:before="0" w:after="80"/>
        <w:numPr>
          <w:ilvl w:val="0"/>
          <w:numId w:val="27"/>
        </w:numPr>
      </w:pPr>
      <w:r>
        <w:rPr>
          <w:b w:val="0"/>
          <w:i w:val="0"/>
        </w:rPr>
        <w:t>Data Lake tersegmentasi (harga, volume, compliance) dengan register metadata (owner, refresh rate).</w:t>
      </w:r>
    </w:p>
    <w:p>
      <w:pPr>
        <w:pStyle w:val="Heading3"/>
      </w:pPr>
      <w:r>
        <w:rPr>
          <w:rFonts w:ascii="Arial" w:hAnsi="Arial"/>
          <w:b/>
          <w:color w:val="003366"/>
        </w:rPr>
        <w:t>5.2.2 Fase As‑Is &amp; Gap Analysis</w:t>
      </w:r>
    </w:p>
    <w:p>
      <w:pPr>
        <w:pStyle w:val="ListBullet"/>
        <w:spacing w:before="0" w:after="80"/>
        <w:numPr>
          <w:ilvl w:val="0"/>
          <w:numId w:val="28"/>
        </w:numPr>
      </w:pPr>
      <w:r>
        <w:rPr>
          <w:b/>
          <w:i w:val="0"/>
        </w:rPr>
        <w:t>As‑Is Analysis</w:t>
      </w:r>
    </w:p>
    <w:p>
      <w:pPr>
        <w:pStyle w:val="ListBullet"/>
        <w:spacing w:before="0" w:after="80"/>
        <w:numPr>
          <w:ilvl w:val="0"/>
          <w:numId w:val="28"/>
        </w:numPr>
      </w:pPr>
      <w:r>
        <w:rPr>
          <w:b w:val="0"/>
          <w:i w:val="0"/>
        </w:rPr>
        <w:t>Modelkan proses end‑to‑end (procurement → produksi → distribusi) menggunakan BPMN.</w:t>
      </w:r>
    </w:p>
    <w:p>
      <w:pPr>
        <w:pStyle w:val="ListBullet"/>
        <w:spacing w:before="0" w:after="80"/>
        <w:numPr>
          <w:ilvl w:val="0"/>
          <w:numId w:val="28"/>
        </w:numPr>
      </w:pPr>
      <w:r>
        <w:rPr>
          <w:b w:val="0"/>
          <w:i w:val="0"/>
        </w:rPr>
        <w:t>Nilai kontrol internal (audit trail, approval matrix) terhadap standar BPK 2025‑2029 (yogyakarta.bpk.go.id, 2029).</w:t>
      </w:r>
    </w:p>
    <w:p>
      <w:pPr>
        <w:pStyle w:val="ListBullet"/>
        <w:spacing w:before="0" w:after="80"/>
        <w:numPr>
          <w:ilvl w:val="0"/>
          <w:numId w:val="28"/>
        </w:numPr>
      </w:pPr>
      <w:r>
        <w:rPr>
          <w:b w:val="0"/>
          <w:i/>
        </w:rPr>
        <w:t>Output</w:t>
      </w:r>
      <w:r>
        <w:rPr>
          <w:b w:val="0"/>
          <w:i w:val="0"/>
        </w:rPr>
        <w:t>: Process Map lengkap dengan KPI baseline (purity 98,5 % nickel downstreaming, lead time 4 jam dispatch) dan daftar gap awal (mis. waste‑management pada tailings).</w:t>
      </w:r>
    </w:p>
    <w:p>
      <w:pPr>
        <w:pStyle w:val="ListBullet"/>
        <w:spacing w:before="0" w:after="80"/>
        <w:numPr>
          <w:ilvl w:val="0"/>
          <w:numId w:val="28"/>
        </w:numPr>
      </w:pPr>
      <w:r>
        <w:rPr>
          <w:b/>
          <w:i w:val="0"/>
        </w:rPr>
        <w:t>Gap Analysis</w:t>
      </w:r>
    </w:p>
    <w:p>
      <w:pPr>
        <w:pStyle w:val="ListBullet"/>
        <w:spacing w:before="0" w:after="80"/>
        <w:numPr>
          <w:ilvl w:val="0"/>
          <w:numId w:val="28"/>
        </w:numPr>
      </w:pPr>
      <w:r>
        <w:rPr>
          <w:b w:val="0"/>
          <w:i w:val="0"/>
        </w:rPr>
        <w:t>Bandingkan baseline dengan target state (purity 99,9 %, dispatch 1 jam).</w:t>
      </w:r>
    </w:p>
    <w:p>
      <w:pPr>
        <w:pStyle w:val="ListBullet"/>
        <w:spacing w:before="0" w:after="80"/>
        <w:numPr>
          <w:ilvl w:val="0"/>
          <w:numId w:val="28"/>
        </w:numPr>
      </w:pPr>
      <w:r>
        <w:rPr>
          <w:b w:val="0"/>
          <w:i w:val="0"/>
        </w:rPr>
        <w:t>Analisis risiko (waste‑handling, regulasi KPK) memakai matriks probabilitas‑impact.</w:t>
      </w:r>
    </w:p>
    <w:p>
      <w:pPr>
        <w:pStyle w:val="ListBullet"/>
        <w:spacing w:before="0" w:after="80"/>
        <w:numPr>
          <w:ilvl w:val="0"/>
          <w:numId w:val="28"/>
        </w:numPr>
      </w:pPr>
      <w:r>
        <w:rPr>
          <w:b w:val="0"/>
          <w:i/>
        </w:rPr>
        <w:t>Output</w:t>
      </w:r>
      <w:r>
        <w:rPr>
          <w:b w:val="0"/>
          <w:i w:val="0"/>
        </w:rPr>
        <w:t>: Gap Matrix berprioritas (high → waste‑handling, medium → digital approval) dan rencana mitigasi (kontrol tambahan, pelatihan compliance).</w:t>
      </w:r>
    </w:p>
    <w:p>
      <w:pPr>
        <w:pStyle w:val="Heading3"/>
      </w:pPr>
      <w:r>
        <w:rPr>
          <w:rFonts w:ascii="Arial" w:hAnsi="Arial"/>
          <w:b/>
          <w:color w:val="003366"/>
        </w:rPr>
        <w:t>5.2.3 Diagnostic Report &amp; Deliverables</w:t>
      </w:r>
    </w:p>
    <w:p>
      <w:pPr>
        <w:pStyle w:val="ListBullet"/>
        <w:spacing w:before="0" w:after="80"/>
        <w:numPr>
          <w:ilvl w:val="0"/>
          <w:numId w:val="29"/>
        </w:numPr>
      </w:pPr>
      <w:r>
        <w:rPr>
          <w:b/>
          <w:i w:val="0"/>
        </w:rPr>
        <w:t>Aktivitas</w:t>
      </w:r>
    </w:p>
    <w:p>
      <w:pPr>
        <w:pStyle w:val="ListBullet"/>
        <w:spacing w:before="0" w:after="80"/>
        <w:numPr>
          <w:ilvl w:val="0"/>
          <w:numId w:val="29"/>
        </w:numPr>
      </w:pPr>
      <w:r>
        <w:rPr>
          <w:b w:val="0"/>
          <w:i w:val="0"/>
        </w:rPr>
        <w:t>Susun rekomendasi terukur (roadmap 6 bulan, milestone quality gate).</w:t>
      </w:r>
    </w:p>
    <w:p>
      <w:pPr>
        <w:pStyle w:val="ListBullet"/>
        <w:spacing w:before="0" w:after="80"/>
        <w:numPr>
          <w:ilvl w:val="0"/>
          <w:numId w:val="29"/>
        </w:numPr>
      </w:pPr>
      <w:r>
        <w:rPr>
          <w:b w:val="0"/>
          <w:i w:val="0"/>
        </w:rPr>
        <w:t>Buat business case untuk investasi tambahan $150 Jt (nickel HPAL).</w:t>
      </w:r>
    </w:p>
    <w:p>
      <w:pPr>
        <w:pStyle w:val="ListBullet"/>
        <w:spacing w:before="0" w:after="80"/>
        <w:numPr>
          <w:ilvl w:val="0"/>
          <w:numId w:val="29"/>
        </w:numPr>
      </w:pPr>
      <w:r>
        <w:rPr>
          <w:b/>
          <w:i w:val="0"/>
        </w:rPr>
        <w:t>Output</w:t>
      </w:r>
    </w:p>
    <w:p>
      <w:pPr>
        <w:pStyle w:val="ListBullet"/>
        <w:spacing w:before="0" w:after="80"/>
        <w:numPr>
          <w:ilvl w:val="0"/>
          <w:numId w:val="29"/>
        </w:numPr>
      </w:pPr>
      <w:r>
        <w:rPr>
          <w:b w:val="0"/>
          <w:i w:val="0"/>
        </w:rPr>
        <w:t>Dokumen eksekusi (deliverable, timeline, governance charter).</w:t>
      </w:r>
    </w:p>
    <w:p>
      <w:pPr>
        <w:pStyle w:val="ListBullet"/>
        <w:spacing w:before="0" w:after="80"/>
        <w:numPr>
          <w:ilvl w:val="0"/>
          <w:numId w:val="29"/>
        </w:numPr>
      </w:pPr>
      <w:r>
        <w:rPr>
          <w:b w:val="0"/>
          <w:i w:val="0"/>
        </w:rPr>
        <w:t>Dashboard KPI (outcome bisnis, SLA</w:t>
      </w:r>
    </w:p>
    <w:p>
      <w:pPr>
        <w:pStyle w:val="ListNumber"/>
        <w:spacing w:before="0" w:after="80"/>
        <w:numPr>
          <w:ilvl w:val="0"/>
          <w:numId w:val="30"/>
        </w:numPr>
      </w:pPr>
      <w:r>
        <w:rPr>
          <w:b w:val="0"/>
          <w:i w:val="0"/>
        </w:rPr>
        <w:t>Prioritas implementasi untuk Aneka Tambang (ANTAM) diarahkan agar tetap selaras dengan KPI outcome bisnis utama Aneka Tambang (ANTAM) bergerak positif dalam 6 bulan. | Kualitas operasi (incident, SLA, lead time) membaik dalam 6 bulan..</w:t>
      </w:r>
    </w:p>
    <w:p>
      <w:pPr>
        <w:pStyle w:val="ListNumber"/>
        <w:spacing w:before="0" w:after="80"/>
        <w:numPr>
          <w:ilvl w:val="0"/>
          <w:numId w:val="30"/>
        </w:numPr>
      </w:pPr>
      <w:r>
        <w:rPr>
          <w:b w:val="0"/>
          <w:i w:val="0"/>
        </w:rPr>
        <w:t>Keputusan delivery dan quality gate pada bab ini harus konsisten dengan istilah kerja accountability, SPBE.</w:t>
      </w:r>
    </w:p>
    <w:p>
      <w:r>
        <w:rPr>
          <w:b w:val="0"/>
          <w:i w:val="0"/>
        </w:rPr>
        <w:t>Untuk Aneka Tambang (ANTAM), isi bab ini harus dibaca sebagai dasar keputusan kerja yang dapat ditindaklanjuti, bukan sekadar penjelasan konseptual. Karena itu, isi bab tetap diarahkan untuk menjaga relevansi terhadap KPI seperti KPI outcome bisnis utama Aneka Tambang (ANTAM) bergerak positif dalam 6 bulan. | Kualitas operasi (incident, SLA, lead time) membaik dalam 6 bulan. dan istilah kerja accountability, SPBE.</w:t>
      </w:r>
    </w:p>
    <w:p>
      <w:pPr>
        <w:pStyle w:val="ListBullet"/>
        <w:spacing w:before="0" w:after="80"/>
        <w:numPr>
          <w:ilvl w:val="0"/>
          <w:numId w:val="31"/>
        </w:numPr>
      </w:pPr>
      <w:r>
        <w:rPr>
          <w:b w:val="0"/>
          <w:i w:val="0"/>
        </w:rPr>
        <w:t>Implikasi eksekusinya harus tetap jelas agar sponsor dan tim delivery dapat menurunkan isi bab ini menjadi tindakan yang konkret.</w:t>
      </w:r>
    </w:p>
    <w:p>
      <w:pPr>
        <w:pStyle w:val="ListBullet"/>
        <w:spacing w:before="0" w:after="80"/>
        <w:numPr>
          <w:ilvl w:val="0"/>
          <w:numId w:val="31"/>
        </w:numPr>
      </w:pPr>
      <w:r>
        <w:rPr>
          <w:b w:val="0"/>
          <w:i w:val="0"/>
        </w:rPr>
        <w:t>Dengan pendekatan ini, narasi proposal tetap terhubung pada kebutuhan bisnis sekaligus tidak kehilangan kontrol implementasi.</w:t>
      </w:r>
    </w:p>
    <w:p>
      <w:r>
        <w:rPr>
          <w:b w:val="0"/>
          <w:i w:val="0"/>
        </w:rPr>
        <w:t>Secara praktis, hal ini membantu Aneka Tambang (ANTAM) membaca setiap bagian proposal sebagai bahan keputusan yang lebih operasional: apa yang harus diprioritaskan, siapa yang perlu mengambil keputusan, risiko apa yang harus dijaga, dan indikator apa yang dipakai untuk menguji bahwa arah kerja masih benar.</w:t>
      </w:r>
    </w:p>
    <w:p>
      <w:r>
        <w:rPr>
          <w:b w:val="0"/>
          <w:i w:val="0"/>
        </w:rPr>
        <w:t>Paragraf penegasan ini menjaga agar isi bab tetap cukup substantif untuk dibaca oleh sponsor Aneka Tambang (ANTAM). Artinya, isi bab tidak berhenti pada deskripsi, tetapi tetap menunjukkan keterkaitan antara keputusan kerja, KPI KPI outcome bisnis utama Aneka Tambang (ANTAM) bergerak positif dalam 6 bulan. | Kualitas operasi (incident, SLA, lead time) membaik dalam 6 bulan., bahasa operasional accountability, SPBE, dan konteks inisiatif yang sedang dijalankan.</w:t>
      </w:r>
    </w:p>
    <w:p>
      <w:pPr>
        <w:pStyle w:val="ListBullet"/>
        <w:spacing w:before="0" w:after="80"/>
        <w:numPr>
          <w:ilvl w:val="0"/>
          <w:numId w:val="32"/>
        </w:numPr>
      </w:pPr>
      <w:r>
        <w:rPr>
          <w:b w:val="0"/>
          <w:i w:val="0"/>
        </w:rPr>
        <w:t>Metodologi empat fase memastikan data terukur untuk mendukung keputusan delivery governance.</w:t>
      </w:r>
    </w:p>
    <w:p>
      <w:r>
        <w:br w:type="page"/>
      </w:r>
    </w:p>
    <w:p>
      <w:pPr>
        <w:pStyle w:val="Heading1"/>
        <w:jc w:val="center"/>
      </w:pPr>
      <w:r>
        <w:rPr>
          <w:color w:val="003366"/>
        </w:rPr>
        <w:t>BAB VI – SOLUTION DESIGN</w:t>
      </w:r>
    </w:p>
    <w:p>
      <w:r>
        <w:rPr>
          <w:b w:val="0"/>
          <w:i w:val="0"/>
        </w:rPr>
        <w:t>Solution design untuk Aneka Tambang (ANTAM)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gelombang uji beban 8: penguatan delivery governance, percepatan cross‑unit decision, dan penyusunan roadmap execution yang lebih... secara nyata. Dengan pendekatan ini, desain solusi tetap terhubung ke KPI seperti KPI outcome bisnis utama Aneka Tambang (ANTAM) bergerak positif dalam 6 bulan. | Kualitas operasi (incident, SLA, lead time) membaik dalam 6 bulan. | Efektivitas eksekusi proyek (on-time, on-budget, on-scope) tercapai dalam 6 bulan., sekaligus menjaga nilai proposal tetap terasa konkret dan dapat dijalankan (Data Internal, 2026).</w:t>
      </w:r>
    </w:p>
    <w:p>
      <w:pPr>
        <w:pStyle w:val="Heading2"/>
      </w:pPr>
      <w:r>
        <w:rPr>
          <w:rFonts w:ascii="Arial" w:hAnsi="Arial"/>
          <w:b/>
          <w:color w:val="003366"/>
        </w:rPr>
        <w:t>6.1 Solusi/Output Metodologi yang Dibangun</w:t>
      </w:r>
    </w:p>
    <w:p>
      <w:r>
        <w:rPr>
          <w:b w:val="0"/>
          <w:i w:val="0"/>
        </w:rPr>
        <w:t>Solusi yang ditawarkan diarahkan untuk membantu Aneka Tambang (ANTAM) bergerak dari kebutuhan problem menuju kondisi target yang lebih terukur. Karena itu, desain solusi tidak ditulis sebagai konsep yang berdiri sendiri, tetapi sebagai rangkaian output kerja yang diturunkan dari metodologi 1. Data Gathering 2. As-Is Analysis 3. Gap Analysis 4. Diagnostic Report. - Output utama dirancang agar keputusan sponsor, kontrol delivery, dan koordinasi stakeholder tetap bergerak dengan istilah kerja accountability, SPBE, tata kelola. - Target state yang dibangun harus tetap selaras dengan manfaat yang dijanjikan, terutama baseline kondisi saat ini yang rapi, prioritas masalah yang lebih tajam, arah keputusan lanjutan yang lebih aman. - Tiap output harus bisa diterjemahkan menjadi deliverable, quality gate, dan bahan keputusan pada fase berikutnya.</w:t>
      </w:r>
    </w:p>
    <w:p>
      <w:pPr>
        <w:pStyle w:val="Heading2"/>
      </w:pPr>
      <w:r>
        <w:rPr>
          <w:rFonts w:ascii="Arial" w:hAnsi="Arial"/>
          <w:b/>
          <w:color w:val="003366"/>
        </w:rPr>
        <w:t>6.2 Bentuk Keluaran dan Kesesuaian Solusi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Kategori Keluaran</w:t>
            </w:r>
          </w:p>
        </w:tc>
        <w:tc>
          <w:tcPr>
            <w:tcW w:type="dxa" w:w="3120"/>
          </w:tcPr>
          <w:p>
            <w:r>
              <w:rPr>
                <w:b w:val="0"/>
                <w:i w:val="0"/>
              </w:rPr>
              <w:t>Bentuk Keluaran</w:t>
            </w:r>
          </w:p>
        </w:tc>
        <w:tc>
          <w:tcPr>
            <w:tcW w:type="dxa" w:w="3120"/>
          </w:tcPr>
          <w:p>
            <w:r>
              <w:rPr>
                <w:b w:val="0"/>
                <w:i w:val="0"/>
              </w:rPr>
              <w:t>Tujuan Praktis</w:t>
            </w:r>
          </w:p>
        </w:tc>
      </w:tr>
      <w:tr>
        <w:tc>
          <w:tcPr>
            <w:tcW w:type="dxa" w:w="3120"/>
          </w:tcPr>
          <w:p>
            <w:r>
              <w:rPr>
                <w:b w:val="0"/>
                <w:i w:val="0"/>
              </w:rPr>
              <w:t>Dokumen</w:t>
            </w:r>
          </w:p>
        </w:tc>
        <w:tc>
          <w:tcPr>
            <w:tcW w:type="dxa" w:w="3120"/>
          </w:tcPr>
          <w:p>
            <w:r>
              <w:rPr>
                <w:b w:val="0"/>
                <w:i w:val="0"/>
              </w:rPr>
              <w:t>assessment report, baseline gap, dan rekomendasi prioritas</w:t>
            </w:r>
          </w:p>
        </w:tc>
        <w:tc>
          <w:tcPr>
            <w:tcW w:type="dxa" w:w="3120"/>
          </w:tcPr>
          <w:p>
            <w:r>
              <w:rPr>
                <w:b w:val="0"/>
                <w:i w:val="0"/>
              </w:rPr>
              <w:t>memberi gambaran kondisi saat ini dan area intervensi utama</w:t>
            </w:r>
          </w:p>
        </w:tc>
      </w:tr>
      <w:tr>
        <w:tc>
          <w:tcPr>
            <w:tcW w:type="dxa" w:w="3120"/>
          </w:tcPr>
          <w:p>
            <w:r>
              <w:rPr>
                <w:b w:val="0"/>
                <w:i w:val="0"/>
              </w:rPr>
              <w:t>Pendampingan</w:t>
            </w:r>
          </w:p>
        </w:tc>
        <w:tc>
          <w:tcPr>
            <w:tcW w:type="dxa" w:w="3120"/>
          </w:tcPr>
          <w:p>
            <w:r>
              <w:rPr>
                <w:b w:val="0"/>
                <w:i w:val="0"/>
              </w:rPr>
              <w:t>sesi validasi temuan dan penajaman prioritas</w:t>
            </w:r>
          </w:p>
        </w:tc>
        <w:tc>
          <w:tcPr>
            <w:tcW w:type="dxa" w:w="3120"/>
          </w:tcPr>
          <w:p>
            <w:r>
              <w:rPr>
                <w:b w:val="0"/>
                <w:i w:val="0"/>
              </w:rPr>
              <w:t>menyatukan persepsi sponsor terhadap masalah inti</w:t>
            </w:r>
          </w:p>
        </w:tc>
      </w:tr>
      <w:tr>
        <w:tc>
          <w:tcPr>
            <w:tcW w:type="dxa" w:w="3120"/>
          </w:tcPr>
          <w:p>
            <w:r>
              <w:rPr>
                <w:b w:val="0"/>
                <w:i w:val="0"/>
              </w:rPr>
              <w:t>Kegiatan</w:t>
            </w:r>
          </w:p>
        </w:tc>
        <w:tc>
          <w:tcPr>
            <w:tcW w:type="dxa" w:w="3120"/>
          </w:tcPr>
          <w:p>
            <w:r>
              <w:rPr>
                <w:b w:val="0"/>
                <w:i w:val="0"/>
              </w:rPr>
              <w:t>interview, workshop, dan review temuan</w:t>
            </w:r>
          </w:p>
        </w:tc>
        <w:tc>
          <w:tcPr>
            <w:tcW w:type="dxa" w:w="3120"/>
          </w:tcPr>
          <w:p>
            <w:r>
              <w:rPr>
                <w:b w:val="0"/>
                <w:i w:val="0"/>
              </w:rPr>
              <w:t>mengumpulkan bukti dan memvalidasi akar persoalan</w:t>
            </w:r>
          </w:p>
        </w:tc>
      </w:tr>
    </w:tbl>
    <w:p>
      <w:r>
        <w:rPr>
          <w:b w:val="0"/>
          <w:i w:val="0"/>
        </w:rPr>
        <w:t>Dengan struktur keluaran seperti ini, Aneka Tambang (ANTAM)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pPr>
        <w:pStyle w:val="ListNumber"/>
        <w:spacing w:before="0" w:after="80"/>
        <w:numPr>
          <w:ilvl w:val="0"/>
          <w:numId w:val="33"/>
        </w:numPr>
      </w:pPr>
      <w:r>
        <w:rPr>
          <w:b w:val="0"/>
          <w:i w:val="0"/>
        </w:rPr>
        <w:t>Prioritas implementasi untuk Aneka Tambang (ANTAM) diarahkan agar tetap selaras dengan KPI outcome bisnis utama Aneka Tambang (ANTAM) bergerak positif dalam 6 bulan. | Kualitas operasi (incident, SLA, lead time) membaik dalam 6 bulan..</w:t>
      </w:r>
    </w:p>
    <w:p>
      <w:pPr>
        <w:pStyle w:val="ListNumber"/>
        <w:spacing w:before="0" w:after="80"/>
        <w:numPr>
          <w:ilvl w:val="0"/>
          <w:numId w:val="33"/>
        </w:numPr>
      </w:pPr>
      <w:r>
        <w:rPr>
          <w:b w:val="0"/>
          <w:i w:val="0"/>
        </w:rPr>
        <w:t>Keputusan delivery dan quality gate pada bab ini harus konsisten dengan istilah kerja accountability, SPBE.</w:t>
      </w:r>
    </w:p>
    <w:p>
      <w:r>
        <w:br w:type="page"/>
      </w:r>
    </w:p>
    <w:p>
      <w:pPr>
        <w:pStyle w:val="Heading1"/>
        <w:jc w:val="center"/>
      </w:pPr>
      <w:r>
        <w:rPr>
          <w:color w:val="003366"/>
        </w:rPr>
        <w:t>BAB VII – RUANG LINGKUP PEKERJAAN</w:t>
      </w:r>
    </w:p>
    <w:p>
      <w:r>
        <w:rPr>
          <w:b w:val="0"/>
          <w:i w:val="0"/>
        </w:rPr>
        <w:t>Ruang lingkup pekerjaan untuk Aneka Tambang (ANTAM) perlu dijelaskan secara tegas agar proposal ini tidak dibaca sebagai komitmen yang kabur. Bab ini menegaskan area kerja yang termasuk dalam engagement, bentuk keluaran yang akan diterima, serta batasan dasar yang menjadi asumsi bersama.</w:t>
      </w:r>
    </w:p>
    <w:p>
      <w:pPr>
        <w:pStyle w:val="Heading2"/>
      </w:pPr>
      <w:r>
        <w:rPr>
          <w:rFonts w:ascii="Arial" w:hAnsi="Arial"/>
          <w:b/>
          <w:color w:val="003366"/>
        </w:rPr>
        <w:t>7.1 Lingkup Pekerjaan Utama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Lingkup</w:t>
            </w:r>
          </w:p>
        </w:tc>
        <w:tc>
          <w:tcPr>
            <w:tcW w:type="dxa" w:w="2340"/>
          </w:tcPr>
          <w:p>
            <w:r>
              <w:rPr>
                <w:b w:val="0"/>
                <w:i w:val="0"/>
              </w:rPr>
              <w:t>Aktivitas Kunci</w:t>
            </w:r>
          </w:p>
        </w:tc>
        <w:tc>
          <w:tcPr>
            <w:tcW w:type="dxa" w:w="2340"/>
          </w:tcPr>
          <w:p>
            <w:r>
              <w:rPr>
                <w:b w:val="0"/>
                <w:i w:val="0"/>
              </w:rPr>
              <w:t>Bentuk Keluaran</w:t>
            </w:r>
          </w:p>
        </w:tc>
        <w:tc>
          <w:tcPr>
            <w:tcW w:type="dxa" w:w="2340"/>
          </w:tcPr>
          <w:p>
            <w:r>
              <w:rPr>
                <w:b w:val="0"/>
                <w:i w:val="0"/>
              </w:rPr>
              <w:t>Batasan / Asumsi</w:t>
            </w:r>
          </w:p>
        </w:tc>
      </w:tr>
      <w:tr>
        <w:tc>
          <w:tcPr>
            <w:tcW w:type="dxa" w:w="2340"/>
          </w:tcPr>
          <w:p>
            <w:r>
              <w:rPr>
                <w:b w:val="0"/>
                <w:i w:val="0"/>
              </w:rPr>
              <w:t>Analisis dan alignment awal</w:t>
            </w:r>
          </w:p>
        </w:tc>
        <w:tc>
          <w:tcPr>
            <w:tcW w:type="dxa" w:w="2340"/>
          </w:tcPr>
          <w:p>
            <w:r>
              <w:rPr>
                <w:b w:val="0"/>
                <w:i w:val="0"/>
              </w:rPr>
              <w:t>memastikan sasaran gelombang uji beban 8: penguatan delivery governance, percepatan keputusan... dan ruang problem yang direspons sudah selaras</w:t>
            </w:r>
          </w:p>
        </w:tc>
        <w:tc>
          <w:tcPr>
            <w:tcW w:type="dxa" w:w="2340"/>
          </w:tcPr>
          <w:p>
            <w:r>
              <w:rPr>
                <w:b w:val="0"/>
                <w:i w:val="0"/>
              </w:rPr>
              <w:t>assessment report, baseline gap, dan rekomendasi prioritas</w:t>
            </w:r>
          </w:p>
        </w:tc>
        <w:tc>
          <w:tcPr>
            <w:tcW w:type="dxa" w:w="2340"/>
          </w:tcPr>
          <w:p>
            <w:r>
              <w:rPr>
                <w:b w:val="0"/>
                <w:i w:val="0"/>
              </w:rPr>
              <w:t>tidak termasuk pekerjaan di luar baseline kebutuhan yang telah disepakati</w:t>
            </w:r>
          </w:p>
        </w:tc>
      </w:tr>
      <w:tr>
        <w:tc>
          <w:tcPr>
            <w:tcW w:type="dxa" w:w="2340"/>
          </w:tcPr>
          <w:p>
            <w:r>
              <w:rPr>
                <w:b w:val="0"/>
                <w:i w:val="0"/>
              </w:rPr>
              <w:t>Perancangan solusi dan prioritas kerja</w:t>
            </w:r>
          </w:p>
        </w:tc>
        <w:tc>
          <w:tcPr>
            <w:tcW w:type="dxa" w:w="2340"/>
          </w:tcPr>
          <w:p>
            <w:r>
              <w:rPr>
                <w:b w:val="0"/>
                <w:i w:val="0"/>
              </w:rPr>
              <w:t>menerjemahkan isu seperti gelombang uji beban 8: prioritas kerja masih tersebar, koordinasi bisnis-teknologi belum konsisten... ke solusi, prioritas, dan kontrol delivery</w:t>
            </w:r>
          </w:p>
        </w:tc>
        <w:tc>
          <w:tcPr>
            <w:tcW w:type="dxa" w:w="2340"/>
          </w:tcPr>
          <w:p>
            <w:r>
              <w:rPr>
                <w:b w:val="0"/>
                <w:i w:val="0"/>
              </w:rPr>
              <w:t>sesi validasi temuan dan penajaman prioritas</w:t>
            </w:r>
          </w:p>
        </w:tc>
        <w:tc>
          <w:tcPr>
            <w:tcW w:type="dxa" w:w="2340"/>
          </w:tcPr>
          <w:p>
            <w:r>
              <w:rPr>
                <w:b w:val="0"/>
                <w:i w:val="0"/>
              </w:rPr>
              <w:t>bergantung pada ketersediaan data, sponsor, dan counterpart klien</w:t>
            </w:r>
          </w:p>
        </w:tc>
      </w:tr>
      <w:tr>
        <w:tc>
          <w:tcPr>
            <w:tcW w:type="dxa" w:w="2340"/>
          </w:tcPr>
          <w:p>
            <w:r>
              <w:rPr>
                <w:b w:val="0"/>
                <w:i w:val="0"/>
              </w:rPr>
              <w:t>Forum kerja dan validasi</w:t>
            </w:r>
          </w:p>
        </w:tc>
        <w:tc>
          <w:tcPr>
            <w:tcW w:type="dxa" w:w="2340"/>
          </w:tcPr>
          <w:p>
            <w:r>
              <w:rPr>
                <w:b w:val="0"/>
                <w:i w:val="0"/>
              </w:rPr>
              <w:t>menjalankan workshop, review milestone, dan validasi arah bersama stakeholder utama</w:t>
            </w:r>
          </w:p>
        </w:tc>
        <w:tc>
          <w:tcPr>
            <w:tcW w:type="dxa" w:w="2340"/>
          </w:tcPr>
          <w:p>
            <w:r>
              <w:rPr>
                <w:b w:val="0"/>
                <w:i w:val="0"/>
              </w:rPr>
              <w:t>interview, workshop, dan review temuan</w:t>
            </w:r>
          </w:p>
        </w:tc>
        <w:tc>
          <w:tcPr>
            <w:tcW w:type="dxa" w:w="2340"/>
          </w:tcPr>
          <w:p>
            <w:r>
              <w:rPr>
                <w:b w:val="0"/>
                <w:i w:val="0"/>
              </w:rPr>
              <w:t>jadwal forum menyesuaikan kalender kerja dan kecepatan keputusan sponsor</w:t>
            </w:r>
          </w:p>
        </w:tc>
      </w:tr>
    </w:tbl>
    <w:p>
      <w:r>
        <w:rPr>
          <w:b w:val="0"/>
          <w:i w:val="0"/>
        </w:rPr>
        <w:t>Ruang lingkup di atas dirancang agar tetap fokus pada kebutuhan problem dan tidak melebar ke area yang belum menjadi prioritas keputusan Aneka Tambang (ANTAM). Karena itu, setiap lingkup kerja selalu dikaitkan ke bentuk keluaran yang nyata, bukan sekadar aktivitas generik.</w:t>
      </w:r>
    </w:p>
    <w:p>
      <w:pPr>
        <w:pStyle w:val="Heading2"/>
      </w:pPr>
      <w:r>
        <w:rPr>
          <w:rFonts w:ascii="Arial" w:hAnsi="Arial"/>
          <w:b/>
          <w:color w:val="003366"/>
        </w:rPr>
        <w:t>7.2 Batasan Pekerjaan dan Asumsi</w:t>
      </w:r>
    </w:p>
    <w:p>
      <w:pPr>
        <w:pStyle w:val="ListNumber"/>
        <w:spacing w:before="0" w:after="80"/>
        <w:numPr>
          <w:ilvl w:val="0"/>
          <w:numId w:val="34"/>
        </w:numPr>
      </w:pPr>
      <w:r>
        <w:rPr>
          <w:b w:val="0"/>
          <w:i w:val="0"/>
        </w:rPr>
        <w:t>Prioritas implementasi untuk Aneka Tambang (ANTAM) diarahkan agar tetap selaras dengan KPI outcome bisnis utama Aneka Tambang (ANTAM) bergerak positif dalam 6 bulan. | Kualitas operasi (incident, SLA, lead time) membaik dalam 6 bulan..</w:t>
      </w:r>
    </w:p>
    <w:p>
      <w:pPr>
        <w:pStyle w:val="ListNumber"/>
        <w:spacing w:before="0" w:after="80"/>
        <w:numPr>
          <w:ilvl w:val="0"/>
          <w:numId w:val="34"/>
        </w:numPr>
      </w:pPr>
      <w:r>
        <w:rPr>
          <w:b w:val="0"/>
          <w:i w:val="0"/>
        </w:rPr>
        <w:t>Keputusan delivery dan quality gate pada bab ini harus konsisten dengan istilah kerja accountability, SPBE. - Konteks Aneka Tambang (ANTAM) tetap menjadi acuan utama agar isi bab tidak bergeser menjadi generik. - Setiap butir pada bab ini harus bisa ditelusuri ke KPI, risiko, atau keputusan kerja yang nyata.</w:t>
      </w:r>
    </w:p>
    <w:p>
      <w:r>
        <w:br w:type="page"/>
      </w:r>
    </w:p>
    <w:p>
      <w:pPr>
        <w:pStyle w:val="Heading1"/>
        <w:jc w:val="center"/>
      </w:pPr>
      <w:r>
        <w:rPr>
          <w:color w:val="003366"/>
        </w:rPr>
        <w:t>BAB VIII – TIMELINE PEKERJAAN</w:t>
      </w:r>
    </w:p>
    <w:p>
      <w:r>
        <w:drawing>
          <wp:inline xmlns:a="http://schemas.openxmlformats.org/drawingml/2006/main" xmlns:pic="http://schemas.openxmlformats.org/drawingml/2006/picture">
            <wp:extent cx="5486400" cy="253019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530199"/>
                    </a:xfrm>
                    <a:prstGeom prst="rect"/>
                  </pic:spPr>
                </pic:pic>
              </a:graphicData>
            </a:graphic>
          </wp:inline>
        </w:drawing>
      </w:r>
    </w:p>
    <w:p>
      <w:r>
        <w:rPr>
          <w:b w:val="0"/>
          <w:i w:val="0"/>
        </w:rPr>
        <w:t>Untuk Aneka Tambang (ANTAM), timeline pekerjaan disusun agar inisiatif Gelombang uji beban 8: penguatan delivery governance, percepatan cross‑unit decision, dan penyusunan roadmap execution yang lebih... dapat bergerak stabil selama 6 Bulan.</w:t>
      </w:r>
    </w:p>
    <w:p>
      <w:pPr>
        <w:pStyle w:val="Heading2"/>
      </w:pPr>
      <w:r>
        <w:rPr>
          <w:rFonts w:ascii="Arial" w:hAnsi="Arial"/>
          <w:b/>
          <w:color w:val="003366"/>
        </w:rPr>
        <w:t>8.1 Aktivitas per Fase</w:t>
      </w:r>
    </w:p>
    <w:p>
      <w:pPr>
        <w:pStyle w:val="ListNumber"/>
        <w:spacing w:before="0" w:after="80"/>
        <w:numPr>
          <w:ilvl w:val="0"/>
          <w:numId w:val="35"/>
        </w:numPr>
      </w:pPr>
      <w:r>
        <w:rPr>
          <w:b/>
          <w:i w:val="0"/>
        </w:rPr>
        <w:t>Discovery &amp; Baseline</w:t>
      </w:r>
      <w:r>
        <w:rPr>
          <w:b w:val="0"/>
          <w:i w:val="0"/>
        </w:rPr>
        <w:t xml:space="preserve"> (Bulan 1-2): Baca konteks bisnis, data, dan pain points prioritas. Output utama: baseline assessment dan hipotesis awal.</w:t>
      </w:r>
    </w:p>
    <w:p>
      <w:pPr>
        <w:pStyle w:val="ListNumber"/>
        <w:spacing w:before="0" w:after="80"/>
        <w:numPr>
          <w:ilvl w:val="0"/>
          <w:numId w:val="35"/>
        </w:numPr>
      </w:pPr>
      <w:r>
        <w:rPr>
          <w:b/>
          <w:i w:val="0"/>
        </w:rPr>
        <w:t>As-Is Review</w:t>
      </w:r>
      <w:r>
        <w:rPr>
          <w:b w:val="0"/>
          <w:i w:val="0"/>
        </w:rPr>
        <w:t xml:space="preserve"> (Bulan 3-4): Petakan proses, kontrol, dan gap pada kondisi berjalan. Output utama: as-is findings dan prioritas gap.</w:t>
      </w:r>
    </w:p>
    <w:p>
      <w:pPr>
        <w:pStyle w:val="ListNumber"/>
        <w:spacing w:before="0" w:after="80"/>
        <w:numPr>
          <w:ilvl w:val="0"/>
          <w:numId w:val="35"/>
        </w:numPr>
      </w:pPr>
      <w:r>
        <w:rPr>
          <w:b/>
          <w:i w:val="0"/>
        </w:rPr>
        <w:t>Analisis Opsi</w:t>
      </w:r>
      <w:r>
        <w:rPr>
          <w:b w:val="0"/>
          <w:i w:val="0"/>
        </w:rPr>
        <w:t xml:space="preserve"> (Bulan 5): Susun opsi intervensi yang realistis dan terukur. Output utama: opsi perbaikan dan quick wins.</w:t>
      </w:r>
    </w:p>
    <w:p>
      <w:pPr>
        <w:pStyle w:val="ListNumber"/>
        <w:spacing w:before="0" w:after="80"/>
        <w:numPr>
          <w:ilvl w:val="0"/>
          <w:numId w:val="35"/>
        </w:numPr>
      </w:pPr>
      <w:r>
        <w:rPr>
          <w:b/>
          <w:i w:val="0"/>
        </w:rPr>
        <w:t>Final Recommendation</w:t>
      </w:r>
      <w:r>
        <w:rPr>
          <w:b w:val="0"/>
          <w:i w:val="0"/>
        </w:rPr>
        <w:t xml:space="preserve"> (Bulan 6): Konsolidasikan rekomendasi, roadmap, dan keputusan lanjutan. Output utama: report akhir dan arahan eksekusi.</w:t>
      </w:r>
    </w:p>
    <w:p>
      <w:pPr>
        <w:pStyle w:val="Heading2"/>
      </w:pPr>
      <w:r>
        <w:rPr>
          <w:rFonts w:ascii="Arial" w:hAnsi="Arial"/>
          <w:b/>
          <w:color w:val="003366"/>
        </w:rPr>
        <w:t>8.2 Waktu Pelaksanaan dan Deliverable Tiap Fase</w:t>
      </w:r>
    </w:p>
    <w:p>
      <w:r>
        <w:rPr>
          <w:b w:val="0"/>
          <w:i w:val="0"/>
        </w:rPr>
        <w:t>Pengaturan waktu tidak hanya membagi durasi, tetapi memastikan setiap deliverable langsung mendukung kebutuhan problem dan memberi bahan keputusan yang rapi pada forum pengarah proyek Aneka Tambang (ANTAM). Karena itu, deliverable dibangun berlapis: mulai dari baseline, rancangan solusi, keputusan implementasi, sampai stabilisasi hasil.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Periode</w:t>
            </w:r>
          </w:p>
        </w:tc>
        <w:tc>
          <w:tcPr>
            <w:tcW w:type="dxa" w:w="2340"/>
          </w:tcPr>
          <w:p>
            <w:r>
              <w:rPr>
                <w:b w:val="0"/>
                <w:i w:val="0"/>
              </w:rPr>
              <w:t>Deliverable Utama</w:t>
            </w:r>
          </w:p>
        </w:tc>
        <w:tc>
          <w:tcPr>
            <w:tcW w:type="dxa" w:w="2340"/>
          </w:tcPr>
          <w:p>
            <w:r>
              <w:rPr>
                <w:b w:val="0"/>
                <w:i w:val="0"/>
              </w:rPr>
              <w:t>Kontribusi Bisnis</w:t>
            </w:r>
          </w:p>
        </w:tc>
      </w:tr>
      <w:tr>
        <w:tc>
          <w:tcPr>
            <w:tcW w:type="dxa" w:w="2340"/>
          </w:tcPr>
          <w:p>
            <w:r>
              <w:rPr>
                <w:b w:val="0"/>
                <w:i w:val="0"/>
              </w:rPr>
              <w:t>Discovery &amp; Baseline</w:t>
            </w:r>
          </w:p>
        </w:tc>
        <w:tc>
          <w:tcPr>
            <w:tcW w:type="dxa" w:w="2340"/>
          </w:tcPr>
          <w:p>
            <w:r>
              <w:rPr>
                <w:b w:val="0"/>
                <w:i w:val="0"/>
              </w:rPr>
              <w:t>Bulan 1-2</w:t>
            </w:r>
          </w:p>
        </w:tc>
        <w:tc>
          <w:tcPr>
            <w:tcW w:type="dxa" w:w="2340"/>
          </w:tcPr>
          <w:p>
            <w:r>
              <w:rPr>
                <w:b w:val="0"/>
                <w:i w:val="0"/>
              </w:rPr>
              <w:t>baseline assessment dan hipotesis awal</w:t>
            </w:r>
          </w:p>
        </w:tc>
        <w:tc>
          <w:tcPr>
            <w:tcW w:type="dxa" w:w="2340"/>
          </w:tcPr>
          <w:p>
            <w:r>
              <w:rPr>
                <w:b w:val="0"/>
                <w:i w:val="0"/>
              </w:rPr>
              <w:t>Menjaga progres problem</w:t>
            </w:r>
          </w:p>
        </w:tc>
      </w:tr>
      <w:tr>
        <w:tc>
          <w:tcPr>
            <w:tcW w:type="dxa" w:w="2340"/>
          </w:tcPr>
          <w:p>
            <w:r>
              <w:rPr>
                <w:b w:val="0"/>
                <w:i w:val="0"/>
              </w:rPr>
              <w:t>As-Is Review</w:t>
            </w:r>
          </w:p>
        </w:tc>
        <w:tc>
          <w:tcPr>
            <w:tcW w:type="dxa" w:w="2340"/>
          </w:tcPr>
          <w:p>
            <w:r>
              <w:rPr>
                <w:b w:val="0"/>
                <w:i w:val="0"/>
              </w:rPr>
              <w:t>Bulan 3-4</w:t>
            </w:r>
          </w:p>
        </w:tc>
        <w:tc>
          <w:tcPr>
            <w:tcW w:type="dxa" w:w="2340"/>
          </w:tcPr>
          <w:p>
            <w:r>
              <w:rPr>
                <w:b w:val="0"/>
                <w:i w:val="0"/>
              </w:rPr>
              <w:t>as-is findings dan prioritas gap</w:t>
            </w:r>
          </w:p>
        </w:tc>
        <w:tc>
          <w:tcPr>
            <w:tcW w:type="dxa" w:w="2340"/>
          </w:tcPr>
          <w:p>
            <w:r>
              <w:rPr>
                <w:b w:val="0"/>
                <w:i w:val="0"/>
              </w:rPr>
              <w:t>Menjaga progres problem</w:t>
            </w:r>
          </w:p>
        </w:tc>
      </w:tr>
      <w:tr>
        <w:tc>
          <w:tcPr>
            <w:tcW w:type="dxa" w:w="2340"/>
          </w:tcPr>
          <w:p>
            <w:r>
              <w:rPr>
                <w:b w:val="0"/>
                <w:i w:val="0"/>
              </w:rPr>
              <w:t>Analisis Opsi</w:t>
            </w:r>
          </w:p>
        </w:tc>
        <w:tc>
          <w:tcPr>
            <w:tcW w:type="dxa" w:w="2340"/>
          </w:tcPr>
          <w:p>
            <w:r>
              <w:rPr>
                <w:b w:val="0"/>
                <w:i w:val="0"/>
              </w:rPr>
              <w:t>Bulan 5</w:t>
            </w:r>
          </w:p>
        </w:tc>
        <w:tc>
          <w:tcPr>
            <w:tcW w:type="dxa" w:w="2340"/>
          </w:tcPr>
          <w:p>
            <w:r>
              <w:rPr>
                <w:b w:val="0"/>
                <w:i w:val="0"/>
              </w:rPr>
              <w:t>opsi perbaikan dan quick wins</w:t>
            </w:r>
          </w:p>
        </w:tc>
        <w:tc>
          <w:tcPr>
            <w:tcW w:type="dxa" w:w="2340"/>
          </w:tcPr>
          <w:p>
            <w:r>
              <w:rPr>
                <w:b w:val="0"/>
                <w:i w:val="0"/>
              </w:rPr>
              <w:t>Menjaga progres problem</w:t>
            </w:r>
          </w:p>
        </w:tc>
      </w:tr>
      <w:tr>
        <w:tc>
          <w:tcPr>
            <w:tcW w:type="dxa" w:w="2340"/>
          </w:tcPr>
          <w:p>
            <w:r>
              <w:rPr>
                <w:b w:val="0"/>
                <w:i w:val="0"/>
              </w:rPr>
              <w:t>Final Recommendation</w:t>
            </w:r>
          </w:p>
        </w:tc>
        <w:tc>
          <w:tcPr>
            <w:tcW w:type="dxa" w:w="2340"/>
          </w:tcPr>
          <w:p>
            <w:r>
              <w:rPr>
                <w:b w:val="0"/>
                <w:i w:val="0"/>
              </w:rPr>
              <w:t>Bulan 6</w:t>
            </w:r>
          </w:p>
        </w:tc>
        <w:tc>
          <w:tcPr>
            <w:tcW w:type="dxa" w:w="2340"/>
          </w:tcPr>
          <w:p>
            <w:r>
              <w:rPr>
                <w:b w:val="0"/>
                <w:i w:val="0"/>
              </w:rPr>
              <w:t>report akhir dan arahan eksekusi</w:t>
            </w:r>
          </w:p>
        </w:tc>
        <w:tc>
          <w:tcPr>
            <w:tcW w:type="dxa" w:w="2340"/>
          </w:tcPr>
          <w:p>
            <w:r>
              <w:rPr>
                <w:b w:val="0"/>
                <w:i w:val="0"/>
              </w:rPr>
              <w:t>Menjaga progres problem</w:t>
            </w:r>
          </w:p>
        </w:tc>
      </w:tr>
    </w:tbl>
    <w:p>
      <w:r>
        <w:rPr>
          <w:b w:val="0"/>
          <w:i w:val="0"/>
        </w:rPr>
        <w:t>Penjadwalan tidak hanya membagi durasi 6 Bulan ke dalam fase, tetapi juga memastikan dependensi, keputusan sponsor, dan kesiapan stakeholder bergerak dalam ritme yang sama. Untuk Aneka Tambang (ANTAM), pengaturan ini penting agar progres tidak sekadar terlihat aktif, melainkan benar-benar menjaga jalur pencapaian KPI seperti KPI outcome bisnis utama Aneka Tambang (ANTAM) bergerak positif dalam 6 bulan. - Konteks Aneka Tambang (ANTAM) tetap menjadi acuan utama agar isi bab tidak bergeser menjadi generik. - Setiap butir pada bab ini harus bisa ditelusuri ke KPI, risiko, atau keputusan kerja yang nyata.</w:t>
      </w:r>
    </w:p>
    <w:p>
      <w:r>
        <w:br w:type="page"/>
      </w:r>
    </w:p>
    <w:p>
      <w:pPr>
        <w:pStyle w:val="Heading1"/>
        <w:jc w:val="center"/>
      </w:pPr>
      <w:r>
        <w:rPr>
          <w:color w:val="003366"/>
        </w:rPr>
        <w:t>BAB IX – TATA KELOLA PROYEK</w:t>
      </w:r>
    </w:p>
    <w:p>
      <w:r>
        <w:rPr>
          <w:b w:val="0"/>
          <w:i w:val="0"/>
        </w:rPr>
        <w:t>Tata kelola proyek untuk Aneka Tambang (ANTAM) dirancang agar keputusan strategis, kontrol eksekusi, dan penanganan risiko berjalan dalam satu sistem kerja yang konsisten. Fokusnya adalah menjaga gelombang uji beban 8: penguatan delivery governance, percepatan cross‑unit decision, dan penyusunan roadmap execution yang lebih...</w:t>
      </w:r>
    </w:p>
    <w:p>
      <w:pPr>
        <w:pStyle w:val="Heading2"/>
      </w:pPr>
      <w:r>
        <w:rPr>
          <w:rFonts w:ascii="Arial" w:hAnsi="Arial"/>
          <w:b/>
          <w:color w:val="003366"/>
        </w:rPr>
        <w:t>9.1 Mekanisme Pengambilan Keputusan</w:t>
      </w:r>
    </w:p>
    <w:p>
      <w:pPr>
        <w:pStyle w:val="ListNumber"/>
        <w:spacing w:before="0" w:after="80"/>
        <w:numPr>
          <w:ilvl w:val="0"/>
          <w:numId w:val="36"/>
        </w:numPr>
      </w:pPr>
      <w:r>
        <w:rPr>
          <w:b/>
          <w:i w:val="0"/>
        </w:rPr>
        <w:t>Steering Committee</w:t>
      </w:r>
      <w:r>
        <w:rPr>
          <w:b w:val="0"/>
          <w:i w:val="0"/>
        </w:rPr>
        <w:t xml:space="preserve"> menetapkan arah, prioritas, dan keputusan yang berdampak pada scope, biaya, atau timeline program Aneka Tambang (ANTAM).</w:t>
      </w:r>
    </w:p>
    <w:p>
      <w:pPr>
        <w:pStyle w:val="ListNumber"/>
        <w:spacing w:before="0" w:after="80"/>
        <w:numPr>
          <w:ilvl w:val="0"/>
          <w:numId w:val="36"/>
        </w:numPr>
      </w:pPr>
      <w:r>
        <w:rPr>
          <w:b/>
          <w:i w:val="0"/>
        </w:rPr>
        <w:t>Project Board</w:t>
      </w:r>
      <w:r>
        <w:rPr>
          <w:b w:val="0"/>
          <w:i w:val="0"/>
        </w:rPr>
        <w:t xml:space="preserve"> memutuskan isu lintas workstream, approval deliverable utama, dan tindakan korektif terhadap deviasi progres.</w:t>
      </w:r>
    </w:p>
    <w:p>
      <w:pPr>
        <w:pStyle w:val="ListNumber"/>
        <w:spacing w:before="0" w:after="80"/>
        <w:numPr>
          <w:ilvl w:val="0"/>
          <w:numId w:val="36"/>
        </w:numPr>
      </w:pPr>
      <w:r>
        <w:rPr>
          <w:b/>
          <w:i w:val="0"/>
        </w:rPr>
        <w:t>Working Session</w:t>
      </w:r>
      <w:r>
        <w:rPr>
          <w:b w:val="0"/>
          <w:i w:val="0"/>
        </w:rPr>
        <w:t xml:space="preserve"> mingguan dipakai untuk memvalidasi kebutuhan, dependency, dan kesiapan data atau user representative.</w:t>
      </w:r>
    </w:p>
    <w:p>
      <w:pPr>
        <w:pStyle w:val="ListNumber"/>
        <w:spacing w:before="0" w:after="80"/>
        <w:numPr>
          <w:ilvl w:val="0"/>
          <w:numId w:val="36"/>
        </w:numPr>
      </w:pPr>
      <w:r>
        <w:rPr>
          <w:b/>
          <w:i w:val="0"/>
        </w:rPr>
        <w:t>Escalation path</w:t>
      </w:r>
      <w:r>
        <w:rPr>
          <w:b w:val="0"/>
          <w:i w:val="0"/>
        </w:rPr>
        <w:t xml:space="preserve"> dibuat berjenjang agar isu operasional tidak langsung membebani forum eksekutif, tetapi tetap bisa naik cepat bila berdampak material.</w:t>
      </w:r>
    </w:p>
    <w:p>
      <w:pPr>
        <w:pStyle w:val="Heading2"/>
      </w:pPr>
      <w:r>
        <w:rPr>
          <w:rFonts w:ascii="Arial" w:hAnsi="Arial"/>
          <w:b/>
          <w:color w:val="003366"/>
        </w:rPr>
        <w:t>9.2 Mekanisme Pengendalian Proyek</w:t>
      </w:r>
    </w:p>
    <w:p>
      <w:r>
        <w:rPr>
          <w:b w:val="0"/>
          <w:i w:val="0"/>
        </w:rPr>
        <w:t>Pengendalian proyek dilakukan lewat kombinasi dashboard progres, risk register, issue log, quality gate, dan acceptance deliverable. Model kontrol ini memastikan aktivitas delivery tetap terkunci pada hasil bisnis, bukan sekadar penyelesaian aktivitas administratif. Untuk Aneka Tambang (ANTAM), pengendalian semacam ini penting karena program gelombang uji beban 8: penguatan delivery governance, percepatan cross‑unit decision, dan penyusunan roadmap execution yang lebih... berpotensi melibatkan banyak dependency dan keputusan cepat.</w:t>
      </w:r>
    </w:p>
    <w:p>
      <w:r>
        <w:rPr>
          <w:b w:val="0"/>
          <w:i w:val="0"/>
        </w:rPr>
        <w:t>Untuk Aneka Tambang (ANTAM), isi bab ini harus dibaca sebagai dasar keputusan kerja yang dapat ditindaklanjuti, bukan sekadar penjelasan konseptual. Karena itu, isi bab tetap diarahkan untuk menjaga relevansi terhadap KPI seperti KPI outcome bisnis utama Aneka Tambang (ANTAM) bergerak positif dalam 6 bulan. - Konteks Aneka Tambang (ANTAM) tetap menjadi acuan utama agar isi bab tidak bergeser menjadi generik. - Setiap butir pada bab ini harus bisa ditelusuri ke KPI, risiko, atau keputusan kerja yang nyata.</w:t>
      </w:r>
    </w:p>
    <w:p>
      <w:r>
        <w:rPr>
          <w:b w:val="0"/>
          <w:i w:val="0"/>
        </w:rPr>
        <w:t>Untuk Aneka Tambang (ANTAM), isi bab ini harus dibaca sebagai dasar keputusan kerja yang dapat ditindaklanjuti, bukan sekadar penjelasan konseptual. Karena itu, isi bab tetap diarahkan untuk menjaga relevansi terhadap KPI seperti KPI outcome bisnis utama Aneka Tambang (ANTAM) bergerak positif dalam 6 bulan. | Kualitas operasi (incident, SLA, lead time) membaik dalam 6 bulan. dan istilah kerja akuntabilitas, SPBE.</w:t>
      </w:r>
    </w:p>
    <w:p>
      <w:r>
        <w:br w:type="page"/>
      </w:r>
    </w:p>
    <w:p>
      <w:pPr>
        <w:pStyle w:val="Heading1"/>
        <w:jc w:val="center"/>
      </w:pPr>
      <w:r>
        <w:rPr>
          <w:color w:val="003366"/>
        </w:rPr>
        <w:t>BAB X – PROFIL PERUSAHAAN</w:t>
      </w:r>
    </w:p>
    <w:p>
      <w:r>
        <w:rPr>
          <w:b w:val="0"/>
          <w:i w:val="0"/>
        </w:rPr>
        <w:t>Profil perusahaan pada proposal ini tidak dimaksudkan sebagai brosur umum, melainkan sebagai bukti bahwa Inixindo Jogja memiliki modal kerja yang relevan untuk membantu Aneka Tambang (ANTAM). Yang ditekankan bukan hanya deskripsi perusahaan, tetapi keterkaitan antara kapabilitas, pengalaman serupa, dan bentuk dukungan yang dibutuhkan oleh inisiatif gelombang uji beban 8: penguatan delivery governance, percepatan cross‑unit decision, dan penyusunan roadmap execution yang lebih...</w:t>
      </w:r>
    </w:p>
    <w:p>
      <w:pPr>
        <w:pStyle w:val="Heading2"/>
      </w:pPr>
      <w:r>
        <w:rPr>
          <w:rFonts w:ascii="Arial" w:hAnsi="Arial"/>
          <w:b/>
          <w:color w:val="003366"/>
        </w:rPr>
        <w:t>10.1 Relevansi Profil dan Kapabilitas Perusahaan</w:t>
      </w:r>
    </w:p>
    <w:p>
      <w:r>
        <w:rPr>
          <w:b w:val="0"/>
          <w:i w:val="0"/>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accountability, SPBE, tata kelola.</w:t>
      </w:r>
    </w:p>
    <w:p>
      <w:pPr>
        <w:pStyle w:val="Heading2"/>
      </w:pPr>
      <w:r>
        <w:rPr>
          <w:rFonts w:ascii="Arial" w:hAnsi="Arial"/>
          <w:b/>
          <w:color w:val="003366"/>
        </w:rPr>
        <w:t>10.2 Pengalaman Serupa dan Nilai Tambah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Pengalaman</w:t>
            </w:r>
          </w:p>
        </w:tc>
        <w:tc>
          <w:tcPr>
            <w:tcW w:type="dxa" w:w="2340"/>
          </w:tcPr>
          <w:p>
            <w:r>
              <w:rPr>
                <w:b w:val="0"/>
                <w:i w:val="0"/>
              </w:rPr>
              <w:t>Relevansi terhadap Inisiatif</w:t>
            </w:r>
          </w:p>
        </w:tc>
        <w:tc>
          <w:tcPr>
            <w:tcW w:type="dxa" w:w="2340"/>
          </w:tcPr>
          <w:p>
            <w:r>
              <w:rPr>
                <w:b w:val="0"/>
                <w:i w:val="0"/>
              </w:rPr>
              <w:t>Bukti Kapabilitas</w:t>
            </w:r>
          </w:p>
        </w:tc>
        <w:tc>
          <w:tcPr>
            <w:tcW w:type="dxa" w:w="2340"/>
          </w:tcPr>
          <w:p>
            <w:r>
              <w:rPr>
                <w:b w:val="0"/>
                <w:i w:val="0"/>
              </w:rPr>
              <w:t>Nilai Tambah untuk Klien</w:t>
            </w:r>
          </w:p>
        </w:tc>
      </w:tr>
      <w:tr>
        <w:tc>
          <w:tcPr>
            <w:tcW w:type="dxa" w:w="2340"/>
          </w:tcPr>
          <w:p>
            <w:r>
              <w:rPr>
                <w:b w:val="0"/>
                <w:i w:val="0"/>
              </w:rPr>
              <w:t>Perumusan strategi, tata kelola, dan prioritas kerja</w:t>
            </w:r>
          </w:p>
        </w:tc>
        <w:tc>
          <w:tcPr>
            <w:tcW w:type="dxa" w:w="2340"/>
          </w:tcPr>
          <w:p>
            <w:r>
              <w:rPr>
                <w:b w:val="0"/>
                <w:i w:val="0"/>
              </w:rPr>
              <w:t>relevan untuk proyek diagnostic dengan layanan konsultan</w:t>
            </w:r>
          </w:p>
        </w:tc>
        <w:tc>
          <w:tcPr>
            <w:tcW w:type="dxa" w:w="2340"/>
          </w:tcPr>
          <w:p>
            <w:r>
              <w:rPr>
                <w:b w:val="0"/>
                <w:i w:val="0"/>
              </w:rPr>
              <w:t>Kapabilitas layanan menyesuaikan kebutuhan proyek klien</w:t>
            </w:r>
          </w:p>
        </w:tc>
        <w:tc>
          <w:tcPr>
            <w:tcW w:type="dxa" w:w="2340"/>
          </w:tcPr>
          <w:p>
            <w:r>
              <w:rPr>
                <w:b w:val="0"/>
                <w:i w:val="0"/>
              </w:rPr>
              <w:t>membantu klien mendapat arah kerja yang lebih tajam dan dapat diputuskan lebih cepat</w:t>
            </w:r>
          </w:p>
        </w:tc>
      </w:tr>
      <w:tr>
        <w:tc>
          <w:tcPr>
            <w:tcW w:type="dxa" w:w="2340"/>
          </w:tcPr>
          <w:p>
            <w:r>
              <w:rPr>
                <w:b w:val="0"/>
                <w:i w:val="0"/>
              </w:rPr>
              <w:t>Pengawalan delivery dan quality gate</w:t>
            </w:r>
          </w:p>
        </w:tc>
        <w:tc>
          <w:tcPr>
            <w:tcW w:type="dxa" w:w="2340"/>
          </w:tcPr>
          <w:p>
            <w:r>
              <w:rPr>
                <w:b w:val="0"/>
                <w:i w:val="0"/>
              </w:rPr>
              <w:t>relevan ketika program memerlukan pengendalian milestone, deliverable, dan mekanisme review yang disiplin</w:t>
            </w:r>
          </w:p>
        </w:tc>
        <w:tc>
          <w:tcPr>
            <w:tcW w:type="dxa" w:w="2340"/>
          </w:tcPr>
          <w:p>
            <w:r>
              <w:rPr>
                <w:b w:val="0"/>
                <w:i w:val="0"/>
              </w:rPr>
              <w:t>Kapabilitas layanan menyesuaikan kebutuhan proyek klien, 1. Data Gathering 2. As-Is Analysis 3. Gap Analysis 4. Diagnostic Report, 1x Principal Consultant, 2x Senior BA</w:t>
            </w:r>
          </w:p>
        </w:tc>
        <w:tc>
          <w:tcPr>
            <w:tcW w:type="dxa" w:w="2340"/>
          </w:tcPr>
          <w:p>
            <w:r>
              <w:rPr>
                <w:b w:val="0"/>
                <w:i w:val="0"/>
              </w:rPr>
              <w:t>membantu sponsor menjaga kualitas hasil dan mengurangi deviasi di lapangan</w:t>
            </w:r>
          </w:p>
        </w:tc>
      </w:tr>
      <w:tr>
        <w:tc>
          <w:tcPr>
            <w:tcW w:type="dxa" w:w="2340"/>
          </w:tcPr>
          <w:p>
            <w:r>
              <w:rPr>
                <w:b w:val="0"/>
                <w:i w:val="0"/>
              </w:rPr>
              <w:t>Pendampingan stakeholder dan penyiapan hasil kerja</w:t>
            </w:r>
          </w:p>
        </w:tc>
        <w:tc>
          <w:tcPr>
            <w:tcW w:type="dxa" w:w="2340"/>
          </w:tcPr>
          <w:p>
            <w:r>
              <w:rPr>
                <w:b w:val="0"/>
                <w:i w:val="0"/>
              </w:rPr>
              <w:t>relevan untuk inisiatif yang menuntut sinkronisasi bisnis, operasi, dan tata kelola</w:t>
            </w:r>
          </w:p>
        </w:tc>
        <w:tc>
          <w:tcPr>
            <w:tcW w:type="dxa" w:w="2340"/>
          </w:tcPr>
          <w:p>
            <w:r>
              <w:rPr>
                <w:b w:val="0"/>
                <w:i w:val="0"/>
              </w:rPr>
              <w:t>pengalaman menyusun bahan keputusan, workshop kerja, dan dokumen tindak lanjut</w:t>
            </w:r>
          </w:p>
        </w:tc>
        <w:tc>
          <w:tcPr>
            <w:tcW w:type="dxa" w:w="2340"/>
          </w:tcPr>
          <w:p>
            <w:r>
              <w:rPr>
                <w:b w:val="0"/>
                <w:i w:val="0"/>
              </w:rPr>
              <w:t>membantu hasil proposal lebih mudah ditindaklanjuti oleh tim klien</w:t>
            </w:r>
          </w:p>
        </w:tc>
      </w:tr>
    </w:tbl>
    <w:p>
      <w:r>
        <w:rPr>
          <w:b w:val="0"/>
          <w:i w:val="0"/>
        </w:rPr>
        <w:t>Dengan penyajian seperti ini, Aneka Tambang (ANTAM)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Number"/>
        <w:spacing w:before="0" w:after="80"/>
        <w:numPr>
          <w:ilvl w:val="0"/>
          <w:numId w:val="37"/>
        </w:numPr>
      </w:pPr>
      <w:r>
        <w:rPr>
          <w:b w:val="0"/>
          <w:i w:val="0"/>
        </w:rPr>
        <w:t>Prioritas implementasi untuk Aneka Tambang (ANTAM) diarahkan agar tetap selaras dengan KPI outcome bisnis utama Aneka Tambang (ANTAM) bergerak positif dalam 6 bulan. | Kualitas operasi (incident, SLA, lead time) membaik dalam 6 bulan..</w:t>
      </w:r>
    </w:p>
    <w:p>
      <w:pPr>
        <w:pStyle w:val="ListNumber"/>
        <w:spacing w:before="0" w:after="80"/>
        <w:numPr>
          <w:ilvl w:val="0"/>
          <w:numId w:val="37"/>
        </w:numPr>
      </w:pPr>
      <w:r>
        <w:rPr>
          <w:b w:val="0"/>
          <w:i w:val="0"/>
        </w:rPr>
        <w:t>Keputusan delivery dan quality gate pada bab ini harus konsisten dengan istilah kerja accountability, SPBE. - Konteks Aneka Tambang (ANTAM) tetap menjadi acuan utama agar isi bab tidak bergeser menjadi generik. - Setiap butir pada bab ini harus bisa ditelusuri ke KPI, risiko, atau keputusan kerja yang nyata.</w:t>
      </w:r>
    </w:p>
    <w:p>
      <w:r>
        <w:br w:type="page"/>
      </w:r>
    </w:p>
    <w:p>
      <w:pPr>
        <w:pStyle w:val="Heading1"/>
        <w:jc w:val="center"/>
      </w:pPr>
      <w:r>
        <w:rPr>
          <w:color w:val="003366"/>
        </w:rPr>
        <w:t>BAB XI – STRUKTUR &amp; TENAGA AHLI PROYEK</w:t>
      </w:r>
    </w:p>
    <w:p>
      <w:r>
        <w:rPr>
          <w:b w:val="0"/>
          <w:i w:val="0"/>
        </w:rPr>
        <w:t>Struktur tim proyek untuk Aneka Tambang (ANTAM) dibentuk agar pengambilan keputusan, pengawasan mutu, dan eksekusi lapangan bergerak seirama. Komposisi tim tidak diperlakukan sebagai daftar jabatan semata, tetapi sebagai mekanisme untuk menjaga kualitas output terhadap target KPI outcome bisnis utama Aneka Tambang (ANTAM) bergerak positif dalam 6 bulan.</w:t>
      </w:r>
    </w:p>
    <w:p>
      <w:pPr>
        <w:pStyle w:val="Heading2"/>
      </w:pPr>
      <w:r>
        <w:rPr>
          <w:rFonts w:ascii="Arial" w:hAnsi="Arial"/>
          <w:b/>
          <w:color w:val="003366"/>
        </w:rPr>
        <w:t>11.1 Struktur Tim Proyek</w:t>
      </w:r>
    </w:p>
    <w:p>
      <w:pPr>
        <w:pStyle w:val="ListNumber"/>
        <w:spacing w:before="0" w:after="80"/>
        <w:numPr>
          <w:ilvl w:val="0"/>
          <w:numId w:val="38"/>
        </w:numPr>
      </w:pPr>
      <w:r>
        <w:rPr>
          <w:b/>
          <w:i w:val="0"/>
        </w:rPr>
        <w:t>Engagement Lead / Project Director</w:t>
      </w:r>
      <w:r>
        <w:rPr>
          <w:b w:val="0"/>
          <w:i w:val="0"/>
        </w:rPr>
        <w:t xml:space="preserve"> menjaga arah kemitraan dan keputusan strategis sponsor.</w:t>
      </w:r>
    </w:p>
    <w:p>
      <w:pPr>
        <w:pStyle w:val="ListNumber"/>
        <w:spacing w:before="0" w:after="80"/>
        <w:numPr>
          <w:ilvl w:val="0"/>
          <w:numId w:val="38"/>
        </w:numPr>
      </w:pPr>
      <w:r>
        <w:rPr>
          <w:b/>
          <w:i w:val="0"/>
        </w:rPr>
        <w:t>Project Manager / PMO Lead</w:t>
      </w:r>
      <w:r>
        <w:rPr>
          <w:b w:val="0"/>
          <w:i w:val="0"/>
        </w:rPr>
        <w:t xml:space="preserve"> mengendalikan ritme kerja, milestone, dan quality gate.</w:t>
      </w:r>
    </w:p>
    <w:p>
      <w:pPr>
        <w:pStyle w:val="ListNumber"/>
        <w:spacing w:before="0" w:after="80"/>
        <w:numPr>
          <w:ilvl w:val="0"/>
          <w:numId w:val="38"/>
        </w:numPr>
      </w:pPr>
      <w:r>
        <w:rPr>
          <w:b/>
          <w:i w:val="0"/>
        </w:rPr>
        <w:t>Lead Fungsional / Solusi</w:t>
      </w:r>
      <w:r>
        <w:rPr>
          <w:b w:val="0"/>
          <w:i w:val="0"/>
        </w:rPr>
        <w:t xml:space="preserve"> menjaga kualitas desain solusi dan relevansi output kerja.</w:t>
      </w:r>
    </w:p>
    <w:p>
      <w:pPr>
        <w:pStyle w:val="ListNumber"/>
        <w:spacing w:before="0" w:after="80"/>
        <w:numPr>
          <w:ilvl w:val="0"/>
          <w:numId w:val="38"/>
        </w:numPr>
      </w:pPr>
      <w:r>
        <w:rPr>
          <w:b/>
          <w:i w:val="0"/>
        </w:rPr>
        <w:t>Reviewer Governance / Quality</w:t>
      </w:r>
      <w:r>
        <w:rPr>
          <w:b w:val="0"/>
          <w:i w:val="0"/>
        </w:rPr>
        <w:t xml:space="preserve"> memastikan disiplin review, sign-off, dan kontrol risiko.</w:t>
      </w:r>
    </w:p>
    <w:p>
      <w:pPr>
        <w:pStyle w:val="Heading2"/>
      </w:pPr>
      <w:r>
        <w:rPr>
          <w:rFonts w:ascii="Arial" w:hAnsi="Arial"/>
          <w:b/>
          <w:color w:val="003366"/>
        </w:rPr>
        <w:t>11.2 Tabel Tenaga Ahli dan Kualifikasi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Peran Tenaga Ahli</w:t>
            </w:r>
          </w:p>
        </w:tc>
        <w:tc>
          <w:tcPr>
            <w:tcW w:type="dxa" w:w="2340"/>
          </w:tcPr>
          <w:p>
            <w:r>
              <w:rPr>
                <w:b w:val="0"/>
                <w:i w:val="0"/>
              </w:rPr>
              <w:t>Fokus accountability</w:t>
            </w:r>
          </w:p>
        </w:tc>
        <w:tc>
          <w:tcPr>
            <w:tcW w:type="dxa" w:w="2340"/>
          </w:tcPr>
          <w:p>
            <w:r>
              <w:rPr>
                <w:b w:val="0"/>
                <w:i w:val="0"/>
              </w:rPr>
              <w:t>Kompetensi / Pengalaman Kunci</w:t>
            </w:r>
          </w:p>
        </w:tc>
        <w:tc>
          <w:tcPr>
            <w:tcW w:type="dxa" w:w="2340"/>
          </w:tcPr>
          <w:p>
            <w:r>
              <w:rPr>
                <w:b w:val="0"/>
                <w:i w:val="0"/>
              </w:rPr>
              <w:t>Keterlibatan</w:t>
            </w:r>
          </w:p>
        </w:tc>
      </w:tr>
      <w:tr>
        <w:tc>
          <w:tcPr>
            <w:tcW w:type="dxa" w:w="2340"/>
          </w:tcPr>
          <w:p>
            <w:r>
              <w:rPr>
                <w:b w:val="0"/>
                <w:i w:val="0"/>
              </w:rPr>
              <w:t>Engagement Lead / Project Director</w:t>
            </w:r>
          </w:p>
        </w:tc>
        <w:tc>
          <w:tcPr>
            <w:tcW w:type="dxa" w:w="2340"/>
          </w:tcPr>
          <w:p>
            <w:r>
              <w:rPr>
                <w:b w:val="0"/>
                <w:i w:val="0"/>
              </w:rPr>
              <w:t>menjaga arah kemitraan, kualitas proposal, dan keputusan strategis sponsor</w:t>
            </w:r>
          </w:p>
        </w:tc>
        <w:tc>
          <w:tcPr>
            <w:tcW w:type="dxa" w:w="2340"/>
          </w:tcPr>
          <w:p>
            <w:r>
              <w:rPr>
                <w:b w:val="0"/>
                <w:i w:val="0"/>
              </w:rPr>
              <w:t>kepemimpinan delivery, komunikasi eksekutif, dan pengendalian isu kritis</w:t>
            </w:r>
          </w:p>
        </w:tc>
        <w:tc>
          <w:tcPr>
            <w:tcW w:type="dxa" w:w="2340"/>
          </w:tcPr>
          <w:p>
            <w:r>
              <w:rPr>
                <w:b w:val="0"/>
                <w:i w:val="0"/>
              </w:rPr>
              <w:t>tetap pada fase kickoff, milestone utama, dan review keputusan</w:t>
            </w:r>
          </w:p>
        </w:tc>
      </w:tr>
      <w:tr>
        <w:tc>
          <w:tcPr>
            <w:tcW w:type="dxa" w:w="2340"/>
          </w:tcPr>
          <w:p>
            <w:r>
              <w:rPr>
                <w:b w:val="0"/>
                <w:i w:val="0"/>
              </w:rPr>
              <w:t>Project Manager / PMO Lead</w:t>
            </w:r>
          </w:p>
        </w:tc>
        <w:tc>
          <w:tcPr>
            <w:tcW w:type="dxa" w:w="2340"/>
          </w:tcPr>
          <w:p>
            <w:r>
              <w:rPr>
                <w:b w:val="0"/>
                <w:i w:val="0"/>
              </w:rPr>
              <w:t>mengendalikan timeline, dependency, action log, dan quality gate proyek</w:t>
            </w:r>
          </w:p>
        </w:tc>
        <w:tc>
          <w:tcPr>
            <w:tcW w:type="dxa" w:w="2340"/>
          </w:tcPr>
          <w:p>
            <w:r>
              <w:rPr>
                <w:b w:val="0"/>
                <w:i w:val="0"/>
              </w:rPr>
              <w:t>manajemen proyek, governance, dan koordinasi lintas workstream</w:t>
            </w:r>
          </w:p>
        </w:tc>
        <w:tc>
          <w:tcPr>
            <w:tcW w:type="dxa" w:w="2340"/>
          </w:tcPr>
          <w:p>
            <w:r>
              <w:rPr>
                <w:b w:val="0"/>
                <w:i w:val="0"/>
              </w:rPr>
              <w:t>aktif sepanjang siklus delivery</w:t>
            </w:r>
          </w:p>
        </w:tc>
      </w:tr>
      <w:tr>
        <w:tc>
          <w:tcPr>
            <w:tcW w:type="dxa" w:w="2340"/>
          </w:tcPr>
          <w:p>
            <w:r>
              <w:rPr>
                <w:b w:val="0"/>
                <w:i w:val="0"/>
              </w:rPr>
              <w:t>Solution / Domain Lead</w:t>
            </w:r>
          </w:p>
        </w:tc>
        <w:tc>
          <w:tcPr>
            <w:tcW w:type="dxa" w:w="2340"/>
          </w:tcPr>
          <w:p>
            <w:r>
              <w:rPr>
                <w:b w:val="0"/>
                <w:i w:val="0"/>
              </w:rPr>
              <w:t>menerjemahkan kebutuhan diagnostic ke rancangan kerja dan deliverable utama</w:t>
            </w:r>
          </w:p>
        </w:tc>
        <w:tc>
          <w:tcPr>
            <w:tcW w:type="dxa" w:w="2340"/>
          </w:tcPr>
          <w:p>
            <w:r>
              <w:rPr>
                <w:b w:val="0"/>
                <w:i w:val="0"/>
              </w:rPr>
              <w:t>analisis kebutuhan, desain solusi, dan penguatan target state</w:t>
            </w:r>
          </w:p>
        </w:tc>
        <w:tc>
          <w:tcPr>
            <w:tcW w:type="dxa" w:w="2340"/>
          </w:tcPr>
          <w:p>
            <w:r>
              <w:rPr>
                <w:b w:val="0"/>
                <w:i w:val="0"/>
              </w:rPr>
              <w:t>intens pada fase analisis, desain, dan review hasil</w:t>
            </w:r>
          </w:p>
        </w:tc>
      </w:tr>
      <w:tr>
        <w:tc>
          <w:tcPr>
            <w:tcW w:type="dxa" w:w="2340"/>
          </w:tcPr>
          <w:p>
            <w:r>
              <w:rPr>
                <w:b w:val="0"/>
                <w:i w:val="0"/>
              </w:rPr>
              <w:t>Quality &amp; Governance Reviewer</w:t>
            </w:r>
          </w:p>
        </w:tc>
        <w:tc>
          <w:tcPr>
            <w:tcW w:type="dxa" w:w="2340"/>
          </w:tcPr>
          <w:p>
            <w:r>
              <w:rPr>
                <w:b w:val="0"/>
                <w:i w:val="0"/>
              </w:rPr>
              <w:t>memastikan hasil kerja, dokumentasi, dan kontrol proyek sesuai standar</w:t>
            </w:r>
          </w:p>
        </w:tc>
        <w:tc>
          <w:tcPr>
            <w:tcW w:type="dxa" w:w="2340"/>
          </w:tcPr>
          <w:p>
            <w:r>
              <w:rPr>
                <w:b w:val="0"/>
                <w:i w:val="0"/>
              </w:rPr>
              <w:t>governance, review mutu, dan pemahaman framework/regulasi TOGAF, ITIL, COBIT, ISO 27001</w:t>
            </w:r>
          </w:p>
        </w:tc>
        <w:tc>
          <w:tcPr>
            <w:tcW w:type="dxa" w:w="2340"/>
          </w:tcPr>
          <w:p>
            <w:r>
              <w:rPr>
                <w:b w:val="0"/>
                <w:i w:val="0"/>
              </w:rPr>
              <w:t>aktif pada quality gate dan sign-off deliverable utama</w:t>
            </w:r>
          </w:p>
        </w:tc>
      </w:tr>
      <w:tr>
        <w:tc>
          <w:tcPr>
            <w:tcW w:type="dxa" w:w="2340"/>
          </w:tcPr>
          <w:p>
            <w:r>
              <w:rPr>
                <w:b w:val="0"/>
                <w:i w:val="0"/>
              </w:rPr>
              <w:t>Spesialis Workstream</w:t>
            </w:r>
          </w:p>
        </w:tc>
        <w:tc>
          <w:tcPr>
            <w:tcW w:type="dxa" w:w="2340"/>
          </w:tcPr>
          <w:p>
            <w:r>
              <w:rPr>
                <w:b w:val="0"/>
                <w:i w:val="0"/>
              </w:rPr>
              <w:t>menjalankan area prioritas dengan baseline komposisi 1x Principal Consultant, 2x Senior BA</w:t>
            </w:r>
          </w:p>
        </w:tc>
        <w:tc>
          <w:tcPr>
            <w:tcW w:type="dxa" w:w="2340"/>
          </w:tcPr>
          <w:p>
            <w:r>
              <w:rPr>
                <w:b w:val="0"/>
                <w:i w:val="0"/>
              </w:rPr>
              <w:t>pelaksanaan aktivitas teknis/fungsional dan penyusunan keluaran detail</w:t>
            </w:r>
          </w:p>
        </w:tc>
        <w:tc>
          <w:tcPr>
            <w:tcW w:type="dxa" w:w="2340"/>
          </w:tcPr>
          <w:p>
            <w:r>
              <w:rPr>
                <w:b w:val="0"/>
                <w:i w:val="0"/>
              </w:rPr>
              <w:t>menyesuaikan kebutuhan fase dan area kerja</w:t>
            </w:r>
          </w:p>
        </w:tc>
      </w:tr>
    </w:tbl>
    <w:p>
      <w:r>
        <w:rPr>
          <w:b w:val="0"/>
          <w:i w:val="0"/>
        </w:rPr>
        <w:t>Dengan tabel ini, Aneka Tambang (ANTAM) memperoleh gambaran yang lebih konkret mengenai siapa yang menjaga keputusan, siapa yang mengawal delivery, dan siapa yang mengamankan mutu hasil kerja. Pendekatan ini membuat bab tenaga ahli lebih mudah diaudit dan lebih meyakinkan bagi sponsor proyek. - Konteks Aneka Tambang (ANTAM) tetap menjadi acuan utama agar isi bab tidak bergeser menjadi generik. - Setiap butir pada bab ini harus bisa ditelusuri ke KPI, risiko, atau keputusan kerja yang nyata. - Istilah kerja yang tetap dijaga pada bab ini mencakup akuntabilitas, SPBE, tata kelola.</w:t>
      </w:r>
    </w:p>
    <w:p>
      <w:r>
        <w:br w:type="page"/>
      </w:r>
    </w:p>
    <w:p>
      <w:pPr>
        <w:pStyle w:val="Heading1"/>
        <w:jc w:val="center"/>
      </w:pPr>
      <w:r>
        <w:rPr>
          <w:color w:val="003366"/>
        </w:rPr>
        <w:t>BAB XII – MODEL PEMBIAYAAN</w:t>
      </w:r>
    </w:p>
    <w:p>
      <w:r>
        <w:rPr>
          <w:b w:val="0"/>
          <w:i w:val="0"/>
        </w:rPr>
        <w:t>Model pembiayaan untuk Aneka Tambang (ANTAM) disusun agar komitmen biaya, mekanisme pembayaran, dan batas ruang lingkup tetap jelas sejak awal. Tujuannya adalah menjaga proyek gelombang uji beban 8: penguatan delivery governance, percepatan cross‑unit decision, dan penyusunan roadmap execution yang lebih...</w:t>
      </w:r>
    </w:p>
    <w:p>
      <w:pPr>
        <w:pStyle w:val="Heading2"/>
      </w:pPr>
      <w:r>
        <w:rPr>
          <w:rFonts w:ascii="Arial" w:hAnsi="Arial"/>
          <w:b/>
          <w:color w:val="003366"/>
        </w:rPr>
        <w:t>12.1 Biaya dan Tahapan Pembayaran</w:t>
      </w:r>
    </w:p>
    <w:p>
      <w:r>
        <w:rPr>
          <w:b w:val="0"/>
          <w:i w:val="0"/>
        </w:rPr>
        <w:t>Estimasi investasi awal untuk engagement ini adalah</w:t>
      </w:r>
      <w:r>
        <w:rPr>
          <w:b/>
          <w:i w:val="0"/>
        </w:rPr>
        <w:t xml:space="preserve"> Rp 500.000.000</w:t>
      </w:r>
      <w:r>
        <w:rPr>
          <w:b w:val="0"/>
          <w:i w:val="0"/>
        </w:rPr>
        <w:t>, dengan tipe layanan</w:t>
      </w:r>
      <w:r>
        <w:rPr>
          <w:b/>
          <w:i w:val="0"/>
        </w:rPr>
        <w:t xml:space="preserve"> Konsultan</w:t>
      </w:r>
      <w:r>
        <w:rPr>
          <w:b w:val="0"/>
          <w:i w:val="0"/>
        </w:rPr>
        <w:t xml:space="preserve"> pada model proyek</w:t>
      </w:r>
      <w:r>
        <w:rPr>
          <w:b/>
          <w:i w:val="0"/>
        </w:rPr>
        <w:t xml:space="preserve"> Diagnostic</w:t>
      </w:r>
      <w:r>
        <w:rPr>
          <w:b w:val="0"/>
          <w:i w:val="0"/>
        </w:rPr>
        <w:t xml:space="preserve"> selama</w:t>
      </w:r>
      <w:r>
        <w:rPr>
          <w:b/>
          <w:i w:val="0"/>
        </w:rPr>
        <w:t xml:space="preserve"> 6 Bulan</w:t>
      </w:r>
      <w:r>
        <w:rPr>
          <w:b w:val="0"/>
          <w:i w:val="0"/>
        </w:rPr>
        <w:t>. Baseline komersial internal yang menjadi acuan adalah Fixed-fee.</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Komponen</w:t>
            </w:r>
          </w:p>
        </w:tc>
        <w:tc>
          <w:tcPr>
            <w:tcW w:type="dxa" w:w="4680"/>
          </w:tcPr>
          <w:p>
            <w:r>
              <w:rPr>
                <w:b w:val="0"/>
                <w:i w:val="0"/>
              </w:rPr>
              <w:t>Rancangan Komersial</w:t>
            </w:r>
          </w:p>
        </w:tc>
      </w:tr>
      <w:tr>
        <w:tc>
          <w:tcPr>
            <w:tcW w:type="dxa" w:w="4680"/>
          </w:tcPr>
          <w:p>
            <w:r>
              <w:rPr>
                <w:b w:val="0"/>
                <w:i w:val="0"/>
              </w:rPr>
              <w:t>Estimasi investasi</w:t>
            </w:r>
          </w:p>
        </w:tc>
        <w:tc>
          <w:tcPr>
            <w:tcW w:type="dxa" w:w="4680"/>
          </w:tcPr>
          <w:p>
            <w:r>
              <w:rPr>
                <w:b w:val="0"/>
                <w:i w:val="0"/>
              </w:rPr>
              <w:t>Rp 500.000.000</w:t>
            </w:r>
          </w:p>
        </w:tc>
      </w:tr>
      <w:tr>
        <w:tc>
          <w:tcPr>
            <w:tcW w:type="dxa" w:w="4680"/>
          </w:tcPr>
          <w:p>
            <w:r>
              <w:rPr>
                <w:b w:val="0"/>
                <w:i w:val="0"/>
              </w:rPr>
              <w:t>Model engagement</w:t>
            </w:r>
          </w:p>
        </w:tc>
        <w:tc>
          <w:tcPr>
            <w:tcW w:type="dxa" w:w="4680"/>
          </w:tcPr>
          <w:p>
            <w:r>
              <w:rPr>
                <w:b w:val="0"/>
                <w:i w:val="0"/>
              </w:rPr>
              <w:t>Konsultan - Diagnostic</w:t>
            </w:r>
          </w:p>
        </w:tc>
      </w:tr>
      <w:tr>
        <w:tc>
          <w:tcPr>
            <w:tcW w:type="dxa" w:w="4680"/>
          </w:tcPr>
          <w:p>
            <w:r>
              <w:rPr>
                <w:b w:val="0"/>
                <w:i w:val="0"/>
              </w:rPr>
              <w:t>Durasi acuan</w:t>
            </w:r>
          </w:p>
        </w:tc>
        <w:tc>
          <w:tcPr>
            <w:tcW w:type="dxa" w:w="4680"/>
          </w:tcPr>
          <w:p>
            <w:r>
              <w:rPr>
                <w:b w:val="0"/>
                <w:i w:val="0"/>
              </w:rPr>
              <w:t>6 Bulan</w:t>
            </w:r>
          </w:p>
        </w:tc>
      </w:tr>
      <w:tr>
        <w:tc>
          <w:tcPr>
            <w:tcW w:type="dxa" w:w="4680"/>
          </w:tcPr>
          <w:p>
            <w:r>
              <w:rPr>
                <w:b w:val="0"/>
                <w:i w:val="0"/>
              </w:rPr>
              <w:t>Basis commercial</w:t>
            </w:r>
          </w:p>
        </w:tc>
        <w:tc>
          <w:tcPr>
            <w:tcW w:type="dxa" w:w="4680"/>
          </w:tcPr>
          <w:p>
            <w:r>
              <w:rPr>
                <w:b w:val="0"/>
                <w:i w:val="0"/>
              </w:rPr>
              <w:t>Fixed-fee. 50% Upfront, 50% on Report delivery.</w:t>
            </w:r>
          </w:p>
        </w:tc>
      </w:tr>
      <w:tr>
        <w:tc>
          <w:tcPr>
            <w:tcW w:type="dxa" w:w="4680"/>
          </w:tcPr>
          <w:p>
            <w:r>
              <w:rPr>
                <w:b w:val="0"/>
                <w:i w:val="0"/>
              </w:rPr>
              <w:t>Mekanisme review</w:t>
            </w:r>
          </w:p>
        </w:tc>
        <w:tc>
          <w:tcPr>
            <w:tcW w:type="dxa" w:w="4680"/>
          </w:tcPr>
          <w:p>
            <w:r>
              <w:rPr>
                <w:b w:val="0"/>
                <w:i w:val="0"/>
              </w:rPr>
              <w:t>Review milestone, acceptance deliverable, dan approval perubahan scope</w:t>
            </w:r>
          </w:p>
        </w:tc>
      </w:tr>
    </w:tbl>
    <w:p>
      <w:pPr>
        <w:pStyle w:val="ListNumber"/>
        <w:spacing w:before="0" w:after="80"/>
        <w:numPr>
          <w:ilvl w:val="0"/>
          <w:numId w:val="39"/>
        </w:numPr>
      </w:pPr>
      <w:r>
        <w:rPr>
          <w:b/>
          <w:i w:val="0"/>
        </w:rPr>
        <w:t>Kickoff &amp; data request</w:t>
      </w:r>
      <w:r>
        <w:rPr>
          <w:b w:val="0"/>
          <w:i w:val="0"/>
        </w:rPr>
        <w:t xml:space="preserve"> sebesar 35% dari estimasi investasi, ditagihkan setelah milestone terkait diterima.</w:t>
      </w:r>
    </w:p>
    <w:p>
      <w:pPr>
        <w:pStyle w:val="ListNumber"/>
        <w:spacing w:before="0" w:after="80"/>
        <w:numPr>
          <w:ilvl w:val="0"/>
          <w:numId w:val="39"/>
        </w:numPr>
      </w:pPr>
      <w:r>
        <w:rPr>
          <w:b/>
          <w:i w:val="0"/>
        </w:rPr>
        <w:t>Temuan awal &amp; validasi</w:t>
      </w:r>
      <w:r>
        <w:rPr>
          <w:b w:val="0"/>
          <w:i w:val="0"/>
        </w:rPr>
        <w:t xml:space="preserve"> sebesar 35% dari estimasi investasi, ditagihkan setelah milestone terkait diterima.</w:t>
      </w:r>
    </w:p>
    <w:p>
      <w:pPr>
        <w:pStyle w:val="ListNumber"/>
        <w:spacing w:before="0" w:after="80"/>
        <w:numPr>
          <w:ilvl w:val="0"/>
          <w:numId w:val="39"/>
        </w:numPr>
      </w:pPr>
      <w:r>
        <w:rPr>
          <w:b/>
          <w:i w:val="0"/>
        </w:rPr>
        <w:t>Laporan akhir &amp; penutupan</w:t>
      </w:r>
      <w:r>
        <w:rPr>
          <w:b w:val="0"/>
          <w:i w:val="0"/>
        </w:rPr>
        <w:t xml:space="preserve"> sebesar 30% dari estimasi investasi, ditagihkan setelah milestone terkait diterima.</w:t>
      </w:r>
    </w:p>
    <w:p>
      <w:pPr>
        <w:pStyle w:val="Heading2"/>
      </w:pPr>
      <w:r>
        <w:rPr>
          <w:rFonts w:ascii="Arial" w:hAnsi="Arial"/>
          <w:b/>
          <w:color w:val="003366"/>
        </w:rPr>
        <w:t>12.2 Model Pekerjaan dan Batasan Pekerjaan</w:t>
      </w:r>
    </w:p>
    <w:p>
      <w:r>
        <w:rPr>
          <w:b w:val="0"/>
          <w:i w:val="0"/>
        </w:rPr>
        <w:t>Model kerja dirancang agar ruang lingkup delivery tetap fokus pada kebutuhan problem dan KPI seperti KPI outcome bisnis utama Aneka Tambang (ANTAM) bergerak positif dalam 6 bulan. | Kualitas operasi (incident, SLA, lead time) membaik dalam 6 bulan. Untuk Aneka Tambang (ANTAM),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w:t>
      </w:r>
    </w:p>
    <w:p>
      <w:r>
        <w:rPr>
          <w:b w:val="0"/>
          <w:i w:val="0"/>
        </w:rPr>
        <w:t>Bab pembiayaan tidak boleh berhenti sebagai angka dan termin pembayaran saja. Untuk Aneka Tambang (ANTAM), bagian ini perlu menunjukkan bahwa struktur biaya, tahapan pembayaran, dan batas pekerjaan disusun agar manfaat bisnis seperti KPI outcome bisnis utama Aneka Tambang (ANTAM) bergerak positif dalam 6 bulan. - Konteks Aneka Tambang (ANTAM) tetap menjadi acuan utama agar isi bab tidak bergeser menjadi generik. - Setiap butir pada bab ini harus bisa ditelusuri ke KPI, risiko, atau keputusan kerja yang nyata.</w:t>
      </w:r>
    </w:p>
    <w:p>
      <w:r>
        <w:br w:type="page"/>
      </w:r>
    </w:p>
    <w:p>
      <w:pPr>
        <w:pStyle w:val="Heading1"/>
        <w:jc w:val="center"/>
      </w:pPr>
      <w:r>
        <w:rPr>
          <w:color w:val="003366"/>
        </w:rPr>
        <w:t>PENUTUP &amp; APRESIASI KEMITRAAN</w:t>
      </w:r>
    </w:p>
    <w:p>
      <w:r>
        <w:rPr>
          <w:b w:val="0"/>
          <w:i w:val="0"/>
        </w:rPr>
        <w:t>Terima kasih atas kesempatan yang diberikan kepada Inixindo Jogja untuk menyusun proposal bagi Aneka Tambang (ANTAM). Kami memandang inisiatif gelombang uji beban 8: penguatan delivery governance, percepatan cross‑unit decision, dan penyusunan roadmap execution yang lebih...</w:t>
      </w:r>
    </w:p>
    <w:p>
      <w:pPr>
        <w:pStyle w:val="Heading2"/>
      </w:pPr>
      <w:r>
        <w:rPr>
          <w:rFonts w:ascii="Arial" w:hAnsi="Arial"/>
          <w:b/>
          <w:color w:val="003366"/>
        </w:rPr>
        <w:t>Apresiasi dan Komitmen Kemitraan</w:t>
      </w:r>
    </w:p>
    <w:p>
      <w:pPr>
        <w:pStyle w:val="ListNumber"/>
        <w:spacing w:before="0" w:after="80"/>
        <w:numPr>
          <w:ilvl w:val="0"/>
          <w:numId w:val="40"/>
        </w:numPr>
      </w:pPr>
      <w:r>
        <w:rPr>
          <w:b w:val="0"/>
          <w:i w:val="0"/>
        </w:rPr>
        <w:t>Kami mengapresiasi keterbukaan Aneka Tambang (ANTAM) dalam mengangkat konteks, tantangan, dan target bisnis yang menjadi dasar proposal ini.</w:t>
      </w:r>
    </w:p>
    <w:p>
      <w:pPr>
        <w:pStyle w:val="ListNumber"/>
        <w:spacing w:before="0" w:after="80"/>
        <w:numPr>
          <w:ilvl w:val="0"/>
          <w:numId w:val="40"/>
        </w:numPr>
      </w:pPr>
      <w:r>
        <w:rPr>
          <w:b w:val="0"/>
          <w:i w:val="0"/>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40"/>
        </w:numPr>
      </w:pPr>
      <w:r>
        <w:rPr>
          <w:b w:val="0"/>
          <w:i w:val="0"/>
        </w:rPr>
        <w:t>Fokus awal kemitraan diarahkan pada prioritas seperti KPI outcome bisnis utama Aneka Tambang (ANTAM) bergerak positif dalam 6 bulan. | Kualitas operasi (incident, SLA, lead time) membaik dalam 6 bulan. | Efektivitas eksekusi proyek (on-time, on-budget, on-scope) tercapai dalam 6 bulan., dengan tata kelola dan ritme eksekusi yang stabil sejak kickoff.</w:t>
      </w:r>
    </w:p>
    <w:p>
      <w:pPr>
        <w:pStyle w:val="Heading2"/>
      </w:pPr>
      <w:r>
        <w:rPr>
          <w:rFonts w:ascii="Arial" w:hAnsi="Arial"/>
          <w:b/>
          <w:color w:val="003366"/>
        </w:rPr>
        <w:t>Informasi Kontak dan Langkah Lanjutan</w:t>
      </w:r>
    </w:p>
    <w:p>
      <w:r>
        <w:rPr>
          <w:b w:val="0"/>
          <w:i w:val="0"/>
        </w:rPr>
        <w:t>Untuk melanjutkan pembahasan, Inixindo Jogja siap menindaklanjuti review proposal, penajaman ruang lingkup, dan penyesuaian komersial yang diperlukan. - Konteks Aneka Tambang (ANTAM) tetap menjadi acuan utama agar isi bab tidak bergeser menjadi generik. - Setiap butir pada bab ini harus bisa ditelusuri ke KPI, risiko, atau keputusan kerja yang nyata.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7"/>
  </w:num>
  <w:num w:numId="13">
    <w:abstractNumId w:val="8"/>
  </w:num>
  <w:num w:numId="14">
    <w:abstractNumId w:val="8"/>
  </w:num>
  <w:num w:numId="15">
    <w:abstractNumId w:val="7"/>
  </w:num>
  <w:num w:numId="16">
    <w:abstractNumId w:val="7"/>
  </w:num>
  <w:num w:numId="17">
    <w:abstractNumId w:val="7"/>
  </w:num>
  <w:num w:numId="18">
    <w:abstractNumId w:val="8"/>
  </w:num>
  <w:num w:numId="19">
    <w:abstractNumId w:val="8"/>
  </w:num>
  <w:num w:numId="20">
    <w:abstractNumId w:val="7"/>
  </w:num>
  <w:num w:numId="21">
    <w:abstractNumId w:val="7"/>
  </w:num>
  <w:num w:numId="22">
    <w:abstractNumId w:val="8"/>
  </w:num>
  <w:num w:numId="23">
    <w:abstractNumId w:val="8"/>
  </w:num>
  <w:num w:numId="24">
    <w:abstractNumId w:val="8"/>
  </w:num>
  <w:num w:numId="25">
    <w:abstractNumId w:val="7"/>
  </w:num>
  <w:num w:numId="26">
    <w:abstractNumId w:val="8"/>
  </w:num>
  <w:num w:numId="27">
    <w:abstractNumId w:val="8"/>
  </w:num>
  <w:num w:numId="28">
    <w:abstractNumId w:val="8"/>
  </w:num>
  <w:num w:numId="29">
    <w:abstractNumId w:val="8"/>
  </w:num>
  <w:num w:numId="30">
    <w:abstractNumId w:val="7"/>
  </w:num>
  <w:num w:numId="31">
    <w:abstractNumId w:val="8"/>
  </w:num>
  <w:num w:numId="32">
    <w:abstractNumId w:val="8"/>
  </w:num>
  <w:num w:numId="33">
    <w:abstractNumId w:val="7"/>
  </w:num>
  <w:num w:numId="34">
    <w:abstractNumId w:val="7"/>
  </w:num>
  <w:num w:numId="35">
    <w:abstractNumId w:val="7"/>
  </w:num>
  <w:num w:numId="36">
    <w:abstractNumId w:val="7"/>
  </w:num>
  <w:num w:numId="37">
    <w:abstractNumId w:val="7"/>
  </w:num>
  <w:num w:numId="38">
    <w:abstractNumId w:val="7"/>
  </w:num>
  <w:num w:numId="39">
    <w:abstractNumId w:val="7"/>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