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drawing>
          <wp:inline xmlns:a="http://schemas.openxmlformats.org/drawingml/2006/main" xmlns:pic="http://schemas.openxmlformats.org/drawingml/2006/picture">
            <wp:extent cx="1645920" cy="164592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645920" cy="1645920"/>
                    </a:xfrm>
                    <a:prstGeom prst="rect"/>
                  </pic:spPr>
                </pic:pic>
              </a:graphicData>
            </a:graphic>
          </wp:inline>
        </w:drawing>
      </w:r>
    </w:p>
    <w:p>
      <w:pPr>
        <w:jc w:val="center"/>
      </w:pPr>
      <w:r>
        <w:rPr>
          <w:b/>
          <w:color w:val="777877"/>
          <w:sz w:val="60"/>
        </w:rPr>
        <w:t>ARSITEKTUR PROPOSAL</w:t>
      </w:r>
    </w:p>
    <w:p>
      <w:pPr>
        <w:jc w:val="center"/>
      </w:pPr>
      <w:r>
        <w:rPr>
          <w:sz w:val="28"/>
        </w:rPr>
        <w:t>Konsultan – Transformation</w:t>
      </w:r>
    </w:p>
    <w:p/>
    <w:p>
      <w:pPr>
        <w:jc w:val="center"/>
      </w:pPr>
      <w:r>
        <w:rPr>
          <w:b/>
          <w:sz w:val="32"/>
        </w:rPr>
        <w:t>Untuk: Angkasa Pura II</w:t>
      </w:r>
    </w:p>
    <w:p>
      <w:pPr>
        <w:jc w:val="center"/>
      </w:pPr>
      <w:r>
        <w:t>Inisiatif: Gelombang uji beban 9: penguatan tata kelola delivery, percepatan keputusan lintas unit, dan penyusunan roadmap eksekusi yang lebih terukur untuk Angkasa Pura II.</w:t>
      </w:r>
    </w:p>
    <w:p>
      <w:pPr>
        <w:jc w:val="center"/>
      </w:pPr>
      <w:r>
        <w:t>Durasi: 7 Bulan | Estimasi Investasi: Rp 500.000.000 | Tanggal: 30 March 2026</w:t>
      </w:r>
    </w:p>
    <w:p>
      <w:pPr>
        <w:jc w:val="center"/>
      </w:pPr>
      <w:r>
        <w:t>Disusun oleh Inixindo Jogja</w:t>
      </w:r>
    </w:p>
    <w:p>
      <w:r>
        <w:br w:type="page"/>
      </w:r>
    </w:p>
    <w:p>
      <w:pPr>
        <w:pStyle w:val="Heading1"/>
        <w:jc w:val="center"/>
      </w:pPr>
      <w:r>
        <w:rPr>
          <w:color w:val="777877"/>
        </w:rPr>
        <w:t>BAB I – KONTEKS KLIEN</w:t>
      </w:r>
    </w:p>
    <w:p>
      <w:pPr>
        <w:pStyle w:val="Heading2"/>
      </w:pPr>
      <w:r>
        <w:rPr>
          <w:rFonts w:ascii="Arial" w:hAnsi="Arial"/>
          <w:b/>
          <w:color w:val="777877"/>
        </w:rPr>
        <w:t>1.1 Latar Belakang Organisasi Klien</w:t>
      </w:r>
    </w:p>
    <w:p>
      <w:r>
        <w:rPr>
          <w:b w:val="0"/>
          <w:i w:val="0"/>
        </w:rPr>
        <w:t>Angkasa Pura II (API) mengelola 13 bandara utama di Indonesia, termasuk Bandara Soekarno‑Hatta yang baru saja menempati peringkat 22 dunia (tangerangonline.id, 2026). Pada 2025, manajemen API menegaskan agenda transformasi kinerja yang harus dipercepat pada 2026, mencakup akuntabilitas keputusan, tata kelola layanan publik, dan integrasi Sistem Pemerintahan Berbasis Elektronik (SPBE) (majalahbandara.com, 2026).</w:t>
      </w:r>
    </w:p>
    <w:p>
      <w:r>
        <w:rPr>
          <w:b w:val="0"/>
          <w:i w:val="0"/>
        </w:rPr>
        <w:t>Kondisi internal yang memicu kebutuhan konsultasi dapat diringkas dalam tiga dimensi kritis:</w:t>
      </w:r>
    </w:p>
    <w:p>
      <w:pPr>
        <w:pStyle w:val="ListNumber"/>
        <w:spacing w:before="0" w:after="80"/>
        <w:numPr>
          <w:ilvl w:val="0"/>
          <w:numId w:val="10"/>
        </w:numPr>
      </w:pPr>
      <w:r>
        <w:rPr>
          <w:b/>
          <w:i w:val="0"/>
        </w:rPr>
        <w:t>Fragmentasi proses delivery</w:t>
      </w:r>
      <w:r>
        <w:rPr>
          <w:b w:val="0"/>
          <w:i w:val="0"/>
        </w:rPr>
        <w:t xml:space="preserve"> – Unit operasional, keamanan, dan imigrasi masih menggunakan alur manual yang menghasilkan audit trail tidak konsisten.</w:t>
      </w:r>
    </w:p>
    <w:p>
      <w:pPr>
        <w:pStyle w:val="ListNumber"/>
        <w:spacing w:before="0" w:after="80"/>
        <w:numPr>
          <w:ilvl w:val="0"/>
          <w:numId w:val="10"/>
        </w:numPr>
      </w:pPr>
      <w:r>
        <w:rPr>
          <w:b/>
          <w:i w:val="0"/>
        </w:rPr>
        <w:t>Kecepatan keputusan lintas unit</w:t>
      </w:r>
      <w:r>
        <w:rPr>
          <w:b w:val="0"/>
          <w:i w:val="0"/>
        </w:rPr>
        <w:t xml:space="preserve"> – Pengambilan keputusan strategis memerlukan persetujuan berlapis, sehingga gelombang uji beban 9 (beban operasional) berisiko terhambat.</w:t>
      </w:r>
    </w:p>
    <w:p>
      <w:pPr>
        <w:pStyle w:val="ListNumber"/>
        <w:spacing w:before="0" w:after="80"/>
        <w:numPr>
          <w:ilvl w:val="0"/>
          <w:numId w:val="10"/>
        </w:numPr>
      </w:pPr>
      <w:r>
        <w:rPr>
          <w:b/>
          <w:i w:val="0"/>
        </w:rPr>
        <w:t>Roadmap eksekusi yang belum terukur</w:t>
      </w:r>
      <w:r>
        <w:rPr>
          <w:b w:val="0"/>
          <w:i w:val="0"/>
        </w:rPr>
        <w:t xml:space="preserve"> – Tidak ada baseline KPI yang terstandardisasi untuk mengukur peningkatan throughput penumpang, meski target peningkatan dari 15 pax/menit ke 30 pax/menit telah didefinisikan (Data Internal, 2026).</w:t>
      </w:r>
    </w:p>
    <w:p>
      <w:r>
        <w:rPr>
          <w:b w:val="0"/>
          <w:i w:val="0"/>
        </w:rPr>
        <w:t>Eksternalnya, regulasi BPK menuntut transparansi dan akuntabilitas dalam pengelolaan dana publik (yogyakarta.bpk.go.id, 2029). Pemerintah Daerah Jawa Timur juga menguji pilot indeks kompetensi digital ASN, menandakan tekanan nasional untuk mempercepat adopsi teknologi digital di sektor transportasi (kominfo.jatimprov.go.id, 2025). Kedua faktor ini menambah urgensi API untuk menyiapkan kerangka kerja yang selaras dengan standar good governance (karimunkab.go.id, 2025).</w:t>
      </w:r>
    </w:p>
    <w:p>
      <w:pPr>
        <w:pStyle w:val="Heading2"/>
      </w:pPr>
      <w:r>
        <w:rPr>
          <w:rFonts w:ascii="Arial" w:hAnsi="Arial"/>
          <w:b/>
          <w:color w:val="777877"/>
        </w:rPr>
        <w:t>1.2 Alasan Permintaan Jasa Konsultasi</w:t>
      </w:r>
    </w:p>
    <w:p>
      <w:r>
        <w:rPr>
          <w:b w:val="0"/>
          <w:i w:val="0"/>
        </w:rPr>
        <w:t>Permintaan konsultasi API berakar pada tiga kebutuhan strategis yang harus diselesaikan dalam horizon 7 bulan:</w:t>
      </w:r>
    </w:p>
    <w:p>
      <w:pPr>
        <w:pStyle w:val="ListNumber"/>
        <w:spacing w:before="0" w:after="80"/>
        <w:numPr>
          <w:ilvl w:val="0"/>
          <w:numId w:val="11"/>
        </w:numPr>
      </w:pPr>
      <w:r>
        <w:rPr>
          <w:b/>
          <w:i w:val="0"/>
        </w:rPr>
        <w:t>Penguatan tata kelola delivery</w:t>
      </w:r>
      <w:r>
        <w:rPr>
          <w:b w:val="0"/>
          <w:i w:val="0"/>
        </w:rPr>
        <w:t xml:space="preserve"> – Menetapkan proses end‑to‑end yang terdokumentasi, dengan audit trail yang dapat dipertanggungjawabkan secara real‑time.</w:t>
      </w:r>
    </w:p>
    <w:p>
      <w:pPr>
        <w:pStyle w:val="ListNumber"/>
        <w:spacing w:before="0" w:after="80"/>
        <w:numPr>
          <w:ilvl w:val="0"/>
          <w:numId w:val="11"/>
        </w:numPr>
      </w:pPr>
      <w:r>
        <w:rPr>
          <w:b/>
          <w:i w:val="0"/>
        </w:rPr>
        <w:t>Percepatan keputusan lintas unit</w:t>
      </w:r>
      <w:r>
        <w:rPr>
          <w:b w:val="0"/>
          <w:i w:val="0"/>
        </w:rPr>
        <w:t xml:space="preserve"> – Membentuk mekanisme otorisasi berbasis peran (role‑based) yang terintegrasi dengan platform SPBE, sehingga setiap keputusan dapat di‑track dan dievaluasi.</w:t>
      </w:r>
    </w:p>
    <w:p>
      <w:pPr>
        <w:pStyle w:val="ListNumber"/>
        <w:spacing w:before="0" w:after="80"/>
        <w:numPr>
          <w:ilvl w:val="0"/>
          <w:numId w:val="11"/>
        </w:numPr>
      </w:pPr>
      <w:r>
        <w:rPr>
          <w:b/>
          <w:i w:val="0"/>
        </w:rPr>
        <w:t>Penyusunan roadmap eksekusi terukur</w:t>
      </w:r>
      <w:r>
        <w:rPr>
          <w:b w:val="0"/>
          <w:i w:val="0"/>
        </w:rPr>
        <w:t xml:space="preserve"> – Mengembangkan jadwal fase rollout yang menghubungkan readiness assessment, phased rollout, change management, dan hyper‑care, serta mengikat KPI outcome bisnis (positif dalam 7 bulan), kualitas operasi, dan efektivitas eksekusi proyek (Data Internal, 2026).</w:t>
      </w:r>
    </w:p>
    <w:p>
      <w:pPr>
        <w:pStyle w:val="Heading3"/>
      </w:pPr>
      <w:r>
        <w:rPr>
          <w:rFonts w:ascii="Arial" w:hAnsi="Arial"/>
          <w:b/>
          <w:color w:val="777877"/>
        </w:rPr>
        <w:t>Risiko utama yang harus dikelola</w:t>
      </w:r>
    </w:p>
    <w:p>
      <w:pPr>
        <w:pStyle w:val="ListBullet"/>
        <w:spacing w:before="0" w:after="80"/>
        <w:numPr>
          <w:ilvl w:val="0"/>
          <w:numId w:val="12"/>
        </w:numPr>
      </w:pPr>
      <w:r>
        <w:rPr>
          <w:b/>
          <w:i w:val="0"/>
        </w:rPr>
        <w:t>Privasi data penumpang</w:t>
      </w:r>
      <w:r>
        <w:rPr>
          <w:b w:val="0"/>
          <w:i w:val="0"/>
        </w:rPr>
        <w:t xml:space="preserve"> – Implementasi biometric boarding menimbulkan kekhawatiran privasi; diperlukan kebijakan data protection yang selaras dengan ISO 27001.</w:t>
      </w:r>
    </w:p>
    <w:p>
      <w:pPr>
        <w:pStyle w:val="ListBullet"/>
        <w:spacing w:before="0" w:after="80"/>
        <w:numPr>
          <w:ilvl w:val="0"/>
          <w:numId w:val="12"/>
        </w:numPr>
      </w:pPr>
      <w:r>
        <w:rPr>
          <w:b/>
          <w:i w:val="0"/>
        </w:rPr>
        <w:t>Ketergantungan pada integrasi sistem legacy</w:t>
      </w:r>
      <w:r>
        <w:rPr>
          <w:b w:val="0"/>
          <w:i w:val="0"/>
        </w:rPr>
        <w:t xml:space="preserve"> – Sistem keamanan dan imigrasi masih berbasis on‑premise; integrasi dapat menimbulkan downtime jika tidak dikelola dengan fase pilot.</w:t>
      </w:r>
    </w:p>
    <w:p>
      <w:pPr>
        <w:pStyle w:val="ListBullet"/>
        <w:spacing w:before="0" w:after="80"/>
        <w:numPr>
          <w:ilvl w:val="0"/>
          <w:numId w:val="12"/>
        </w:numPr>
      </w:pPr>
      <w:r>
        <w:rPr>
          <w:b/>
          <w:i w:val="0"/>
        </w:rPr>
        <w:t>Keterbatasan sumber daya SDM</w:t>
      </w:r>
      <w:r>
        <w:rPr>
          <w:b w:val="0"/>
          <w:i w:val="0"/>
        </w:rPr>
        <w:t xml:space="preserve"> – Kebutuhan kompetensi digital ASN masih dalam tahap pengukuran; risiko keterlambatan pelatihan dapat menghambat adopsi.</w:t>
      </w:r>
    </w:p>
    <w:p>
      <w:pPr>
        <w:pStyle w:val="Heading3"/>
      </w:pPr>
      <w:r>
        <w:rPr>
          <w:rFonts w:ascii="Arial" w:hAnsi="Arial"/>
          <w:b/>
          <w:color w:val="777877"/>
        </w:rPr>
        <w:t>Dampak yang diharapkan</w:t>
      </w:r>
    </w:p>
    <w:p>
      <w:pPr>
        <w:pStyle w:val="ListBullet"/>
        <w:spacing w:before="0" w:after="80"/>
        <w:numPr>
          <w:ilvl w:val="0"/>
          <w:numId w:val="13"/>
        </w:numPr>
      </w:pPr>
      <w:r>
        <w:rPr>
          <w:b/>
          <w:i w:val="0"/>
        </w:rPr>
        <w:t>Akuntabilitas keputusan</w:t>
      </w:r>
      <w:r>
        <w:rPr>
          <w:b w:val="0"/>
          <w:i w:val="0"/>
        </w:rPr>
        <w:t xml:space="preserve"> meningkat 40 % melalui audit trail terotomatisasi.</w:t>
      </w:r>
    </w:p>
    <w:p>
      <w:pPr>
        <w:pStyle w:val="ListBullet"/>
        <w:spacing w:before="0" w:after="80"/>
        <w:numPr>
          <w:ilvl w:val="0"/>
          <w:numId w:val="13"/>
        </w:numPr>
      </w:pPr>
      <w:r>
        <w:rPr>
          <w:b/>
          <w:i w:val="0"/>
        </w:rPr>
        <w:t>Throughput penumpang</w:t>
      </w:r>
      <w:r>
        <w:rPr>
          <w:b w:val="0"/>
          <w:i w:val="0"/>
        </w:rPr>
        <w:t xml:space="preserve"> mencapai 30 pax/menit pada akhir bulan ke‑7, mengurangi waktu tunggu rata‑rata 50 %.</w:t>
      </w:r>
    </w:p>
    <w:p>
      <w:pPr>
        <w:pStyle w:val="ListBullet"/>
        <w:spacing w:before="0" w:after="80"/>
        <w:numPr>
          <w:ilvl w:val="0"/>
          <w:numId w:val="13"/>
        </w:numPr>
      </w:pPr>
      <w:r>
        <w:rPr>
          <w:b/>
          <w:i w:val="0"/>
        </w:rPr>
        <w:t>Kepatuhan regulasi</w:t>
      </w:r>
      <w:r>
        <w:rPr>
          <w:b w:val="0"/>
          <w:i w:val="0"/>
        </w:rPr>
        <w:t xml:space="preserve"> terpenuhi, mengurangi potensi sanksi administratif.</w:t>
      </w:r>
    </w:p>
    <w:p>
      <w:r>
        <w:rPr>
          <w:b w:val="0"/>
          <w:i w:val="0"/>
        </w:rPr>
        <w:t>Dengan menanggapi faktor internal‑eksternal tersebut, Inixindo Jogja akan menyediakan kerangka kerja terintegrasi yang menguatkan tata kelola delivery, mempercepat keputusan lintas unit, dan menyusun roadmap eksekusi yang terukur, selaras dengan mandat transformasi API pada 2026.</w:t>
      </w:r>
    </w:p>
    <w:p>
      <w:r>
        <w:rPr>
          <w:b w:val="0"/>
          <w:i w:val="0"/>
        </w:rPr>
        <w:t>Untuk Angkasa Pura II, isi bab ini harus dibaca sebagai dasar keputusan kerja yang dapat ditindaklanjuti, bukan sekadar penjelasan konseptual. Karena itu, isi bab tetap diarahkan untuk menjaga relevansi terhadap KPI seperti KPI outcome bisnis utama Angkasa Pura II bergerak positif dalam 7 bulan. | Kualitas operasi (incident, SLA, lead time) membaik dalam 7 bulan. dan istilah kerja akuntabilitas, SPBE.</w:t>
      </w:r>
    </w:p>
    <w:p>
      <w:r>
        <w:br w:type="page"/>
      </w:r>
    </w:p>
    <w:p>
      <w:pPr>
        <w:pStyle w:val="Heading1"/>
        <w:jc w:val="center"/>
      </w:pPr>
      <w:r>
        <w:rPr>
          <w:color w:val="777877"/>
        </w:rPr>
        <w:t>BAB II – PERMASALAHAN</w:t>
      </w:r>
    </w:p>
    <w:p>
      <w:pPr>
        <w:pStyle w:val="Heading2"/>
      </w:pPr>
      <w:r>
        <w:rPr>
          <w:rFonts w:ascii="Arial" w:hAnsi="Arial"/>
          <w:b/>
          <w:color w:val="777877"/>
        </w:rPr>
        <w:t>2.1 Kebutuhan atau Keinginan Klien</w:t>
      </w:r>
    </w:p>
    <w:p>
      <w:pPr>
        <w:pStyle w:val="Heading3"/>
      </w:pPr>
      <w:r>
        <w:rPr>
          <w:rFonts w:ascii="Arial" w:hAnsi="Arial"/>
          <w:b/>
          <w:color w:val="777877"/>
        </w:rPr>
        <w:t>2.1.1 Target Operasional</w:t>
      </w:r>
    </w:p>
    <w:p>
      <w:pPr>
        <w:pStyle w:val="ListBullet"/>
        <w:spacing w:before="0" w:after="80"/>
        <w:numPr>
          <w:ilvl w:val="0"/>
          <w:numId w:val="14"/>
        </w:numPr>
      </w:pPr>
      <w:r>
        <w:rPr>
          <w:b w:val="0"/>
          <w:i w:val="0"/>
        </w:rPr>
        <w:t>Meningkatkan</w:t>
      </w:r>
      <w:r>
        <w:rPr>
          <w:b/>
          <w:i w:val="0"/>
        </w:rPr>
        <w:t xml:space="preserve"> Passenger Flow</w:t>
      </w:r>
      <w:r>
        <w:rPr>
          <w:b w:val="0"/>
          <w:i w:val="0"/>
        </w:rPr>
        <w:t xml:space="preserve"> dari 15 pax/menit (baseline) menjadi 30 pax/menit dalam 7 bulan (Data Internal, 2026).</w:t>
      </w:r>
    </w:p>
    <w:p>
      <w:pPr>
        <w:pStyle w:val="ListBullet"/>
        <w:spacing w:before="0" w:after="80"/>
        <w:numPr>
          <w:ilvl w:val="0"/>
          <w:numId w:val="14"/>
        </w:numPr>
      </w:pPr>
      <w:r>
        <w:rPr>
          <w:b w:val="0"/>
          <w:i w:val="0"/>
        </w:rPr>
        <w:t>Pencapaian harus terjadi tanpa penambahan infrastruktur fisik signifikan; fokus pada optimalisasi proses keamanan dan boarding.</w:t>
      </w:r>
    </w:p>
    <w:p>
      <w:pPr>
        <w:pStyle w:val="Heading3"/>
      </w:pPr>
      <w:r>
        <w:rPr>
          <w:rFonts w:ascii="Arial" w:hAnsi="Arial"/>
          <w:b/>
          <w:color w:val="777877"/>
        </w:rPr>
        <w:t>2.1.2 Tata Kelola Delivery</w:t>
      </w:r>
    </w:p>
    <w:p>
      <w:pPr>
        <w:pStyle w:val="ListBullet"/>
        <w:spacing w:before="0" w:after="80"/>
        <w:numPr>
          <w:ilvl w:val="0"/>
          <w:numId w:val="15"/>
        </w:numPr>
      </w:pPr>
      <w:r>
        <w:rPr>
          <w:b w:val="0"/>
          <w:i w:val="0"/>
        </w:rPr>
        <w:t>Diperlukan kerangka</w:t>
      </w:r>
      <w:r>
        <w:rPr>
          <w:b/>
          <w:i w:val="0"/>
        </w:rPr>
        <w:t xml:space="preserve"> tata kelola delivery</w:t>
      </w:r>
      <w:r>
        <w:rPr>
          <w:b w:val="0"/>
          <w:i w:val="0"/>
        </w:rPr>
        <w:t xml:space="preserve"> yang menegakkan</w:t>
      </w:r>
      <w:r>
        <w:rPr>
          <w:b/>
          <w:i w:val="0"/>
        </w:rPr>
        <w:t xml:space="preserve"> akuntabilitas</w:t>
      </w:r>
      <w:r>
        <w:rPr>
          <w:b w:val="0"/>
          <w:i w:val="0"/>
        </w:rPr>
        <w:t xml:space="preserve"> keputusan lintas unit, menyediakan</w:t>
      </w:r>
      <w:r>
        <w:rPr>
          <w:b/>
          <w:i w:val="0"/>
        </w:rPr>
        <w:t xml:space="preserve"> audit trail</w:t>
      </w:r>
      <w:r>
        <w:rPr>
          <w:b w:val="0"/>
          <w:i w:val="0"/>
        </w:rPr>
        <w:t xml:space="preserve"> yang dapat dipertanggungjawabkan, serta selaras dengan kebijakan</w:t>
      </w:r>
      <w:r>
        <w:rPr>
          <w:b/>
          <w:i w:val="0"/>
        </w:rPr>
        <w:t xml:space="preserve"> SPBE</w:t>
      </w:r>
      <w:r>
        <w:rPr>
          <w:b w:val="0"/>
          <w:i w:val="0"/>
        </w:rPr>
        <w:t xml:space="preserve"> nasional.</w:t>
      </w:r>
    </w:p>
    <w:p>
      <w:pPr>
        <w:pStyle w:val="Heading3"/>
      </w:pPr>
      <w:r>
        <w:rPr>
          <w:rFonts w:ascii="Arial" w:hAnsi="Arial"/>
          <w:b/>
          <w:color w:val="777877"/>
        </w:rPr>
        <w:t>2.1.3 Waktu &amp; Anggaran</w:t>
      </w:r>
    </w:p>
    <w:p>
      <w:pPr>
        <w:pStyle w:val="ListBullet"/>
        <w:spacing w:before="0" w:after="80"/>
        <w:numPr>
          <w:ilvl w:val="0"/>
          <w:numId w:val="16"/>
        </w:numPr>
      </w:pPr>
      <w:r>
        <w:rPr>
          <w:b w:val="0"/>
          <w:i w:val="0"/>
        </w:rPr>
        <w:t>Proyek dibatasi pada horizon 7 bulan dengan anggaran US$15 juta.</w:t>
      </w:r>
    </w:p>
    <w:p>
      <w:pPr>
        <w:pStyle w:val="ListBullet"/>
        <w:spacing w:before="0" w:after="80"/>
        <w:numPr>
          <w:ilvl w:val="0"/>
          <w:numId w:val="16"/>
        </w:numPr>
      </w:pPr>
      <w:r>
        <w:rPr>
          <w:b w:val="0"/>
          <w:i w:val="0"/>
        </w:rPr>
        <w:t>Keberhasilan diukur melalui KPI outcome bisnis utama, kualitas operasi, dan efektivitas eksekusi proyek (Data Internal, 2026).</w:t>
      </w:r>
    </w:p>
    <w:p>
      <w:pPr>
        <w:pStyle w:val="Heading2"/>
      </w:pPr>
      <w:r>
        <w:rPr>
          <w:rFonts w:ascii="Arial" w:hAnsi="Arial"/>
          <w:b/>
          <w:color w:val="777877"/>
        </w:rPr>
        <w:t>2.2 Business Context</w:t>
      </w:r>
    </w:p>
    <w:p>
      <w:pPr>
        <w:pStyle w:val="Heading3"/>
      </w:pPr>
      <w:r>
        <w:rPr>
          <w:rFonts w:ascii="Arial" w:hAnsi="Arial"/>
          <w:b/>
          <w:color w:val="777877"/>
        </w:rPr>
        <w:t>2.2.1 Transformasi Kinerja 2026</w:t>
      </w:r>
    </w:p>
    <w:p>
      <w:r>
        <w:rPr>
          <w:b w:val="0"/>
          <w:i w:val="0"/>
        </w:rPr>
        <w:t>Manajemen baru Angkasa Pura II berkomitmen mempercepat transformasi kinerja pada 2026, termasuk penguatan kolaborasi stakeholder (majalahbandara.com, 2026). Gelombang uji beban 9 menjadi titik uji kesiapan operasional dan digital.</w:t>
      </w:r>
    </w:p>
    <w:p>
      <w:pPr>
        <w:pStyle w:val="Heading3"/>
      </w:pPr>
      <w:r>
        <w:rPr>
          <w:rFonts w:ascii="Arial" w:hAnsi="Arial"/>
          <w:b/>
          <w:color w:val="777877"/>
        </w:rPr>
        <w:t>2.2.2 Kebijakan SPBE Nasional</w:t>
      </w:r>
    </w:p>
    <w:p>
      <w:r>
        <w:rPr>
          <w:b w:val="0"/>
          <w:i w:val="0"/>
        </w:rPr>
        <w:t>Rencana Strategis BPK 2025‑2029 menegaskan pentingnya</w:t>
      </w:r>
      <w:r>
        <w:rPr>
          <w:b/>
          <w:i w:val="0"/>
        </w:rPr>
        <w:t xml:space="preserve"> good governance</w:t>
      </w:r>
      <w:r>
        <w:rPr>
          <w:b w:val="0"/>
          <w:i w:val="0"/>
        </w:rPr>
        <w:t>, transparansi, akuntabilitas, dan interoperabilitas layanan publik melalui SPBE (yogyakarta.bpk.go.id, 2029).</w:t>
      </w:r>
    </w:p>
    <w:p>
      <w:pPr>
        <w:pStyle w:val="Heading3"/>
      </w:pPr>
      <w:r>
        <w:rPr>
          <w:rFonts w:ascii="Arial" w:hAnsi="Arial"/>
          <w:b/>
          <w:color w:val="777877"/>
        </w:rPr>
        <w:t>2.2.3 Lingkungan Operasional Bandara</w:t>
      </w:r>
    </w:p>
    <w:p>
      <w:pPr>
        <w:pStyle w:val="ListBullet"/>
        <w:spacing w:before="0" w:after="80"/>
        <w:numPr>
          <w:ilvl w:val="0"/>
          <w:numId w:val="17"/>
        </w:numPr>
      </w:pPr>
      <w:r>
        <w:rPr>
          <w:b w:val="0"/>
          <w:i w:val="0"/>
        </w:rPr>
        <w:t>Bandara Soekarno‑Hatta terus mengoptimalkan kolaborasi stakeholder untuk meningkatkan layanan publik (instagram.com, 2026).</w:t>
      </w:r>
    </w:p>
    <w:p>
      <w:pPr>
        <w:pStyle w:val="ListBullet"/>
        <w:spacing w:before="0" w:after="80"/>
        <w:numPr>
          <w:ilvl w:val="0"/>
          <w:numId w:val="17"/>
        </w:numPr>
      </w:pPr>
      <w:r>
        <w:rPr>
          <w:b w:val="0"/>
          <w:i w:val="0"/>
        </w:rPr>
        <w:t>Tekanan pada antrian keamanan dan boarding meningkat seiring pertumbuhan penumpang pasca‑pandemi.</w:t>
      </w:r>
    </w:p>
    <w:p>
      <w:pPr>
        <w:pStyle w:val="Heading2"/>
      </w:pPr>
      <w:r>
        <w:rPr>
          <w:rFonts w:ascii="Arial" w:hAnsi="Arial"/>
          <w:b/>
          <w:color w:val="777877"/>
        </w:rPr>
        <w:t>2.3 Key Challenge</w:t>
      </w:r>
    </w:p>
    <w:p>
      <w:pPr>
        <w:pStyle w:val="Heading3"/>
      </w:pPr>
      <w:r>
        <w:rPr>
          <w:rFonts w:ascii="Arial" w:hAnsi="Arial"/>
          <w:b/>
          <w:color w:val="777877"/>
        </w:rPr>
        <w:t>2.3.1 Fragmentasi Prioritas &amp; Keputusan</w:t>
      </w:r>
    </w:p>
    <w:p>
      <w:r>
        <w:rPr>
          <w:b w:val="0"/>
          <w:i w:val="0"/>
        </w:rPr>
        <w:t>Prioritas kerja tersebar di antara unit operasional, TI, dan keamanan, menyebabkan duplikasi up</w:t>
      </w:r>
    </w:p>
    <w:p>
      <w:pPr>
        <w:pStyle w:val="Heading2"/>
      </w:pPr>
      <w:r>
        <w:rPr>
          <w:rFonts w:ascii="Arial" w:hAnsi="Arial"/>
          <w:b/>
          <w:color w:val="777877"/>
        </w:rPr>
        <w:t>2.4 Underlying Gap</w:t>
      </w:r>
    </w:p>
    <w:p>
      <w:pPr>
        <w:pStyle w:val="Heading3"/>
      </w:pPr>
      <w:r>
        <w:rPr>
          <w:rFonts w:ascii="Arial" w:hAnsi="Arial"/>
          <w:b/>
          <w:color w:val="777877"/>
        </w:rPr>
        <w:t>Rincian Inti</w:t>
      </w:r>
    </w:p>
    <w:p>
      <w:pPr>
        <w:pStyle w:val="ListNumber"/>
        <w:spacing w:before="0" w:after="80"/>
        <w:numPr>
          <w:ilvl w:val="0"/>
          <w:numId w:val="18"/>
        </w:numPr>
      </w:pPr>
      <w:r>
        <w:rPr>
          <w:b w:val="0"/>
          <w:i w:val="0"/>
        </w:rPr>
        <w:t>Aktivitas utama pada bagian ini disesuaikan langsung dengan kebutuhan bisnis klien. - Risiko, dependensi, dan indikator keberhasilan dijabarkan secara terukur untuk eksekusi.</w:t>
      </w:r>
    </w:p>
    <w:p>
      <w:pPr>
        <w:pStyle w:val="Heading2"/>
      </w:pPr>
      <w:r>
        <w:rPr>
          <w:rFonts w:ascii="Arial" w:hAnsi="Arial"/>
          <w:b/>
          <w:color w:val="777877"/>
        </w:rPr>
        <w:t>2.5 Implication / Risk</w:t>
      </w:r>
    </w:p>
    <w:p>
      <w:pPr>
        <w:pStyle w:val="Heading3"/>
      </w:pPr>
      <w:r>
        <w:rPr>
          <w:rFonts w:ascii="Arial" w:hAnsi="Arial"/>
          <w:b/>
          <w:color w:val="777877"/>
        </w:rPr>
        <w:t>Rincian Inti</w:t>
      </w:r>
    </w:p>
    <w:p>
      <w:pPr>
        <w:pStyle w:val="ListNumber"/>
        <w:spacing w:before="0" w:after="80"/>
        <w:numPr>
          <w:ilvl w:val="0"/>
          <w:numId w:val="19"/>
        </w:numPr>
      </w:pPr>
      <w:r>
        <w:rPr>
          <w:b w:val="0"/>
          <w:i w:val="0"/>
        </w:rPr>
        <w:t>Aktivitas utama pada bagian ini disesuaikan langsung dengan kebutuhan bisnis klien. - Risiko, dependensi, dan indikator keberhasilan dijabarkan secara terukur untuk eksekusi.</w:t>
      </w:r>
    </w:p>
    <w:p>
      <w:pPr>
        <w:pStyle w:val="Heading2"/>
      </w:pPr>
      <w:r>
        <w:rPr>
          <w:rFonts w:ascii="Arial" w:hAnsi="Arial"/>
          <w:b/>
          <w:color w:val="777877"/>
        </w:rPr>
        <w:t>2.6 Need for Solution</w:t>
      </w:r>
    </w:p>
    <w:p>
      <w:pPr>
        <w:pStyle w:val="Heading3"/>
      </w:pPr>
      <w:r>
        <w:rPr>
          <w:rFonts w:ascii="Arial" w:hAnsi="Arial"/>
          <w:b/>
          <w:color w:val="777877"/>
        </w:rPr>
        <w:t>Rincian Inti</w:t>
      </w:r>
    </w:p>
    <w:p>
      <w:pPr>
        <w:pStyle w:val="ListNumber"/>
        <w:spacing w:before="0" w:after="80"/>
        <w:numPr>
          <w:ilvl w:val="0"/>
          <w:numId w:val="20"/>
        </w:numPr>
      </w:pPr>
      <w:r>
        <w:rPr>
          <w:b w:val="0"/>
          <w:i w:val="0"/>
        </w:rPr>
        <w:t>Aktivitas utama pada bagian ini disesuaikan langsung dengan kebutuhan bisnis klien. - Risiko, dependensi, dan indikator keberhasilan dijabarkan secara terukur untuk eksekusi.</w:t>
      </w:r>
    </w:p>
    <w:p>
      <w:r>
        <w:rPr>
          <w:b w:val="0"/>
          <w:i w:val="0"/>
        </w:rPr>
        <w:t>Definisi masalah untuk Angkasa Pura II perlu dibangun dengan pola yang konsisten agar sponsor dapat melihat hubungan langsung antara konteks bisnis, tantangan utama, gap yang mendasari, risiko yang muncul, dan kebutuhan solusi. Dengan pendekatan ini, bab permasalahan tidak berhenti pada daftar pain point, tetapi benar-benar menjelaskan mengapa gap antara current state dan target state perlu ditutup dengan intervensi yang lebih terukur. Rujukan konteks yang tetap dipakai adalah... 2025 memproyeksikan sejumlah fokus transformasi kinerja untuk diakselerasikan pada tahun 2026... Angkasa Pura II, Kementerian Perhubungan, Kementerian Pariwisata... (majalahbandara.com, 2026).</w:t>
      </w:r>
    </w:p>
    <w:p>
      <w:pPr>
        <w:pStyle w:val="ListBullet"/>
        <w:spacing w:before="0" w:after="80"/>
        <w:numPr>
          <w:ilvl w:val="0"/>
          <w:numId w:val="21"/>
        </w:numPr>
      </w:pPr>
      <w:r>
        <w:rPr>
          <w:b w:val="0"/>
          <w:i w:val="0"/>
        </w:rPr>
        <w:t>Pola definisi masalah membantu Angkasa Pura II membedakan gejala operasional dari akar gap yang perlu diprioritaskan.</w:t>
      </w:r>
    </w:p>
    <w:p>
      <w:pPr>
        <w:pStyle w:val="ListBullet"/>
        <w:spacing w:before="0" w:after="80"/>
        <w:numPr>
          <w:ilvl w:val="0"/>
          <w:numId w:val="21"/>
        </w:numPr>
      </w:pPr>
      <w:r>
        <w:rPr>
          <w:b w:val="0"/>
          <w:i w:val="0"/>
        </w:rPr>
        <w:t>Untuk menjaga relevansi eksekusi, rumusan masalah harus tetap ditautkan ke KPI seperti KPI outcome bisnis utama Angkasa Pura II bergerak positif dalam 7 bulan. | Kualitas operasi (incident, SLA, lead time) membaik dalam 7 bulan. dan istilah kerja akuntabilitas, SPBE.</w:t>
      </w:r>
    </w:p>
    <w:p>
      <w:r>
        <w:rPr>
          <w:b w:val="0"/>
          <w:i w:val="0"/>
        </w:rPr>
        <w:t>Dengan demikian, bab ini memberi dasar yang lebih kuat untuk bab berikutnya: klasifikasi kebutuhan, pendekatan, metodologi, dan solution design dapat diturunkan dari rumusan masalah yang sama, bukan dari asumsi yang berubah-ubah. Itu membuat proposal lebih defensible, lebih personal terhadap kondisi Angkasa Pura II, dan lebih berguna sebagai dokumen keputusan.</w:t>
      </w:r>
    </w:p>
    <w:p>
      <w:r>
        <w:rPr>
          <w:b w:val="0"/>
          <w:i w:val="0"/>
        </w:rPr>
        <w:t>Untuk Angkasa Pura II, isi bab ini harus dibaca sebagai dasar keputusan kerja yang dapat ditindaklanjuti, bukan sekadar penjelasan konseptual. Karena itu, isi bab tetap diarahkan untuk menjaga relevansi terhadap KPI seperti KPI outcome bisnis utama Angkasa Pura II bergerak positif dalam 7 bulan. | Kualitas operasi (incident, SLA, lead time) membaik dalam 7 bulan. dan istilah kerja akuntabilitas, SPBE.</w:t>
      </w:r>
    </w:p>
    <w:p>
      <w:r>
        <w:br w:type="page"/>
      </w:r>
    </w:p>
    <w:p>
      <w:pPr>
        <w:pStyle w:val="Heading1"/>
        <w:jc w:val="center"/>
      </w:pPr>
      <w:r>
        <w:rPr>
          <w:color w:val="777877"/>
        </w:rPr>
        <w:t>BAB III – KLASIFIKASI KEBUTUHAN</w:t>
      </w:r>
    </w:p>
    <w:p>
      <w:r>
        <w:rPr>
          <w:b w:val="0"/>
          <w:i w:val="0"/>
        </w:rPr>
        <w:t>Bab klasifikasi kebutuhan untuk Angkasa Pura II dipakai untuk mengerucutkan berbagai sinyal kebutuhan menjadi fokus kerja yang paling tepat diselesaikan lebih dahulu. Dari kombinasi konteks proyek, pain points, dan tekanan bisnis yang muncul, kebutuhan yang paling tepat diposisikan sebagai</w:t>
      </w:r>
      <w:r>
        <w:rPr>
          <w:b/>
          <w:i w:val="0"/>
        </w:rPr>
        <w:t xml:space="preserve"> Directive</w:t>
      </w:r>
      <w:r>
        <w:rPr>
          <w:b w:val="0"/>
          <w:i w:val="0"/>
        </w:rPr>
        <w:t>. Pilihan ini dibuat agar proposal tidak melebar, melainkan langsung mengunci prioritas yang paling berpengaruh pada outcome seperti KPI outcome bisnis utama Angkasa Pura II bergerak positif dalam 7 bulan. | Kualitas operasi (incident, SLA, lead time) membaik dalam 7 bulan. | Efektivitas eksekusi proyek (on-time, on-budget, on-scope) tercapai dalam 7 bulan.. Bab ini ditulis sebagai penajaman arah penawaran agar sponsor segera melihat fokus kerja yang paling relevan. (Data Internal, 2026).</w:t>
      </w:r>
    </w:p>
    <w:p>
      <w:pPr>
        <w:pStyle w:val="Heading2"/>
      </w:pPr>
      <w:r>
        <w:rPr>
          <w:rFonts w:ascii="Arial" w:hAnsi="Arial"/>
          <w:b/>
          <w:color w:val="777877"/>
        </w:rPr>
        <w:t>3.1 Penajaman Kebutuhan Utama yang Dipilih</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val="0"/>
                <w:i w:val="0"/>
              </w:rPr>
              <w:t>Opsi Kebutuhan</w:t>
            </w:r>
          </w:p>
        </w:tc>
        <w:tc>
          <w:tcPr>
            <w:tcW w:type="dxa" w:w="3120"/>
          </w:tcPr>
          <w:p>
            <w:r>
              <w:rPr>
                <w:b w:val="0"/>
                <w:i w:val="0"/>
              </w:rPr>
              <w:t>Posisi</w:t>
            </w:r>
          </w:p>
        </w:tc>
        <w:tc>
          <w:tcPr>
            <w:tcW w:type="dxa" w:w="3120"/>
          </w:tcPr>
          <w:p>
            <w:r>
              <w:rPr>
                <w:b w:val="0"/>
                <w:i w:val="0"/>
              </w:rPr>
              <w:t>Alasan Penetapan</w:t>
            </w:r>
          </w:p>
        </w:tc>
      </w:tr>
      <w:tr>
        <w:tc>
          <w:tcPr>
            <w:tcW w:type="dxa" w:w="3120"/>
          </w:tcPr>
          <w:p>
            <w:r>
              <w:rPr>
                <w:b w:val="0"/>
                <w:i w:val="0"/>
              </w:rPr>
              <w:t>Problem</w:t>
            </w:r>
          </w:p>
        </w:tc>
        <w:tc>
          <w:tcPr>
            <w:tcW w:type="dxa" w:w="3120"/>
          </w:tcPr>
          <w:p>
            <w:r>
              <w:rPr>
                <w:b w:val="0"/>
                <w:i w:val="0"/>
              </w:rPr>
              <w:t>Konteks pendukung</w:t>
            </w:r>
          </w:p>
        </w:tc>
        <w:tc>
          <w:tcPr>
            <w:tcW w:type="dxa" w:w="3120"/>
          </w:tcPr>
          <w:p>
            <w:r>
              <w:rPr>
                <w:b w:val="0"/>
                <w:i w:val="0"/>
              </w:rPr>
              <w:t>Menjawab gap, hambatan, dan isu yang mengganggu target bisnis atau delivery.</w:t>
            </w:r>
          </w:p>
        </w:tc>
      </w:tr>
      <w:tr>
        <w:tc>
          <w:tcPr>
            <w:tcW w:type="dxa" w:w="3120"/>
          </w:tcPr>
          <w:p>
            <w:r>
              <w:rPr>
                <w:b w:val="0"/>
                <w:i w:val="0"/>
              </w:rPr>
              <w:t>Opportunity</w:t>
            </w:r>
          </w:p>
        </w:tc>
        <w:tc>
          <w:tcPr>
            <w:tcW w:type="dxa" w:w="3120"/>
          </w:tcPr>
          <w:p>
            <w:r>
              <w:rPr>
                <w:b w:val="0"/>
                <w:i w:val="0"/>
              </w:rPr>
              <w:t>Konteks pendukung</w:t>
            </w:r>
          </w:p>
        </w:tc>
        <w:tc>
          <w:tcPr>
            <w:tcW w:type="dxa" w:w="3120"/>
          </w:tcPr>
          <w:p>
            <w:r>
              <w:rPr>
                <w:b w:val="0"/>
                <w:i w:val="0"/>
              </w:rPr>
              <w:t>Menangkap peluang peningkatan nilai, efisiensi, atau pertumbuhan yang relevan.</w:t>
            </w:r>
          </w:p>
        </w:tc>
      </w:tr>
      <w:tr>
        <w:tc>
          <w:tcPr>
            <w:tcW w:type="dxa" w:w="3120"/>
          </w:tcPr>
          <w:p>
            <w:r>
              <w:rPr>
                <w:b w:val="0"/>
                <w:i w:val="0"/>
              </w:rPr>
              <w:t>Directive</w:t>
            </w:r>
          </w:p>
        </w:tc>
        <w:tc>
          <w:tcPr>
            <w:tcW w:type="dxa" w:w="3120"/>
          </w:tcPr>
          <w:p>
            <w:r>
              <w:rPr>
                <w:b w:val="0"/>
                <w:i w:val="0"/>
              </w:rPr>
              <w:t>Fokus utama</w:t>
            </w:r>
          </w:p>
        </w:tc>
        <w:tc>
          <w:tcPr>
            <w:tcW w:type="dxa" w:w="3120"/>
          </w:tcPr>
          <w:p>
            <w:r>
              <w:rPr>
                <w:b w:val="0"/>
                <w:i w:val="0"/>
              </w:rPr>
              <w:t>Menjawab mandat, regulasi, atau kebutuhan kepatuhan yang tidak bisa diabaikan.</w:t>
            </w:r>
          </w:p>
        </w:tc>
      </w:tr>
    </w:tbl>
    <w:p>
      <w:r>
        <w:rPr>
          <w:b w:val="0"/>
          <w:i w:val="0"/>
        </w:rPr>
        <w:t>Fokus utama yang dipilih adalah</w:t>
      </w:r>
      <w:r>
        <w:rPr>
          <w:b/>
          <w:i w:val="0"/>
        </w:rPr>
        <w:t xml:space="preserve"> Directive</w:t>
      </w:r>
      <w:r>
        <w:rPr>
          <w:b w:val="0"/>
          <w:i w:val="0"/>
        </w:rPr>
        <w:t>, sedangkan kebutuhan lain diposisikan sebagai konteks pendukung agar arah kerja tetap terkendali. Bagi Angkasa Pura II, penajaman ini penting supaya scope, metode kerja, dan bentuk keluaran tidak tersebar ke terlalu banyak sasaran sejak awal. - Kebutuhan sekunder yang tetap diperhatikan: Tidak ada kebutuhan sekunder yang perlu diprioritaskan pada tahap awal..</w:t>
      </w:r>
    </w:p>
    <w:p>
      <w:pPr>
        <w:pStyle w:val="Heading2"/>
      </w:pPr>
      <w:r>
        <w:rPr>
          <w:rFonts w:ascii="Arial" w:hAnsi="Arial"/>
          <w:b/>
          <w:color w:val="777877"/>
        </w:rPr>
        <w:t>3.2 Tujuan Utama dan Jenis Proyek</w:t>
      </w:r>
    </w:p>
    <w:p>
      <w:r>
        <w:rPr>
          <w:b w:val="0"/>
          <w:i w:val="0"/>
        </w:rPr>
        <w:t>Dengan fokus kebutuhan yang sudah mengerucut, tujuan utama proyek dapat ditegaskan sebagai upaya membantu Angkasa Pura II mencapai gelombang uji beban 9: penguatan tata kelola delivery, percepatan keputusan lintas unit, dan penyusunan roadmap eksekusi yang lebih... melalui model kerja</w:t>
      </w:r>
      <w:r>
        <w:rPr>
          <w:b/>
          <w:i w:val="0"/>
        </w:rPr>
        <w:t xml:space="preserve"> Transformation</w:t>
      </w:r>
      <w:r>
        <w:rPr>
          <w:b w:val="0"/>
          <w:i w:val="0"/>
        </w:rPr>
        <w:t>. Jenis proyek ini dipandang paling tepat karena masih sejalan dengan baseline metodologi internal 1. Readiness Assessment 2. Phased Rollout 3. Change Management 4. Hypercare, sekaligus cukup kuat untuk menerjemahkan kebutuhan directive menjadi deliverable, keputusan, dan quality gate yang dapat dijalankan.</w:t>
      </w:r>
    </w:p>
    <w:p>
      <w:pPr>
        <w:pStyle w:val="ListNumber"/>
        <w:spacing w:before="0" w:after="80"/>
        <w:numPr>
          <w:ilvl w:val="0"/>
          <w:numId w:val="22"/>
        </w:numPr>
      </w:pPr>
      <w:r>
        <w:rPr>
          <w:b w:val="0"/>
          <w:i w:val="0"/>
        </w:rPr>
        <w:t>Prioritas implementasi untuk Angkasa Pura II diarahkan agar tetap selaras dengan KPI outcome bisnis utama Angkasa Pura II bergerak positif dalam 7 bulan. | Kualitas operasi (incident, SLA, lead time) membaik dalam 7 bulan..</w:t>
      </w:r>
    </w:p>
    <w:p>
      <w:pPr>
        <w:pStyle w:val="ListNumber"/>
        <w:spacing w:before="0" w:after="80"/>
        <w:numPr>
          <w:ilvl w:val="0"/>
          <w:numId w:val="22"/>
        </w:numPr>
      </w:pPr>
      <w:r>
        <w:rPr>
          <w:b w:val="0"/>
          <w:i w:val="0"/>
        </w:rPr>
        <w:t>Keputusan delivery dan quality gate pada bab ini harus konsisten dengan istilah kerja akuntabilitas, SPBE. - Anchor inisiatif yang tetap dirujuk adalah... 2025 memproyeksikan sejumlah fokus transformasi kinerja untuk diakselerasikan pada tahun 2026... Angkasa Pura II, Kementerian Perhubungan, Kementerian Pariwisata... (majalahbandara.com, 2026).</w:t>
      </w:r>
    </w:p>
    <w:p>
      <w:r>
        <w:br w:type="page"/>
      </w:r>
    </w:p>
    <w:p>
      <w:pPr>
        <w:pStyle w:val="Heading1"/>
        <w:jc w:val="center"/>
      </w:pPr>
      <w:r>
        <w:rPr>
          <w:color w:val="777877"/>
        </w:rPr>
        <w:t>BAB IV – PENDEKATAN</w:t>
      </w:r>
    </w:p>
    <w:p>
      <w:pPr>
        <w:pStyle w:val="Heading2"/>
      </w:pPr>
      <w:r>
        <w:rPr>
          <w:rFonts w:ascii="Arial" w:hAnsi="Arial"/>
          <w:b/>
          <w:color w:val="777877"/>
        </w:rPr>
        <w:t>4.1 Acuan Prinsip/Framework/Teori/Regulasi</w:t>
      </w:r>
    </w:p>
    <w:p>
      <w:pPr>
        <w:pStyle w:val="Heading3"/>
      </w:pPr>
      <w:r>
        <w:rPr>
          <w:rFonts w:ascii="Arial" w:hAnsi="Arial"/>
          <w:b/>
          <w:color w:val="777877"/>
        </w:rPr>
        <w:t>4.1.1 Kerangka Enterprise &amp; Governance (TOGAF + COBIT)</w:t>
      </w:r>
    </w:p>
    <w:p>
      <w:pPr>
        <w:pStyle w:val="ListBullet"/>
        <w:spacing w:before="0" w:after="80"/>
        <w:numPr>
          <w:ilvl w:val="0"/>
          <w:numId w:val="23"/>
        </w:numPr>
      </w:pPr>
      <w:r>
        <w:rPr>
          <w:b/>
          <w:i w:val="0"/>
        </w:rPr>
        <w:t>TOGAF</w:t>
      </w:r>
      <w:r>
        <w:rPr>
          <w:b w:val="0"/>
          <w:i w:val="0"/>
        </w:rPr>
        <w:t xml:space="preserve"> menyediakan Architecture Development Method (ADM) untuk memetakan proses boarding, sistem biometrik, dan ERP ke dalam</w:t>
      </w:r>
      <w:r>
        <w:rPr>
          <w:b w:val="0"/>
          <w:i/>
        </w:rPr>
        <w:t xml:space="preserve"> roadmap</w:t>
      </w:r>
      <w:r>
        <w:rPr>
          <w:b w:val="0"/>
          <w:i w:val="0"/>
        </w:rPr>
        <w:t xml:space="preserve"> 7 bulan yang selaras dengan visi transformasi kinerja 2026 (majalahbandara.com, 2026).</w:t>
      </w:r>
    </w:p>
    <w:p>
      <w:pPr>
        <w:pStyle w:val="ListBullet"/>
        <w:spacing w:before="0" w:after="80"/>
        <w:numPr>
          <w:ilvl w:val="0"/>
          <w:numId w:val="23"/>
        </w:numPr>
      </w:pPr>
      <w:r>
        <w:rPr>
          <w:b/>
          <w:i w:val="0"/>
        </w:rPr>
        <w:t>COBIT 2019</w:t>
      </w:r>
      <w:r>
        <w:rPr>
          <w:b w:val="0"/>
          <w:i w:val="0"/>
        </w:rPr>
        <w:t xml:space="preserve"> menambahkan</w:t>
      </w:r>
      <w:r>
        <w:rPr>
          <w:b w:val="0"/>
          <w:i/>
        </w:rPr>
        <w:t xml:space="preserve"> control objectives</w:t>
      </w:r>
      <w:r>
        <w:rPr>
          <w:b w:val="0"/>
          <w:i w:val="0"/>
        </w:rPr>
        <w:t xml:space="preserve"> yang mengikat setiap keputusan lintas unit pada RACI matrix, sehingga audit trail dapat dipertanggungjawabkan oleh BPK (yogyakarta.bpk.go.id, 2029).</w:t>
      </w:r>
    </w:p>
    <w:p>
      <w:pPr>
        <w:pStyle w:val="Heading3"/>
      </w:pPr>
      <w:r>
        <w:rPr>
          <w:rFonts w:ascii="Arial" w:hAnsi="Arial"/>
          <w:b/>
          <w:color w:val="777877"/>
        </w:rPr>
        <w:t>4.1.2 Manajemen Layanan Publik (ITIL v4)</w:t>
      </w:r>
    </w:p>
    <w:p>
      <w:pPr>
        <w:pStyle w:val="ListBullet"/>
        <w:spacing w:before="0" w:after="80"/>
        <w:numPr>
          <w:ilvl w:val="0"/>
          <w:numId w:val="24"/>
        </w:numPr>
      </w:pPr>
      <w:r>
        <w:rPr>
          <w:b w:val="0"/>
          <w:i w:val="0"/>
        </w:rPr>
        <w:t>ITIL menetapkan Service Value System untuk</w:t>
      </w:r>
      <w:r>
        <w:rPr>
          <w:b w:val="0"/>
          <w:i/>
        </w:rPr>
        <w:t xml:space="preserve"> service delivery</w:t>
      </w:r>
      <w:r>
        <w:rPr>
          <w:b w:val="0"/>
          <w:i w:val="0"/>
        </w:rPr>
        <w:t xml:space="preserve"> di gate boarding, dengan SLA ≤ 2 menit pada proses verifikasi biometrik.</w:t>
      </w:r>
    </w:p>
    <w:p>
      <w:pPr>
        <w:pStyle w:val="ListBullet"/>
        <w:spacing w:before="0" w:after="80"/>
        <w:numPr>
          <w:ilvl w:val="0"/>
          <w:numId w:val="24"/>
        </w:numPr>
      </w:pPr>
      <w:r>
        <w:rPr>
          <w:b w:val="0"/>
          <w:i w:val="0"/>
        </w:rPr>
        <w:t>Pendekatan Continual Improvement memastikan incident rate tidak melebihi 5 % dari total penumpang (Data Internal, 2026).</w:t>
      </w:r>
    </w:p>
    <w:p>
      <w:pPr>
        <w:pStyle w:val="Heading3"/>
      </w:pPr>
      <w:r>
        <w:rPr>
          <w:rFonts w:ascii="Arial" w:hAnsi="Arial"/>
          <w:b/>
          <w:color w:val="777877"/>
        </w:rPr>
        <w:t>4.1.3 Keamanan &amp; Privasi (ISO 27001)</w:t>
      </w:r>
    </w:p>
    <w:p>
      <w:pPr>
        <w:pStyle w:val="ListBullet"/>
        <w:spacing w:before="0" w:after="80"/>
        <w:numPr>
          <w:ilvl w:val="0"/>
          <w:numId w:val="25"/>
        </w:numPr>
      </w:pPr>
      <w:r>
        <w:rPr>
          <w:b w:val="0"/>
          <w:i w:val="0"/>
        </w:rPr>
        <w:t>ISO 27001 mengatur enkripsi end‑to‑end, kontrol akses, dan log otomatis untuk data biometrik, menurunkan risiko</w:t>
      </w:r>
      <w:r>
        <w:rPr>
          <w:b w:val="0"/>
          <w:i/>
        </w:rPr>
        <w:t xml:space="preserve"> privacy concerns</w:t>
      </w:r>
      <w:r>
        <w:rPr>
          <w:b w:val="0"/>
          <w:i w:val="0"/>
        </w:rPr>
        <w:t xml:space="preserve"> yang teridentifikasi pada fase awal (Data Internal, 2026).</w:t>
      </w:r>
    </w:p>
    <w:p>
      <w:pPr>
        <w:pStyle w:val="ListBullet"/>
        <w:spacing w:before="0" w:after="80"/>
        <w:numPr>
          <w:ilvl w:val="0"/>
          <w:numId w:val="25"/>
        </w:numPr>
      </w:pPr>
      <w:r>
        <w:rPr>
          <w:b w:val="0"/>
          <w:i w:val="0"/>
        </w:rPr>
        <w:t>Kebijakan ini mendukung persyaratan SPBE pemerintah, memperkuat kepercayaan publik (kominfo.jatimprov.go.id, 2025).</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val="0"/>
                <w:i w:val="0"/>
              </w:rPr>
              <w:t>Kerangka</w:t>
            </w:r>
          </w:p>
        </w:tc>
        <w:tc>
          <w:tcPr>
            <w:tcW w:type="dxa" w:w="2340"/>
          </w:tcPr>
          <w:p>
            <w:r>
              <w:rPr>
                <w:b w:val="0"/>
                <w:i w:val="0"/>
              </w:rPr>
              <w:t>Fokus Utama</w:t>
            </w:r>
          </w:p>
        </w:tc>
        <w:tc>
          <w:tcPr>
            <w:tcW w:type="dxa" w:w="2340"/>
          </w:tcPr>
          <w:p>
            <w:r>
              <w:rPr>
                <w:b w:val="0"/>
                <w:i w:val="0"/>
              </w:rPr>
              <w:t>Output Konkret</w:t>
            </w:r>
          </w:p>
        </w:tc>
        <w:tc>
          <w:tcPr>
            <w:tcW w:type="dxa" w:w="2340"/>
          </w:tcPr>
          <w:p>
            <w:r>
              <w:rPr>
                <w:b w:val="0"/>
                <w:i w:val="0"/>
              </w:rPr>
              <w:t>KPI Terkait</w:t>
            </w:r>
          </w:p>
        </w:tc>
      </w:tr>
      <w:tr>
        <w:tc>
          <w:tcPr>
            <w:tcW w:type="dxa" w:w="2340"/>
          </w:tcPr>
          <w:p>
            <w:r>
              <w:rPr>
                <w:b w:val="0"/>
                <w:i w:val="0"/>
              </w:rPr>
              <w:t>TOGAF + COBIT</w:t>
            </w:r>
          </w:p>
        </w:tc>
        <w:tc>
          <w:tcPr>
            <w:tcW w:type="dxa" w:w="2340"/>
          </w:tcPr>
          <w:p>
            <w:r>
              <w:rPr>
                <w:b w:val="0"/>
                <w:i w:val="0"/>
              </w:rPr>
              <w:t>Arsitektur &amp; Governance</w:t>
            </w:r>
          </w:p>
        </w:tc>
        <w:tc>
          <w:tcPr>
            <w:tcW w:type="dxa" w:w="2340"/>
          </w:tcPr>
          <w:p>
            <w:r>
              <w:rPr>
                <w:b w:val="0"/>
                <w:i w:val="0"/>
              </w:rPr>
              <w:t>Blueprint integrasi biometrik‑ERP, RACI matrix</w:t>
            </w:r>
          </w:p>
        </w:tc>
        <w:tc>
          <w:tcPr>
            <w:tcW w:type="dxa" w:w="2340"/>
          </w:tcPr>
          <w:p>
            <w:r>
              <w:rPr>
                <w:b w:val="0"/>
                <w:i w:val="0"/>
              </w:rPr>
              <w:t>Akuntabilitas keputusan ≥ 90 %</w:t>
            </w:r>
          </w:p>
        </w:tc>
      </w:tr>
      <w:tr>
        <w:tc>
          <w:tcPr>
            <w:tcW w:type="dxa" w:w="2340"/>
          </w:tcPr>
          <w:p>
            <w:r>
              <w:rPr>
                <w:b w:val="0"/>
                <w:i w:val="0"/>
              </w:rPr>
              <w:t>ITIL</w:t>
            </w:r>
          </w:p>
        </w:tc>
        <w:tc>
          <w:tcPr>
            <w:tcW w:type="dxa" w:w="2340"/>
          </w:tcPr>
          <w:p>
            <w:r>
              <w:rPr>
                <w:b w:val="0"/>
                <w:i w:val="0"/>
              </w:rPr>
              <w:t>Service Management</w:t>
            </w:r>
          </w:p>
        </w:tc>
        <w:tc>
          <w:tcPr>
            <w:tcW w:type="dxa" w:w="2340"/>
          </w:tcPr>
          <w:p>
            <w:r>
              <w:rPr>
                <w:b w:val="0"/>
                <w:i w:val="0"/>
              </w:rPr>
              <w:t>SOP boarding, SLA ≤ 2 menit</w:t>
            </w:r>
          </w:p>
        </w:tc>
        <w:tc>
          <w:tcPr>
            <w:tcW w:type="dxa" w:w="2340"/>
          </w:tcPr>
          <w:p>
            <w:r>
              <w:rPr>
                <w:b w:val="0"/>
                <w:i w:val="0"/>
              </w:rPr>
              <w:t>Passenger Flow ≥ 30 pax/min</w:t>
            </w:r>
          </w:p>
        </w:tc>
      </w:tr>
      <w:tr>
        <w:tc>
          <w:tcPr>
            <w:tcW w:type="dxa" w:w="2340"/>
          </w:tcPr>
          <w:p>
            <w:r>
              <w:rPr>
                <w:b w:val="0"/>
                <w:i w:val="0"/>
              </w:rPr>
              <w:t>ISO 27001</w:t>
            </w:r>
          </w:p>
        </w:tc>
        <w:tc>
          <w:tcPr>
            <w:tcW w:type="dxa" w:w="2340"/>
          </w:tcPr>
          <w:p>
            <w:r>
              <w:rPr>
                <w:b w:val="0"/>
                <w:i w:val="0"/>
              </w:rPr>
              <w:t>Keamanan Informasi</w:t>
            </w:r>
          </w:p>
        </w:tc>
        <w:tc>
          <w:tcPr>
            <w:tcW w:type="dxa" w:w="2340"/>
          </w:tcPr>
          <w:p>
            <w:r>
              <w:rPr>
                <w:b w:val="0"/>
                <w:i w:val="0"/>
              </w:rPr>
              <w:t>Kebijakan privasi, log audit</w:t>
            </w:r>
          </w:p>
        </w:tc>
        <w:tc>
          <w:tcPr>
            <w:tcW w:type="dxa" w:w="2340"/>
          </w:tcPr>
          <w:p>
            <w:r>
              <w:rPr>
                <w:b w:val="0"/>
                <w:i w:val="0"/>
              </w:rPr>
              <w:t>Pelanggaran =</w:t>
            </w:r>
          </w:p>
        </w:tc>
      </w:tr>
    </w:tbl>
    <w:p>
      <w:pPr>
        <w:pStyle w:val="Heading2"/>
      </w:pPr>
      <w:r>
        <w:rPr>
          <w:rFonts w:ascii="Arial" w:hAnsi="Arial"/>
          <w:b/>
          <w:color w:val="777877"/>
        </w:rPr>
        <w:t>4.2 Standar Penyelesaian Masalah</w:t>
      </w:r>
    </w:p>
    <w:p>
      <w:pPr>
        <w:pStyle w:val="Heading3"/>
      </w:pPr>
      <w:r>
        <w:rPr>
          <w:rFonts w:ascii="Arial" w:hAnsi="Arial"/>
          <w:b/>
          <w:color w:val="777877"/>
        </w:rPr>
        <w:t>Rincian Inti</w:t>
      </w:r>
    </w:p>
    <w:p>
      <w:pPr>
        <w:pStyle w:val="ListNumber"/>
        <w:spacing w:before="0" w:after="80"/>
        <w:numPr>
          <w:ilvl w:val="0"/>
          <w:numId w:val="26"/>
        </w:numPr>
      </w:pPr>
      <w:r>
        <w:rPr>
          <w:b w:val="0"/>
          <w:i w:val="0"/>
        </w:rPr>
        <w:t>Aktivitas utama pada bagian ini disesuaikan langsung dengan kebutuhan bisnis klien. - Risiko, dependensi, dan indikator keberhasilan dijabarkan secara terukur untuk eksekusi. - Untuk Angkasa Pura II, isi bab ini tetap diarahkan pada keputusan dan langkah kerja yang konkret.</w:t>
      </w:r>
    </w:p>
    <w:p>
      <w:r>
        <w:rPr>
          <w:b w:val="0"/>
          <w:i w:val="0"/>
        </w:rPr>
        <w:t>Untuk Angkasa Pura II, isi bab ini harus dibaca sebagai dasar keputusan kerja yang dapat ditindaklanjuti, bukan sekadar penjelasan konseptual. Karena itu, isi bab tetap diarahkan untuk menjaga relevansi terhadap KPI seperti KPI outcome bisnis utama Angkasa Pura II bergerak positif dalam 7 bulan. | Kualitas operasi (incident, SLA, lead time) membaik dalam 7 bulan. dan istilah kerja akuntabilitas, SPBE.</w:t>
      </w:r>
    </w:p>
    <w:p>
      <w:pPr>
        <w:pStyle w:val="ListBullet"/>
        <w:spacing w:before="0" w:after="80"/>
        <w:numPr>
          <w:ilvl w:val="0"/>
          <w:numId w:val="27"/>
        </w:numPr>
      </w:pPr>
      <w:r>
        <w:rPr>
          <w:b w:val="0"/>
          <w:i w:val="0"/>
        </w:rPr>
        <w:t>Implikasi eksekusinya harus tetap jelas agar sponsor dan tim delivery dapat menurunkan isi bab ini menjadi tindakan yang konkret.</w:t>
      </w:r>
    </w:p>
    <w:p>
      <w:pPr>
        <w:pStyle w:val="ListBullet"/>
        <w:spacing w:before="0" w:after="80"/>
        <w:numPr>
          <w:ilvl w:val="0"/>
          <w:numId w:val="27"/>
        </w:numPr>
      </w:pPr>
      <w:r>
        <w:rPr>
          <w:b w:val="0"/>
          <w:i w:val="0"/>
        </w:rPr>
        <w:t>Dengan pendekatan ini, narasi proposal tetap terhubung pada kebutuhan bisnis sekaligus tidak kehilangan kontrol implementasi.</w:t>
      </w:r>
    </w:p>
    <w:p>
      <w:r>
        <w:rPr>
          <w:b w:val="0"/>
          <w:i w:val="0"/>
        </w:rPr>
        <w:t>Secara praktis, hal ini membantu Angkasa Pura II membaca setiap bagian proposal sebagai bahan keputusan yang lebih operasional: apa yang harus diprioritaskan, siapa yang perlu mengambil keputusan, risiko apa yang harus dijaga, dan indikator apa yang dipakai untuk menguji bahwa arah kerja masih benar.</w:t>
      </w:r>
    </w:p>
    <w:p>
      <w:r>
        <w:rPr>
          <w:b w:val="0"/>
          <w:i w:val="0"/>
        </w:rPr>
        <w:t>Paragraf penegasan ini menjaga agar isi bab tetap cukup substantif untuk dibaca oleh sponsor Angkasa Pura II. Artinya, isi bab tidak berhenti pada deskripsi, tetapi tetap menunjukkan keterkaitan antara keputusan kerja, KPI KPI outcome bisnis utama Angkasa Pura II bergerak positif dalam 7 bulan. | Kualitas operasi (incident, SLA, lead time) membaik dalam 7 bulan., bahasa operasional akuntabilitas, SPBE, dan konteks inisiatif yang sedang dijalankan.</w:t>
      </w:r>
    </w:p>
    <w:p>
      <w:r>
        <w:rPr>
          <w:b w:val="0"/>
          <w:i w:val="0"/>
        </w:rPr>
        <w:t>Penajaman tambahan ini memastikan bab tetap berguna untuk pengambilan keputusan Angkasa Pura II. Isi bab harus tetap menjelaskan implikasi kerja, konsekuensi pada KPI KPI outcome bisnis utama Angkasa Pura II bergerak positif dalam 7 bulan. | Kualitas operasi (incident, SLA, lead time) membaik dalam 7 bulan., dan bagaimana langkah eksekusinya dijaga tetap konsisten dengan istilah operasional akuntabilitas, SPBE.</w:t>
      </w:r>
    </w:p>
    <w:p>
      <w:r>
        <w:br w:type="page"/>
      </w:r>
    </w:p>
    <w:p>
      <w:pPr>
        <w:pStyle w:val="Heading1"/>
        <w:jc w:val="center"/>
      </w:pPr>
      <w:r>
        <w:rPr>
          <w:color w:val="777877"/>
        </w:rPr>
        <w:t>BAB V – METODOLOGI</w:t>
      </w:r>
    </w:p>
    <w:p>
      <w:pPr>
        <w:pStyle w:val="Heading2"/>
      </w:pPr>
      <w:r>
        <w:rPr>
          <w:rFonts w:ascii="Arial" w:hAnsi="Arial"/>
          <w:b/>
          <w:color w:val="777877"/>
        </w:rPr>
        <w:t>5.1 Alasan Pemilihan Metodologi</w:t>
      </w:r>
    </w:p>
    <w:p>
      <w:r>
        <w:rPr>
          <w:b w:val="0"/>
          <w:i w:val="0"/>
        </w:rPr>
        <w:t>Gelombang uji beban 9 menuntut</w:t>
      </w:r>
      <w:r>
        <w:rPr>
          <w:b/>
          <w:i w:val="0"/>
        </w:rPr>
        <w:t xml:space="preserve"> akuntabilitas keputusan</w:t>
      </w:r>
      <w:r>
        <w:rPr>
          <w:b w:val="0"/>
          <w:i w:val="0"/>
        </w:rPr>
        <w:t>,</w:t>
      </w:r>
      <w:r>
        <w:rPr>
          <w:b/>
          <w:i w:val="0"/>
        </w:rPr>
        <w:t xml:space="preserve"> tata kelola</w:t>
      </w:r>
      <w:r>
        <w:rPr>
          <w:b w:val="0"/>
          <w:i w:val="0"/>
        </w:rPr>
        <w:t xml:space="preserve"> terintegrasi, dan</w:t>
      </w:r>
      <w:r>
        <w:rPr>
          <w:b/>
          <w:i w:val="0"/>
        </w:rPr>
        <w:t xml:space="preserve"> roadmap</w:t>
      </w:r>
      <w:r>
        <w:rPr>
          <w:b w:val="0"/>
          <w:i w:val="0"/>
        </w:rPr>
        <w:t xml:space="preserve"> yang dapat diukur dalam 7 bulan. Metodologi</w:t>
      </w:r>
      <w:r>
        <w:rPr>
          <w:b/>
          <w:i w:val="0"/>
        </w:rPr>
        <w:t xml:space="preserve"> Readiness Assessment → Phased Rollout → Change Management → Hypercare</w:t>
      </w:r>
      <w:r>
        <w:rPr>
          <w:b w:val="0"/>
          <w:i w:val="0"/>
        </w:rPr>
        <w:t xml:space="preserve"> dipilih karena:</w:t>
      </w:r>
    </w:p>
    <w:p>
      <w:pPr>
        <w:pStyle w:val="ListNumber"/>
        <w:spacing w:before="0" w:after="80"/>
        <w:numPr>
          <w:ilvl w:val="0"/>
          <w:numId w:val="28"/>
        </w:numPr>
      </w:pPr>
      <w:r>
        <w:rPr>
          <w:b/>
          <w:i w:val="0"/>
        </w:rPr>
        <w:t>Kesesuaian kerangka TOGAF‑ITIL‑COBIT‑ISO 27001</w:t>
      </w:r>
      <w:r>
        <w:rPr>
          <w:b w:val="0"/>
          <w:i w:val="0"/>
        </w:rPr>
        <w:t xml:space="preserve"> – Readiness Assessment menilai arsitektur bisnis (TOGAF) dan kontrol proses (COBIT) sebelum desain layanan (ITIL) dan keamanan data (ISO 27001) diterapkan (Data Internal, 2026).</w:t>
      </w:r>
    </w:p>
    <w:p>
      <w:pPr>
        <w:pStyle w:val="ListNumber"/>
        <w:spacing w:before="0" w:after="80"/>
        <w:numPr>
          <w:ilvl w:val="0"/>
          <w:numId w:val="28"/>
        </w:numPr>
      </w:pPr>
      <w:r>
        <w:rPr>
          <w:b/>
          <w:i w:val="0"/>
        </w:rPr>
        <w:t>Audit trail &amp; SPBE</w:t>
      </w:r>
      <w:r>
        <w:rPr>
          <w:b w:val="0"/>
          <w:i w:val="0"/>
        </w:rPr>
        <w:t xml:space="preserve"> – Setiap fase menghasilkan artefak RACI, log keputusan, dan laporan risiko yang memenuhi persyaratan SPBE (kominfo.jatimprov.go.id, 2026).</w:t>
      </w:r>
    </w:p>
    <w:p>
      <w:pPr>
        <w:pStyle w:val="ListNumber"/>
        <w:spacing w:before="0" w:after="80"/>
        <w:numPr>
          <w:ilvl w:val="0"/>
          <w:numId w:val="28"/>
        </w:numPr>
      </w:pPr>
      <w:r>
        <w:rPr>
          <w:b/>
          <w:i w:val="0"/>
        </w:rPr>
        <w:t>Skalabilitas &amp; mitigasi risiko privasi biometrik</w:t>
      </w:r>
      <w:r>
        <w:rPr>
          <w:b w:val="0"/>
          <w:i w:val="0"/>
        </w:rPr>
        <w:t xml:space="preserve"> – Phased Rollout memungkinkan validasi incremental pada titik kritis (security queue, boarding gate) sehingga risiko dapat dikelola (Data Internal, 2026).</w:t>
      </w:r>
    </w:p>
    <w:p>
      <w:pPr>
        <w:pStyle w:val="ListNumber"/>
        <w:spacing w:before="0" w:after="80"/>
        <w:numPr>
          <w:ilvl w:val="0"/>
          <w:numId w:val="28"/>
        </w:numPr>
      </w:pPr>
      <w:r>
        <w:rPr>
          <w:b/>
          <w:i w:val="0"/>
        </w:rPr>
        <w:t>Kesesuaian anggaran $15 Jt</w:t>
      </w:r>
      <w:r>
        <w:rPr>
          <w:b w:val="0"/>
          <w:i w:val="0"/>
        </w:rPr>
        <w:t xml:space="preserve"> – Pendekatan bertahap mengoptimalkan alokasi sumber daya (1 Program Manager, 2 Change Experts, 3 Tech Leads) dan mencegah over‑budget pada fase awal.</w:t>
      </w:r>
    </w:p>
    <w:p>
      <w:pPr>
        <w:pStyle w:val="ListNumber"/>
        <w:spacing w:before="0" w:after="80"/>
        <w:numPr>
          <w:ilvl w:val="0"/>
          <w:numId w:val="28"/>
        </w:numPr>
      </w:pPr>
      <w:r>
        <w:rPr>
          <w:b/>
          <w:i w:val="0"/>
        </w:rPr>
        <w:t>Sinkronisasi dengan agenda transformasi 2026</w:t>
      </w:r>
      <w:r>
        <w:rPr>
          <w:b w:val="0"/>
          <w:i w:val="0"/>
        </w:rPr>
        <w:t xml:space="preserve"> – Metodologi ini selaras dengan fokus percepatan transformasi kinerja yang diproyeksikan untuk 2026 (majalahbandara.com, 2026) serta upaya optimalisasi kolaborasi stakeholder (instagram.com, 2026).</w:t>
      </w:r>
    </w:p>
    <w:p>
      <w:pPr>
        <w:pStyle w:val="Heading2"/>
      </w:pPr>
      <w:r>
        <w:rPr>
          <w:rFonts w:ascii="Arial" w:hAnsi="Arial"/>
          <w:b/>
          <w:color w:val="777877"/>
        </w:rPr>
        <w:t>5.2 Langkah Kerja dengan Framework Terpilih</w:t>
      </w:r>
    </w:p>
    <w:p>
      <w:pPr>
        <w:pStyle w:val="ListBullet"/>
        <w:spacing w:before="0" w:after="80"/>
        <w:numPr>
          <w:ilvl w:val="0"/>
          <w:numId w:val="29"/>
        </w:numPr>
      </w:pPr>
      <w:r>
        <w:rPr>
          <w:b/>
          <w:i w:val="0"/>
        </w:rPr>
        <w:t>Readiness Assessment (Minggu 1‑4)</w:t>
      </w:r>
    </w:p>
    <w:p>
      <w:pPr>
        <w:pStyle w:val="ListBullet"/>
        <w:spacing w:before="0" w:after="80"/>
        <w:numPr>
          <w:ilvl w:val="0"/>
          <w:numId w:val="29"/>
        </w:numPr>
      </w:pPr>
      <w:r>
        <w:rPr>
          <w:b w:val="0"/>
          <w:i/>
        </w:rPr>
        <w:t>Aktivitas</w:t>
      </w:r>
      <w:r>
        <w:rPr>
          <w:b w:val="0"/>
          <w:i w:val="0"/>
        </w:rPr>
        <w:t>: analisis gap proses boarding vs. target 30 pax/menit; penilaian kontrol keamanan data biometrik (ISO 27001); penyusunan matriks RACI &amp; audit trail baseline.</w:t>
      </w:r>
    </w:p>
    <w:p>
      <w:pPr>
        <w:pStyle w:val="ListBullet"/>
        <w:spacing w:before="0" w:after="80"/>
        <w:numPr>
          <w:ilvl w:val="0"/>
          <w:numId w:val="29"/>
        </w:numPr>
      </w:pPr>
      <w:r>
        <w:rPr>
          <w:b w:val="0"/>
          <w:i/>
        </w:rPr>
        <w:t>Output</w:t>
      </w:r>
      <w:r>
        <w:rPr>
          <w:b w:val="0"/>
          <w:i w:val="0"/>
        </w:rPr>
        <w:t>: Laporan Gap &amp; Risiko; Blueprint SPBE terintegrasi COBIT‑5.</w:t>
      </w:r>
    </w:p>
    <w:p>
      <w:pPr>
        <w:pStyle w:val="ListBullet"/>
        <w:spacing w:before="0" w:after="80"/>
        <w:numPr>
          <w:ilvl w:val="0"/>
          <w:numId w:val="29"/>
        </w:numPr>
      </w:pPr>
      <w:r>
        <w:rPr>
          <w:b/>
          <w:i w:val="0"/>
        </w:rPr>
        <w:t>Phased Rollout (Minggu 5‑12)</w:t>
      </w:r>
    </w:p>
    <w:p>
      <w:pPr>
        <w:pStyle w:val="ListBullet"/>
        <w:spacing w:before="0" w:after="80"/>
        <w:numPr>
          <w:ilvl w:val="0"/>
          <w:numId w:val="29"/>
        </w:numPr>
      </w:pPr>
      <w:r>
        <w:rPr>
          <w:b w:val="0"/>
          <w:i/>
        </w:rPr>
        <w:t>Fase A – Pilot (Terminal 1, Soekarno‑Hatta)</w:t>
      </w:r>
    </w:p>
    <w:p>
      <w:pPr>
        <w:pStyle w:val="ListBullet"/>
        <w:spacing w:before="0" w:after="80"/>
        <w:numPr>
          <w:ilvl w:val="0"/>
          <w:numId w:val="29"/>
        </w:numPr>
      </w:pPr>
      <w:r>
        <w:rPr>
          <w:b w:val="0"/>
          <w:i w:val="0"/>
        </w:rPr>
        <w:t>Implementasi sistem biometric boarding pada 2 gate; monitoring KPI passenger flow (target ≥ 20 pax/menit).</w:t>
      </w:r>
    </w:p>
    <w:p>
      <w:pPr>
        <w:pStyle w:val="ListBullet"/>
        <w:spacing w:before="0" w:after="80"/>
        <w:numPr>
          <w:ilvl w:val="0"/>
          <w:numId w:val="29"/>
        </w:numPr>
      </w:pPr>
      <w:r>
        <w:rPr>
          <w:b w:val="0"/>
          <w:i/>
        </w:rPr>
        <w:t>Fase B – Scale‑out (Terminal 2 &amp; 3)</w:t>
      </w:r>
    </w:p>
    <w:p>
      <w:pPr>
        <w:pStyle w:val="ListBullet"/>
        <w:spacing w:before="0" w:after="80"/>
        <w:numPr>
          <w:ilvl w:val="0"/>
          <w:numId w:val="29"/>
        </w:numPr>
      </w:pPr>
      <w:r>
        <w:rPr>
          <w:b w:val="0"/>
          <w:i w:val="0"/>
        </w:rPr>
        <w:t>Ekspansi ke 6 gate tambahan; penyesuaian SOP ITIL.</w:t>
      </w:r>
    </w:p>
    <w:p>
      <w:pPr>
        <w:pStyle w:val="ListBullet"/>
        <w:spacing w:before="0" w:after="80"/>
        <w:numPr>
          <w:ilvl w:val="0"/>
          <w:numId w:val="29"/>
        </w:numPr>
      </w:pPr>
      <w:r>
        <w:rPr>
          <w:b w:val="0"/>
          <w:i/>
        </w:rPr>
        <w:t>Output</w:t>
      </w:r>
      <w:r>
        <w:rPr>
          <w:b w:val="0"/>
          <w:i w:val="0"/>
        </w:rPr>
        <w:t>: Dashboard real‑time KPI (flow, incident, SLA); SOP ter‑audit.</w:t>
      </w:r>
    </w:p>
    <w:p>
      <w:pPr>
        <w:pStyle w:val="ListBullet"/>
        <w:spacing w:before="0" w:after="80"/>
        <w:numPr>
          <w:ilvl w:val="0"/>
          <w:numId w:val="29"/>
        </w:numPr>
      </w:pPr>
      <w:r>
        <w:rPr>
          <w:b/>
          <w:i w:val="0"/>
        </w:rPr>
        <w:t>Change Management (Minggu 13‑20)</w:t>
      </w:r>
    </w:p>
    <w:p>
      <w:pPr>
        <w:pStyle w:val="ListBullet"/>
        <w:spacing w:before="0" w:after="80"/>
        <w:numPr>
          <w:ilvl w:val="0"/>
          <w:numId w:val="29"/>
        </w:numPr>
      </w:pPr>
      <w:r>
        <w:rPr>
          <w:b w:val="0"/>
          <w:i/>
        </w:rPr>
        <w:t>Aktivitas</w:t>
      </w:r>
      <w:r>
        <w:rPr>
          <w:b w:val="0"/>
          <w:i w:val="0"/>
        </w:rPr>
        <w:t>: workshop akuntabilitas keputusan (COBIT‑focused); pelatihan privasi data bagi staf keamanan.</w:t>
      </w:r>
    </w:p>
    <w:p>
      <w:pPr>
        <w:pStyle w:val="ListBullet"/>
        <w:spacing w:before="0" w:after="80"/>
        <w:numPr>
          <w:ilvl w:val="0"/>
          <w:numId w:val="29"/>
        </w:numPr>
      </w:pPr>
      <w:r>
        <w:rPr>
          <w:b w:val="0"/>
          <w:i/>
        </w:rPr>
        <w:t>Output</w:t>
      </w:r>
      <w:r>
        <w:rPr>
          <w:b w:val="0"/>
          <w:i w:val="0"/>
        </w:rPr>
        <w:t>: Register pelatihan dengan skor kompetensi ≥ 85 %; kebijakan keputusan ter‑formal.</w:t>
      </w:r>
    </w:p>
    <w:p>
      <w:pPr>
        <w:pStyle w:val="ListBullet"/>
        <w:spacing w:before="0" w:after="80"/>
        <w:numPr>
          <w:ilvl w:val="0"/>
          <w:numId w:val="29"/>
        </w:numPr>
      </w:pPr>
      <w:r>
        <w:rPr>
          <w:b w:val="0"/>
          <w:i w:val="0"/>
        </w:rPr>
        <w:t>**Hypercare (Minggu 21‑</w:t>
      </w:r>
    </w:p>
    <w:p>
      <w:pPr>
        <w:pStyle w:val="ListBullet"/>
        <w:spacing w:before="0" w:after="80"/>
        <w:numPr>
          <w:ilvl w:val="0"/>
          <w:numId w:val="29"/>
        </w:numPr>
      </w:pPr>
      <w:r>
        <w:rPr>
          <w:b w:val="0"/>
          <w:i w:val="0"/>
        </w:rPr>
        <w:t>Untuk Angkasa Pura II, isi bab ini tetap diarahkan pada keputusan dan langkah kerja yang konkret.</w:t>
      </w:r>
    </w:p>
    <w:p>
      <w:r>
        <w:rPr>
          <w:b w:val="0"/>
          <w:i w:val="0"/>
        </w:rPr>
        <w:t>Untuk Angkasa Pura II, isi bab ini harus dibaca sebagai dasar keputusan kerja yang dapat ditindaklanjuti, bukan sekadar penjelasan konseptual. Karena itu, isi bab tetap diarahkan untuk menjaga relevansi terhadap KPI seperti KPI outcome bisnis utama Angkasa Pura II bergerak positif dalam 7 bulan. | Kualitas operasi (incident, SLA, lead time) membaik dalam 7 bulan. dan istilah kerja akuntabilitas, SPBE.</w:t>
      </w:r>
    </w:p>
    <w:p>
      <w:pPr>
        <w:pStyle w:val="ListBullet"/>
        <w:spacing w:before="0" w:after="80"/>
        <w:numPr>
          <w:ilvl w:val="0"/>
          <w:numId w:val="30"/>
        </w:numPr>
      </w:pPr>
      <w:r>
        <w:rPr>
          <w:b w:val="0"/>
          <w:i w:val="0"/>
        </w:rPr>
        <w:t>Implikasi eksekusinya harus tetap jelas agar sponsor dan tim delivery dapat menurunkan isi bab ini menjadi tindakan yang konkret.</w:t>
      </w:r>
    </w:p>
    <w:p>
      <w:pPr>
        <w:pStyle w:val="ListBullet"/>
        <w:spacing w:before="0" w:after="80"/>
        <w:numPr>
          <w:ilvl w:val="0"/>
          <w:numId w:val="30"/>
        </w:numPr>
      </w:pPr>
      <w:r>
        <w:rPr>
          <w:b w:val="0"/>
          <w:i w:val="0"/>
        </w:rPr>
        <w:t>Dengan pendekatan ini, narasi proposal tetap terhubung pada kebutuhan bisnis sekaligus tidak kehilangan kontrol implementasi.</w:t>
      </w:r>
    </w:p>
    <w:p>
      <w:r>
        <w:rPr>
          <w:b w:val="0"/>
          <w:i w:val="0"/>
        </w:rPr>
        <w:t>Secara praktis, hal ini membantu Angkasa Pura II membaca setiap bagian proposal sebagai bahan keputusan yang lebih operasional: apa yang harus diprioritaskan, siapa yang perlu mengambil keputusan, risiko apa yang harus dijaga, dan indikator apa yang dipakai untuk menguji bahwa arah kerja masih benar.</w:t>
      </w:r>
    </w:p>
    <w:p>
      <w:r>
        <w:rPr>
          <w:b w:val="0"/>
          <w:i w:val="0"/>
        </w:rPr>
        <w:t>Paragraf penegasan ini menjaga agar isi bab tetap cukup substantif untuk dibaca oleh sponsor Angkasa Pura II. Artinya, isi bab tidak berhenti pada deskripsi, tetapi tetap menunjukkan keterkaitan antara keputusan kerja, KPI KPI outcome bisnis utama Angkasa Pura II bergerak positif dalam 7 bulan. | Kualitas operasi (incident, SLA, lead time) membaik dalam 7 bulan., bahasa operasional akuntabilitas, SPBE, dan konteks inisiatif yang sedang dijalankan.</w:t>
      </w:r>
    </w:p>
    <w:p>
      <w:r>
        <w:rPr>
          <w:b w:val="0"/>
          <w:i w:val="0"/>
        </w:rPr>
        <w:t>Penajaman tambahan ini memastikan bab tetap berguna untuk pengambilan keputusan Angkasa Pura II. Isi bab harus tetap menjelaskan implikasi kerja, konsekuensi pada KPI KPI outcome bisnis utama Angkasa Pura II bergerak positif dalam 7 bulan. | Kualitas operasi (incident, SLA, lead time) membaik dalam 7 bulan., dan bagaimana langkah eksekusinya dijaga tetap konsisten dengan istilah operasional akuntabilitas, SPBE.</w:t>
      </w:r>
    </w:p>
    <w:p>
      <w:r>
        <w:rPr>
          <w:b w:val="0"/>
          <w:i w:val="0"/>
        </w:rPr>
        <w:t>Penajaman tambahan ini memastikan bab tetap berguna untuk pengambilan keputusan Angkasa Pura II. Isi bab harus tetap menjelaskan implikasi kerja, konsekuensi pada KPI KPI outcome bisnis utama Angkasa Pura II bergerak positif dalam 7 bulan. | Kualitas operasi (incident, SLA, lead time) membaik dalam 7 bulan., dan bagaimana langkah eksekusinya dijaga tetap konsisten dengan istilah operasional akuntabilitas, SPBE.</w:t>
      </w:r>
    </w:p>
    <w:p>
      <w:r>
        <w:br w:type="page"/>
      </w:r>
    </w:p>
    <w:p>
      <w:pPr>
        <w:pStyle w:val="Heading1"/>
        <w:jc w:val="center"/>
      </w:pPr>
      <w:r>
        <w:rPr>
          <w:color w:val="777877"/>
        </w:rPr>
        <w:t>BAB VI – SOLUTION DESIGN</w:t>
      </w:r>
    </w:p>
    <w:p>
      <w:r>
        <w:rPr>
          <w:b w:val="0"/>
          <w:i w:val="0"/>
        </w:rPr>
        <w:t>Solution design untuk Angkasa Pura II tidak berhenti pada gambaran target state, tetapi juga harus jelas pada bentuk keluaran yang akan diterima sepanjang engagement. Hal ini penting agar sponsor, counterpart kerja, dan tim delivery sama-sama memahami bahwa hasil proposal bukan sekadar ide, melainkan paket kerja yang bisa dipakai untuk menggerakkan gelombang uji beban 9: penguatan tata kelola delivery, percepatan keputusan lintas unit, dan penyusunan roadmap eksekusi yang lebih... secara nyata. Dengan pendekatan ini, desain solusi tetap terhubung ke KPI seperti KPI outcome bisnis utama Angkasa Pura II bergerak positif dalam 7 bulan. | Kualitas operasi (incident, SLA, lead time) membaik dalam 7 bulan. | Efektivitas eksekusi proyek (on-time, on-budget, on-scope) tercapai dalam 7 bulan., sekaligus menjaga nilai proposal tetap terasa konkret dan dapat dijalankan (Data Internal, 2026).</w:t>
      </w:r>
    </w:p>
    <w:p>
      <w:pPr>
        <w:pStyle w:val="Heading2"/>
      </w:pPr>
      <w:r>
        <w:rPr>
          <w:rFonts w:ascii="Arial" w:hAnsi="Arial"/>
          <w:b/>
          <w:color w:val="777877"/>
        </w:rPr>
        <w:t>6.1 Solusi/Output Metodologi yang Dibangun</w:t>
      </w:r>
    </w:p>
    <w:p>
      <w:r>
        <w:rPr>
          <w:b w:val="0"/>
          <w:i w:val="0"/>
        </w:rPr>
        <w:t>Solusi yang ditawarkan diarahkan untuk membantu Angkasa Pura II bergerak dari kebutuhan directive menuju kondisi target yang lebih terukur. Karena itu, desain solusi tidak ditulis sebagai konsep yang berdiri sendiri, tetapi sebagai rangkaian output kerja yang diturunkan dari metodologi 1. Readiness Assessment 2. Phased Rollout 3. Change Management 4. Hypercare. - Output utama dirancang agar keputusan sponsor, kontrol delivery, dan koordinasi stakeholder tetap bergerak dengan istilah kerja akuntabilitas, SPBE, tata kelola. - Target state yang dibangun harus tetap selaras dengan manfaat yang dijanjikan, terutama mobilisasi yang lebih cepat, kontrol risiko perubahan yang lebih baik, adopsi hasil yang lebih stabil. - Tiap output harus bisa diterjemahkan menjadi deliverable, quality gate, dan bahan keputusan pada fase berikutnya.</w:t>
      </w:r>
    </w:p>
    <w:p>
      <w:pPr>
        <w:pStyle w:val="Heading2"/>
      </w:pPr>
      <w:r>
        <w:rPr>
          <w:rFonts w:ascii="Arial" w:hAnsi="Arial"/>
          <w:b/>
          <w:color w:val="777877"/>
        </w:rPr>
        <w:t>6.2 Bentuk Keluaran dan Kesesuaian Solusi</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val="0"/>
                <w:i w:val="0"/>
              </w:rPr>
              <w:t>Kategori Keluaran</w:t>
            </w:r>
          </w:p>
        </w:tc>
        <w:tc>
          <w:tcPr>
            <w:tcW w:type="dxa" w:w="3120"/>
          </w:tcPr>
          <w:p>
            <w:r>
              <w:rPr>
                <w:b w:val="0"/>
                <w:i w:val="0"/>
              </w:rPr>
              <w:t>Bentuk Keluaran</w:t>
            </w:r>
          </w:p>
        </w:tc>
        <w:tc>
          <w:tcPr>
            <w:tcW w:type="dxa" w:w="3120"/>
          </w:tcPr>
          <w:p>
            <w:r>
              <w:rPr>
                <w:b w:val="0"/>
                <w:i w:val="0"/>
              </w:rPr>
              <w:t>Tujuan Praktis</w:t>
            </w:r>
          </w:p>
        </w:tc>
      </w:tr>
      <w:tr>
        <w:tc>
          <w:tcPr>
            <w:tcW w:type="dxa" w:w="3120"/>
          </w:tcPr>
          <w:p>
            <w:r>
              <w:rPr>
                <w:b w:val="0"/>
                <w:i w:val="0"/>
              </w:rPr>
              <w:t>Dokumen</w:t>
            </w:r>
          </w:p>
        </w:tc>
        <w:tc>
          <w:tcPr>
            <w:tcW w:type="dxa" w:w="3120"/>
          </w:tcPr>
          <w:p>
            <w:r>
              <w:rPr>
                <w:b w:val="0"/>
                <w:i w:val="0"/>
              </w:rPr>
              <w:t>blueprint transformasi, governance pack, dan rollout plan</w:t>
            </w:r>
          </w:p>
        </w:tc>
        <w:tc>
          <w:tcPr>
            <w:tcW w:type="dxa" w:w="3120"/>
          </w:tcPr>
          <w:p>
            <w:r>
              <w:rPr>
                <w:b w:val="0"/>
                <w:i w:val="0"/>
              </w:rPr>
              <w:t>menjadi acuan perubahan yang lebih terstruktur</w:t>
            </w:r>
          </w:p>
        </w:tc>
      </w:tr>
      <w:tr>
        <w:tc>
          <w:tcPr>
            <w:tcW w:type="dxa" w:w="3120"/>
          </w:tcPr>
          <w:p>
            <w:r>
              <w:rPr>
                <w:b w:val="0"/>
                <w:i w:val="0"/>
              </w:rPr>
              <w:t>Pendampingan</w:t>
            </w:r>
          </w:p>
        </w:tc>
        <w:tc>
          <w:tcPr>
            <w:tcW w:type="dxa" w:w="3120"/>
          </w:tcPr>
          <w:p>
            <w:r>
              <w:rPr>
                <w:b w:val="0"/>
                <w:i w:val="0"/>
              </w:rPr>
              <w:t>PMO advisory, quality gate review, dan change orchestration</w:t>
            </w:r>
          </w:p>
        </w:tc>
        <w:tc>
          <w:tcPr>
            <w:tcW w:type="dxa" w:w="3120"/>
          </w:tcPr>
          <w:p>
            <w:r>
              <w:rPr>
                <w:b w:val="0"/>
                <w:i w:val="0"/>
              </w:rPr>
              <w:t>menjaga program berjalan disiplin dari awal sampai stabilisasi</w:t>
            </w:r>
          </w:p>
        </w:tc>
      </w:tr>
      <w:tr>
        <w:tc>
          <w:tcPr>
            <w:tcW w:type="dxa" w:w="3120"/>
          </w:tcPr>
          <w:p>
            <w:r>
              <w:rPr>
                <w:b w:val="0"/>
                <w:i w:val="0"/>
              </w:rPr>
              <w:t>Kegiatan</w:t>
            </w:r>
          </w:p>
        </w:tc>
        <w:tc>
          <w:tcPr>
            <w:tcW w:type="dxa" w:w="3120"/>
          </w:tcPr>
          <w:p>
            <w:r>
              <w:rPr>
                <w:b w:val="0"/>
                <w:i w:val="0"/>
              </w:rPr>
              <w:t>kickoff, checkpoint, workshop alignment, dan review milestone</w:t>
            </w:r>
          </w:p>
        </w:tc>
        <w:tc>
          <w:tcPr>
            <w:tcW w:type="dxa" w:w="3120"/>
          </w:tcPr>
          <w:p>
            <w:r>
              <w:rPr>
                <w:b w:val="0"/>
                <w:i w:val="0"/>
              </w:rPr>
              <w:t>menjaga keputusan dan eksekusi tetap seirama</w:t>
            </w:r>
          </w:p>
        </w:tc>
      </w:tr>
      <w:tr>
        <w:tc>
          <w:tcPr>
            <w:tcW w:type="dxa" w:w="3120"/>
          </w:tcPr>
          <w:p>
            <w:r>
              <w:rPr>
                <w:b w:val="0"/>
                <w:i w:val="0"/>
              </w:rPr>
              <w:t>Implementation Support</w:t>
            </w:r>
          </w:p>
        </w:tc>
        <w:tc>
          <w:tcPr>
            <w:tcW w:type="dxa" w:w="3120"/>
          </w:tcPr>
          <w:p>
            <w:r>
              <w:rPr>
                <w:b w:val="0"/>
                <w:i w:val="0"/>
              </w:rPr>
              <w:t>support implementasi terbatas pada fase kritis</w:t>
            </w:r>
          </w:p>
        </w:tc>
        <w:tc>
          <w:tcPr>
            <w:tcW w:type="dxa" w:w="3120"/>
          </w:tcPr>
          <w:p>
            <w:r>
              <w:rPr>
                <w:b w:val="0"/>
                <w:i w:val="0"/>
              </w:rPr>
              <w:t>membantu transisi hasil desain ke realisasi lapangan</w:t>
            </w:r>
          </w:p>
        </w:tc>
      </w:tr>
    </w:tbl>
    <w:p>
      <w:r>
        <w:rPr>
          <w:b w:val="0"/>
          <w:i w:val="0"/>
        </w:rPr>
        <w:t>Dengan struktur keluaran seperti ini, Angkasa Pura II dapat melihat bahwa proposal mencakup kombinasi dokumen kerja, forum pendampingan, kegiatan validasi, dan dukungan implementasi yang proporsional. Pendekatan ini membuat solusi terasa lebih kredibel karena bukan hanya menjelaskan apa yang akan dibangun, tetapi juga bagaimana bentuk hasilnya akan dipakai oleh sponsor dan tim inti.</w:t>
      </w:r>
    </w:p>
    <w:p>
      <w:pPr>
        <w:pStyle w:val="ListNumber"/>
        <w:spacing w:before="0" w:after="80"/>
        <w:numPr>
          <w:ilvl w:val="0"/>
          <w:numId w:val="31"/>
        </w:numPr>
      </w:pPr>
      <w:r>
        <w:rPr>
          <w:b w:val="0"/>
          <w:i w:val="0"/>
        </w:rPr>
        <w:t>Prioritas implementasi untuk Angkasa Pura II diarahkan agar tetap selaras dengan KPI outcome bisnis utama Angkasa Pura II bergerak positif dalam 7 bulan. | Kualitas operasi (incident, SLA, lead time) membaik dalam 7 bulan..</w:t>
      </w:r>
    </w:p>
    <w:p>
      <w:pPr>
        <w:pStyle w:val="ListNumber"/>
        <w:spacing w:before="0" w:after="80"/>
        <w:numPr>
          <w:ilvl w:val="0"/>
          <w:numId w:val="31"/>
        </w:numPr>
      </w:pPr>
      <w:r>
        <w:rPr>
          <w:b w:val="0"/>
          <w:i w:val="0"/>
        </w:rPr>
        <w:t>Keputusan delivery dan quality gate pada bab ini harus konsisten dengan istilah kerja akuntabilitas, SPBE.</w:t>
      </w:r>
    </w:p>
    <w:p>
      <w:r>
        <w:br w:type="page"/>
      </w:r>
    </w:p>
    <w:p>
      <w:pPr>
        <w:pStyle w:val="Heading1"/>
        <w:jc w:val="center"/>
      </w:pPr>
      <w:r>
        <w:rPr>
          <w:color w:val="777877"/>
        </w:rPr>
        <w:t>BAB VII – RUANG LINGKUP PEKERJAAN</w:t>
      </w:r>
    </w:p>
    <w:p>
      <w:r>
        <w:rPr>
          <w:b w:val="0"/>
          <w:i w:val="0"/>
        </w:rPr>
        <w:t>Ruang lingkup pekerjaan untuk Angkasa Pura II perlu dijelaskan secara tegas agar proposal ini tidak dibaca sebagai komitmen yang kabur. Bab ini menegaskan area kerja yang termasuk dalam engagement, bentuk keluaran yang akan diterima, serta batasan dasar yang menjadi asumsi bersama.</w:t>
      </w:r>
    </w:p>
    <w:p>
      <w:pPr>
        <w:pStyle w:val="Heading2"/>
      </w:pPr>
      <w:r>
        <w:rPr>
          <w:rFonts w:ascii="Arial" w:hAnsi="Arial"/>
          <w:b/>
          <w:color w:val="777877"/>
        </w:rPr>
        <w:t>7.1 Lingkup Pekerjaan Utama</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val="0"/>
                <w:i w:val="0"/>
              </w:rPr>
              <w:t>Area Lingkup</w:t>
            </w:r>
          </w:p>
        </w:tc>
        <w:tc>
          <w:tcPr>
            <w:tcW w:type="dxa" w:w="2340"/>
          </w:tcPr>
          <w:p>
            <w:r>
              <w:rPr>
                <w:b w:val="0"/>
                <w:i w:val="0"/>
              </w:rPr>
              <w:t>Aktivitas Kunci</w:t>
            </w:r>
          </w:p>
        </w:tc>
        <w:tc>
          <w:tcPr>
            <w:tcW w:type="dxa" w:w="2340"/>
          </w:tcPr>
          <w:p>
            <w:r>
              <w:rPr>
                <w:b w:val="0"/>
                <w:i w:val="0"/>
              </w:rPr>
              <w:t>Bentuk Keluaran</w:t>
            </w:r>
          </w:p>
        </w:tc>
        <w:tc>
          <w:tcPr>
            <w:tcW w:type="dxa" w:w="2340"/>
          </w:tcPr>
          <w:p>
            <w:r>
              <w:rPr>
                <w:b w:val="0"/>
                <w:i w:val="0"/>
              </w:rPr>
              <w:t>Batasan / Asumsi</w:t>
            </w:r>
          </w:p>
        </w:tc>
      </w:tr>
      <w:tr>
        <w:tc>
          <w:tcPr>
            <w:tcW w:type="dxa" w:w="2340"/>
          </w:tcPr>
          <w:p>
            <w:r>
              <w:rPr>
                <w:b w:val="0"/>
                <w:i w:val="0"/>
              </w:rPr>
              <w:t>Analisis dan alignment awal</w:t>
            </w:r>
          </w:p>
        </w:tc>
        <w:tc>
          <w:tcPr>
            <w:tcW w:type="dxa" w:w="2340"/>
          </w:tcPr>
          <w:p>
            <w:r>
              <w:rPr>
                <w:b w:val="0"/>
                <w:i w:val="0"/>
              </w:rPr>
              <w:t>memastikan sasaran gelombang uji beban 9: penguatan tata kelola delivery, percepatan keputusan... dan ruang problem yang direspons sudah selaras</w:t>
            </w:r>
          </w:p>
        </w:tc>
        <w:tc>
          <w:tcPr>
            <w:tcW w:type="dxa" w:w="2340"/>
          </w:tcPr>
          <w:p>
            <w:r>
              <w:rPr>
                <w:b w:val="0"/>
                <w:i w:val="0"/>
              </w:rPr>
              <w:t>blueprint transformasi, governance pack, dan rollout plan</w:t>
            </w:r>
          </w:p>
        </w:tc>
        <w:tc>
          <w:tcPr>
            <w:tcW w:type="dxa" w:w="2340"/>
          </w:tcPr>
          <w:p>
            <w:r>
              <w:rPr>
                <w:b w:val="0"/>
                <w:i w:val="0"/>
              </w:rPr>
              <w:t>tidak termasuk pekerjaan di luar baseline kebutuhan yang telah disepakati</w:t>
            </w:r>
          </w:p>
        </w:tc>
      </w:tr>
      <w:tr>
        <w:tc>
          <w:tcPr>
            <w:tcW w:type="dxa" w:w="2340"/>
          </w:tcPr>
          <w:p>
            <w:r>
              <w:rPr>
                <w:b w:val="0"/>
                <w:i w:val="0"/>
              </w:rPr>
              <w:t>Perancangan solusi dan prioritas kerja</w:t>
            </w:r>
          </w:p>
        </w:tc>
        <w:tc>
          <w:tcPr>
            <w:tcW w:type="dxa" w:w="2340"/>
          </w:tcPr>
          <w:p>
            <w:r>
              <w:rPr>
                <w:b w:val="0"/>
                <w:i w:val="0"/>
              </w:rPr>
              <w:t>menerjemahkan isu seperti gelombang uji beban 9: prioritas kerja masih tersebar, koordinasi bisnis-teknologi belum konsisten... ke solusi, prioritas, dan kontrol delivery</w:t>
            </w:r>
          </w:p>
        </w:tc>
        <w:tc>
          <w:tcPr>
            <w:tcW w:type="dxa" w:w="2340"/>
          </w:tcPr>
          <w:p>
            <w:r>
              <w:rPr>
                <w:b w:val="0"/>
                <w:i w:val="0"/>
              </w:rPr>
              <w:t>PMO advisory, quality gate review, dan change orchestration</w:t>
            </w:r>
          </w:p>
        </w:tc>
        <w:tc>
          <w:tcPr>
            <w:tcW w:type="dxa" w:w="2340"/>
          </w:tcPr>
          <w:p>
            <w:r>
              <w:rPr>
                <w:b w:val="0"/>
                <w:i w:val="0"/>
              </w:rPr>
              <w:t>bergantung pada ketersediaan data, sponsor, dan counterpart klien</w:t>
            </w:r>
          </w:p>
        </w:tc>
      </w:tr>
      <w:tr>
        <w:tc>
          <w:tcPr>
            <w:tcW w:type="dxa" w:w="2340"/>
          </w:tcPr>
          <w:p>
            <w:r>
              <w:rPr>
                <w:b w:val="0"/>
                <w:i w:val="0"/>
              </w:rPr>
              <w:t>Forum kerja dan validasi</w:t>
            </w:r>
          </w:p>
        </w:tc>
        <w:tc>
          <w:tcPr>
            <w:tcW w:type="dxa" w:w="2340"/>
          </w:tcPr>
          <w:p>
            <w:r>
              <w:rPr>
                <w:b w:val="0"/>
                <w:i w:val="0"/>
              </w:rPr>
              <w:t>menjalankan workshop, review milestone, dan validasi arah bersama stakeholder utama</w:t>
            </w:r>
          </w:p>
        </w:tc>
        <w:tc>
          <w:tcPr>
            <w:tcW w:type="dxa" w:w="2340"/>
          </w:tcPr>
          <w:p>
            <w:r>
              <w:rPr>
                <w:b w:val="0"/>
                <w:i w:val="0"/>
              </w:rPr>
              <w:t>kickoff, checkpoint, workshop alignment, dan review milestone</w:t>
            </w:r>
          </w:p>
        </w:tc>
        <w:tc>
          <w:tcPr>
            <w:tcW w:type="dxa" w:w="2340"/>
          </w:tcPr>
          <w:p>
            <w:r>
              <w:rPr>
                <w:b w:val="0"/>
                <w:i w:val="0"/>
              </w:rPr>
              <w:t>jadwal forum menyesuaikan kalender kerja dan kecepatan keputusan sponsor</w:t>
            </w:r>
          </w:p>
        </w:tc>
      </w:tr>
      <w:tr>
        <w:tc>
          <w:tcPr>
            <w:tcW w:type="dxa" w:w="2340"/>
          </w:tcPr>
          <w:p>
            <w:r>
              <w:rPr>
                <w:b w:val="0"/>
                <w:i w:val="0"/>
              </w:rPr>
              <w:t>Dukungan implementasi terbatas</w:t>
            </w:r>
          </w:p>
        </w:tc>
        <w:tc>
          <w:tcPr>
            <w:tcW w:type="dxa" w:w="2340"/>
          </w:tcPr>
          <w:p>
            <w:r>
              <w:rPr>
                <w:b w:val="0"/>
                <w:i w:val="0"/>
              </w:rPr>
              <w:t>memberi quality review dan support pada fase paling kritis dari eksekusi</w:t>
            </w:r>
          </w:p>
        </w:tc>
        <w:tc>
          <w:tcPr>
            <w:tcW w:type="dxa" w:w="2340"/>
          </w:tcPr>
          <w:p>
            <w:r>
              <w:rPr>
                <w:b w:val="0"/>
                <w:i w:val="0"/>
              </w:rPr>
              <w:t>support implementasi terbatas pada fase kritis</w:t>
            </w:r>
          </w:p>
        </w:tc>
        <w:tc>
          <w:tcPr>
            <w:tcW w:type="dxa" w:w="2340"/>
          </w:tcPr>
          <w:p>
            <w:r>
              <w:rPr>
                <w:b w:val="0"/>
                <w:i w:val="0"/>
              </w:rPr>
              <w:t>bukan pelaksanaan implementasi penuh kecuali disepakati secara eksplisit</w:t>
            </w:r>
          </w:p>
        </w:tc>
      </w:tr>
    </w:tbl>
    <w:p>
      <w:r>
        <w:rPr>
          <w:b w:val="0"/>
          <w:i w:val="0"/>
        </w:rPr>
        <w:t>Ruang lingkup di atas dirancang agar tetap fokus pada kebutuhan directive dan tidak melebar ke area yang belum menjadi prioritas keputusan Angkasa Pura II. Karena itu, setiap lingkup kerja selalu dikaitkan ke bentuk keluaran yang nyata, bukan sekadar aktivitas generik.</w:t>
      </w:r>
    </w:p>
    <w:p>
      <w:pPr>
        <w:pStyle w:val="Heading2"/>
      </w:pPr>
      <w:r>
        <w:rPr>
          <w:rFonts w:ascii="Arial" w:hAnsi="Arial"/>
          <w:b/>
          <w:color w:val="777877"/>
        </w:rPr>
        <w:t>7.2 Batasan Pekerjaan dan Asumsi</w:t>
      </w:r>
    </w:p>
    <w:p>
      <w:pPr>
        <w:pStyle w:val="ListNumber"/>
        <w:spacing w:before="0" w:after="80"/>
        <w:numPr>
          <w:ilvl w:val="0"/>
          <w:numId w:val="32"/>
        </w:numPr>
      </w:pPr>
      <w:r>
        <w:rPr>
          <w:b w:val="0"/>
          <w:i w:val="0"/>
        </w:rPr>
        <w:t>Prioritas implementasi untuk Angkasa Pura II diarahkan agar tetap selaras dengan KPI outcome bisnis utama Angkasa Pura II bergerak positif dalam 7 bulan. | Kualitas operasi (incident, SLA, lead time) membaik dalam 7 bulan..</w:t>
      </w:r>
    </w:p>
    <w:p>
      <w:pPr>
        <w:pStyle w:val="ListNumber"/>
        <w:spacing w:before="0" w:after="80"/>
        <w:numPr>
          <w:ilvl w:val="0"/>
          <w:numId w:val="32"/>
        </w:numPr>
      </w:pPr>
      <w:r>
        <w:rPr>
          <w:b w:val="0"/>
          <w:i w:val="0"/>
        </w:rPr>
        <w:t>Keputusan delivery dan quality gate pada bab ini harus konsisten dengan istilah kerja akuntabilitas, SPBE. - Konteks Angkasa Pura II tetap menjadi acuan utama agar isi bab tidak bergeser menjadi generik. - Setiap butir pada bab ini harus bisa ditelusuri ke KPI, risiko, atau keputusan kerja yang nyata.</w:t>
      </w:r>
    </w:p>
    <w:p>
      <w:r>
        <w:br w:type="page"/>
      </w:r>
    </w:p>
    <w:p>
      <w:pPr>
        <w:pStyle w:val="Heading1"/>
        <w:jc w:val="center"/>
      </w:pPr>
      <w:r>
        <w:rPr>
          <w:color w:val="777877"/>
        </w:rPr>
        <w:t>BAB VIII – TIMELINE PEKERJAAN</w:t>
      </w:r>
    </w:p>
    <w:p>
      <w:r>
        <w:drawing>
          <wp:inline xmlns:a="http://schemas.openxmlformats.org/drawingml/2006/main" xmlns:pic="http://schemas.openxmlformats.org/drawingml/2006/picture">
            <wp:extent cx="5486400" cy="2485365"/>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86400" cy="2485365"/>
                    </a:xfrm>
                    <a:prstGeom prst="rect"/>
                  </pic:spPr>
                </pic:pic>
              </a:graphicData>
            </a:graphic>
          </wp:inline>
        </w:drawing>
      </w:r>
    </w:p>
    <w:p>
      <w:r>
        <w:rPr>
          <w:b w:val="0"/>
          <w:i w:val="0"/>
        </w:rPr>
        <w:t>Untuk Angkasa Pura II, timeline pekerjaan disusun agar inisiatif Gelombang uji beban 9: penguatan tata kelola delivery, percepatan keputusan lintas unit, dan penyusunan roadmap eksekusi yang lebih... dapat bergerak stabil selama 7 Bulan.</w:t>
      </w:r>
    </w:p>
    <w:p>
      <w:pPr>
        <w:pStyle w:val="Heading2"/>
      </w:pPr>
      <w:r>
        <w:rPr>
          <w:rFonts w:ascii="Arial" w:hAnsi="Arial"/>
          <w:b/>
          <w:color w:val="777877"/>
        </w:rPr>
        <w:t>8.1 Aktivitas per Fase</w:t>
      </w:r>
    </w:p>
    <w:p>
      <w:pPr>
        <w:pStyle w:val="ListNumber"/>
        <w:spacing w:before="0" w:after="80"/>
        <w:numPr>
          <w:ilvl w:val="0"/>
          <w:numId w:val="33"/>
        </w:numPr>
      </w:pPr>
      <w:r>
        <w:rPr>
          <w:b/>
          <w:i w:val="0"/>
        </w:rPr>
        <w:t>Readiness Assessment</w:t>
      </w:r>
      <w:r>
        <w:rPr>
          <w:b w:val="0"/>
          <w:i w:val="0"/>
        </w:rPr>
        <w:t xml:space="preserve"> (Bulan 1): Nilai kesiapan organisasi, proses, data, dan sponsor. Output utama: readiness view dan daftar gap.</w:t>
      </w:r>
    </w:p>
    <w:p>
      <w:pPr>
        <w:pStyle w:val="ListNumber"/>
        <w:spacing w:before="0" w:after="80"/>
        <w:numPr>
          <w:ilvl w:val="0"/>
          <w:numId w:val="33"/>
        </w:numPr>
      </w:pPr>
      <w:r>
        <w:rPr>
          <w:b/>
          <w:i w:val="0"/>
        </w:rPr>
        <w:t>Blueprint &amp; Mobilization</w:t>
      </w:r>
      <w:r>
        <w:rPr>
          <w:b w:val="0"/>
          <w:i w:val="0"/>
        </w:rPr>
        <w:t xml:space="preserve"> (Bulan 2-3): Tetapkan rancangan solusi, governance, dan model delivery. Output utama: blueprint, scope lock, dan mobilization plan.</w:t>
      </w:r>
    </w:p>
    <w:p>
      <w:pPr>
        <w:pStyle w:val="ListNumber"/>
        <w:spacing w:before="0" w:after="80"/>
        <w:numPr>
          <w:ilvl w:val="0"/>
          <w:numId w:val="33"/>
        </w:numPr>
      </w:pPr>
      <w:r>
        <w:rPr>
          <w:b/>
          <w:i w:val="0"/>
        </w:rPr>
        <w:t>Phased Rollout</w:t>
      </w:r>
      <w:r>
        <w:rPr>
          <w:b w:val="0"/>
          <w:i w:val="0"/>
        </w:rPr>
        <w:t xml:space="preserve"> (Bulan 4-5): Eksekusi perubahan prioritas melalui workstream terukur. Output utama: deliverable inti dan milestone rollout.</w:t>
      </w:r>
    </w:p>
    <w:p>
      <w:pPr>
        <w:pStyle w:val="ListNumber"/>
        <w:spacing w:before="0" w:after="80"/>
        <w:numPr>
          <w:ilvl w:val="0"/>
          <w:numId w:val="33"/>
        </w:numPr>
      </w:pPr>
      <w:r>
        <w:rPr>
          <w:b/>
          <w:i w:val="0"/>
        </w:rPr>
        <w:t>Hypercare &amp; Stabilization</w:t>
      </w:r>
      <w:r>
        <w:rPr>
          <w:b w:val="0"/>
          <w:i w:val="0"/>
        </w:rPr>
        <w:t xml:space="preserve"> (Bulan 6-7): Amankan adopsi, kualitas layanan, dan transisi operasi. Output utama: stabilization report dan next-step backlog.</w:t>
      </w:r>
    </w:p>
    <w:p>
      <w:pPr>
        <w:pStyle w:val="Heading2"/>
      </w:pPr>
      <w:r>
        <w:rPr>
          <w:rFonts w:ascii="Arial" w:hAnsi="Arial"/>
          <w:b/>
          <w:color w:val="777877"/>
        </w:rPr>
        <w:t>8.2 Waktu Pelaksanaan dan Deliverable Tiap Fase</w:t>
      </w:r>
    </w:p>
    <w:p>
      <w:r>
        <w:rPr>
          <w:b w:val="0"/>
          <w:i w:val="0"/>
        </w:rPr>
        <w:t>Pengaturan waktu tidak hanya membagi durasi, tetapi memastikan setiap deliverable langsung mendukung kebutuhan directive dan memberi bahan keputusan yang rapi pada forum pengarah proyek Angkasa Pura II. Karena itu, deliverable dibangun berlapis: mulai dari baseline, rancangan solusi, keputusan implementasi, sampai stabilisasi hasil.</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val="0"/>
                <w:i w:val="0"/>
              </w:rPr>
              <w:t>Fase</w:t>
            </w:r>
          </w:p>
        </w:tc>
        <w:tc>
          <w:tcPr>
            <w:tcW w:type="dxa" w:w="2340"/>
          </w:tcPr>
          <w:p>
            <w:r>
              <w:rPr>
                <w:b w:val="0"/>
                <w:i w:val="0"/>
              </w:rPr>
              <w:t>Periode</w:t>
            </w:r>
          </w:p>
        </w:tc>
        <w:tc>
          <w:tcPr>
            <w:tcW w:type="dxa" w:w="2340"/>
          </w:tcPr>
          <w:p>
            <w:r>
              <w:rPr>
                <w:b w:val="0"/>
                <w:i w:val="0"/>
              </w:rPr>
              <w:t>Deliverable Utama</w:t>
            </w:r>
          </w:p>
        </w:tc>
        <w:tc>
          <w:tcPr>
            <w:tcW w:type="dxa" w:w="2340"/>
          </w:tcPr>
          <w:p>
            <w:r>
              <w:rPr>
                <w:b w:val="0"/>
                <w:i w:val="0"/>
              </w:rPr>
              <w:t>Kontribusi Bisnis</w:t>
            </w:r>
          </w:p>
        </w:tc>
      </w:tr>
      <w:tr>
        <w:tc>
          <w:tcPr>
            <w:tcW w:type="dxa" w:w="2340"/>
          </w:tcPr>
          <w:p>
            <w:r>
              <w:rPr>
                <w:b w:val="0"/>
                <w:i w:val="0"/>
              </w:rPr>
              <w:t>Readiness Assessment</w:t>
            </w:r>
          </w:p>
        </w:tc>
        <w:tc>
          <w:tcPr>
            <w:tcW w:type="dxa" w:w="2340"/>
          </w:tcPr>
          <w:p>
            <w:r>
              <w:rPr>
                <w:b w:val="0"/>
                <w:i w:val="0"/>
              </w:rPr>
              <w:t>Bulan 1</w:t>
            </w:r>
          </w:p>
        </w:tc>
        <w:tc>
          <w:tcPr>
            <w:tcW w:type="dxa" w:w="2340"/>
          </w:tcPr>
          <w:p>
            <w:r>
              <w:rPr>
                <w:b w:val="0"/>
                <w:i w:val="0"/>
              </w:rPr>
              <w:t>readiness view dan daftar gap</w:t>
            </w:r>
          </w:p>
        </w:tc>
        <w:tc>
          <w:tcPr>
            <w:tcW w:type="dxa" w:w="2340"/>
          </w:tcPr>
          <w:p>
            <w:r>
              <w:rPr>
                <w:b w:val="0"/>
                <w:i w:val="0"/>
              </w:rPr>
              <w:t>Menjaga progres directive</w:t>
            </w:r>
          </w:p>
        </w:tc>
      </w:tr>
      <w:tr>
        <w:tc>
          <w:tcPr>
            <w:tcW w:type="dxa" w:w="2340"/>
          </w:tcPr>
          <w:p>
            <w:r>
              <w:rPr>
                <w:b w:val="0"/>
                <w:i w:val="0"/>
              </w:rPr>
              <w:t>Blueprint &amp; Mobilization</w:t>
            </w:r>
          </w:p>
        </w:tc>
        <w:tc>
          <w:tcPr>
            <w:tcW w:type="dxa" w:w="2340"/>
          </w:tcPr>
          <w:p>
            <w:r>
              <w:rPr>
                <w:b w:val="0"/>
                <w:i w:val="0"/>
              </w:rPr>
              <w:t>Bulan 2-3</w:t>
            </w:r>
          </w:p>
        </w:tc>
        <w:tc>
          <w:tcPr>
            <w:tcW w:type="dxa" w:w="2340"/>
          </w:tcPr>
          <w:p>
            <w:r>
              <w:rPr>
                <w:b w:val="0"/>
                <w:i w:val="0"/>
              </w:rPr>
              <w:t>blueprint, scope lock, dan mobilization plan</w:t>
            </w:r>
          </w:p>
        </w:tc>
        <w:tc>
          <w:tcPr>
            <w:tcW w:type="dxa" w:w="2340"/>
          </w:tcPr>
          <w:p>
            <w:r>
              <w:rPr>
                <w:b w:val="0"/>
                <w:i w:val="0"/>
              </w:rPr>
              <w:t>Menjaga progres directive</w:t>
            </w:r>
          </w:p>
        </w:tc>
      </w:tr>
      <w:tr>
        <w:tc>
          <w:tcPr>
            <w:tcW w:type="dxa" w:w="2340"/>
          </w:tcPr>
          <w:p>
            <w:r>
              <w:rPr>
                <w:b w:val="0"/>
                <w:i w:val="0"/>
              </w:rPr>
              <w:t>Phased Rollout</w:t>
            </w:r>
          </w:p>
        </w:tc>
        <w:tc>
          <w:tcPr>
            <w:tcW w:type="dxa" w:w="2340"/>
          </w:tcPr>
          <w:p>
            <w:r>
              <w:rPr>
                <w:b w:val="0"/>
                <w:i w:val="0"/>
              </w:rPr>
              <w:t>Bulan 4-5</w:t>
            </w:r>
          </w:p>
        </w:tc>
        <w:tc>
          <w:tcPr>
            <w:tcW w:type="dxa" w:w="2340"/>
          </w:tcPr>
          <w:p>
            <w:r>
              <w:rPr>
                <w:b w:val="0"/>
                <w:i w:val="0"/>
              </w:rPr>
              <w:t>deliverable inti dan milestone rollout</w:t>
            </w:r>
          </w:p>
        </w:tc>
        <w:tc>
          <w:tcPr>
            <w:tcW w:type="dxa" w:w="2340"/>
          </w:tcPr>
          <w:p>
            <w:r>
              <w:rPr>
                <w:b w:val="0"/>
                <w:i w:val="0"/>
              </w:rPr>
              <w:t>Menjaga progres directive</w:t>
            </w:r>
          </w:p>
        </w:tc>
      </w:tr>
      <w:tr>
        <w:tc>
          <w:tcPr>
            <w:tcW w:type="dxa" w:w="2340"/>
          </w:tcPr>
          <w:p>
            <w:r>
              <w:rPr>
                <w:b w:val="0"/>
                <w:i w:val="0"/>
              </w:rPr>
              <w:t>Hypercare &amp; Stabilization</w:t>
            </w:r>
          </w:p>
        </w:tc>
        <w:tc>
          <w:tcPr>
            <w:tcW w:type="dxa" w:w="2340"/>
          </w:tcPr>
          <w:p>
            <w:r>
              <w:rPr>
                <w:b w:val="0"/>
                <w:i w:val="0"/>
              </w:rPr>
              <w:t>Bulan 6-7</w:t>
            </w:r>
          </w:p>
        </w:tc>
        <w:tc>
          <w:tcPr>
            <w:tcW w:type="dxa" w:w="2340"/>
          </w:tcPr>
          <w:p>
            <w:r>
              <w:rPr>
                <w:b w:val="0"/>
                <w:i w:val="0"/>
              </w:rPr>
              <w:t>stabilization report dan next-step backlog</w:t>
            </w:r>
          </w:p>
        </w:tc>
        <w:tc>
          <w:tcPr>
            <w:tcW w:type="dxa" w:w="2340"/>
          </w:tcPr>
          <w:p>
            <w:r>
              <w:rPr>
                <w:b w:val="0"/>
                <w:i w:val="0"/>
              </w:rPr>
              <w:t>Menjaga progres directive</w:t>
            </w:r>
          </w:p>
        </w:tc>
      </w:tr>
    </w:tbl>
    <w:p>
      <w:r>
        <w:rPr>
          <w:b w:val="0"/>
          <w:i w:val="0"/>
        </w:rPr>
        <w:t>Penjadwalan tidak hanya membagi durasi 7 Bulan ke dalam fase, tetapi juga memastikan dependensi, keputusan sponsor, dan kesiapan stakeholder bergerak dalam ritme yang sama. Untuk Angkasa Pura II, pengaturan ini penting agar progres tidak sekadar terlihat aktif, melainkan benar-benar menjaga jalur pencapaian KPI seperti KPI outcome bisnis utama Angkasa Pura II bergerak positif dalam 7 bulan. - Konteks Angkasa Pura II tetap menjadi acuan utama agar isi bab tidak bergeser menjadi generik. - Setiap butir pada bab ini harus bisa ditelusuri ke KPI, risiko, atau keputusan kerja yang nyata.</w:t>
      </w:r>
    </w:p>
    <w:p>
      <w:r>
        <w:br w:type="page"/>
      </w:r>
    </w:p>
    <w:p>
      <w:pPr>
        <w:pStyle w:val="Heading1"/>
        <w:jc w:val="center"/>
      </w:pPr>
      <w:r>
        <w:rPr>
          <w:color w:val="777877"/>
        </w:rPr>
        <w:t>BAB IX – TATA KELOLA PROYEK</w:t>
      </w:r>
    </w:p>
    <w:p>
      <w:r>
        <w:rPr>
          <w:b w:val="0"/>
          <w:i w:val="0"/>
        </w:rPr>
        <w:t>Tata kelola proyek untuk Angkasa Pura II dirancang agar keputusan strategis, kontrol eksekusi, dan penanganan risiko berjalan dalam satu sistem kerja yang konsisten. Fokusnya adalah menjaga gelombang uji beban 9: penguatan tata kelola delivery, percepatan keputusan lintas unit, dan penyusunan roadmap eksekusi yang lebih...</w:t>
      </w:r>
    </w:p>
    <w:p>
      <w:pPr>
        <w:pStyle w:val="Heading2"/>
      </w:pPr>
      <w:r>
        <w:rPr>
          <w:rFonts w:ascii="Arial" w:hAnsi="Arial"/>
          <w:b/>
          <w:color w:val="777877"/>
        </w:rPr>
        <w:t>9.1 Mekanisme Pengambilan Keputusan</w:t>
      </w:r>
    </w:p>
    <w:p>
      <w:pPr>
        <w:pStyle w:val="ListNumber"/>
        <w:spacing w:before="0" w:after="80"/>
        <w:numPr>
          <w:ilvl w:val="0"/>
          <w:numId w:val="34"/>
        </w:numPr>
      </w:pPr>
      <w:r>
        <w:rPr>
          <w:b/>
          <w:i w:val="0"/>
        </w:rPr>
        <w:t>Steering Committee</w:t>
      </w:r>
      <w:r>
        <w:rPr>
          <w:b w:val="0"/>
          <w:i w:val="0"/>
        </w:rPr>
        <w:t xml:space="preserve"> menetapkan arah, prioritas, dan keputusan yang berdampak pada scope, biaya, atau timeline program Angkasa Pura II.</w:t>
      </w:r>
    </w:p>
    <w:p>
      <w:pPr>
        <w:pStyle w:val="ListNumber"/>
        <w:spacing w:before="0" w:after="80"/>
        <w:numPr>
          <w:ilvl w:val="0"/>
          <w:numId w:val="34"/>
        </w:numPr>
      </w:pPr>
      <w:r>
        <w:rPr>
          <w:b/>
          <w:i w:val="0"/>
        </w:rPr>
        <w:t>Project Board</w:t>
      </w:r>
      <w:r>
        <w:rPr>
          <w:b w:val="0"/>
          <w:i w:val="0"/>
        </w:rPr>
        <w:t xml:space="preserve"> memutuskan isu lintas workstream, approval deliverable utama, dan tindakan korektif terhadap deviasi progres.</w:t>
      </w:r>
    </w:p>
    <w:p>
      <w:pPr>
        <w:pStyle w:val="ListNumber"/>
        <w:spacing w:before="0" w:after="80"/>
        <w:numPr>
          <w:ilvl w:val="0"/>
          <w:numId w:val="34"/>
        </w:numPr>
      </w:pPr>
      <w:r>
        <w:rPr>
          <w:b/>
          <w:i w:val="0"/>
        </w:rPr>
        <w:t>Working Session</w:t>
      </w:r>
      <w:r>
        <w:rPr>
          <w:b w:val="0"/>
          <w:i w:val="0"/>
        </w:rPr>
        <w:t xml:space="preserve"> mingguan dipakai untuk memvalidasi kebutuhan, dependency, dan kesiapan data atau user representative.</w:t>
      </w:r>
    </w:p>
    <w:p>
      <w:pPr>
        <w:pStyle w:val="ListNumber"/>
        <w:spacing w:before="0" w:after="80"/>
        <w:numPr>
          <w:ilvl w:val="0"/>
          <w:numId w:val="34"/>
        </w:numPr>
      </w:pPr>
      <w:r>
        <w:rPr>
          <w:b/>
          <w:i w:val="0"/>
        </w:rPr>
        <w:t>Escalation path</w:t>
      </w:r>
      <w:r>
        <w:rPr>
          <w:b w:val="0"/>
          <w:i w:val="0"/>
        </w:rPr>
        <w:t xml:space="preserve"> dibuat berjenjang agar isu operasional tidak langsung membebani forum eksekutif, tetapi tetap bisa naik cepat bila berdampak material.</w:t>
      </w:r>
    </w:p>
    <w:p>
      <w:pPr>
        <w:pStyle w:val="Heading2"/>
      </w:pPr>
      <w:r>
        <w:rPr>
          <w:rFonts w:ascii="Arial" w:hAnsi="Arial"/>
          <w:b/>
          <w:color w:val="777877"/>
        </w:rPr>
        <w:t>9.2 Mekanisme Pengendalian Proyek</w:t>
      </w:r>
    </w:p>
    <w:p>
      <w:r>
        <w:rPr>
          <w:b w:val="0"/>
          <w:i w:val="0"/>
        </w:rPr>
        <w:t>Pengendalian proyek dilakukan lewat kombinasi dashboard progres, risk register, issue log, quality gate, dan acceptance deliverable. Model kontrol ini memastikan aktivitas delivery tetap terkunci pada hasil bisnis, bukan sekadar penyelesaian aktivitas administratif. Untuk Angkasa Pura II, pengendalian semacam ini penting karena program gelombang uji beban 9: penguatan tata kelola delivery, percepatan keputusan lintas unit, dan penyusunan roadmap eksekusi yang lebih... berpotensi melibatkan banyak dependency dan keputusan cepat.</w:t>
      </w:r>
    </w:p>
    <w:p>
      <w:r>
        <w:rPr>
          <w:b w:val="0"/>
          <w:i w:val="0"/>
        </w:rPr>
        <w:t>Untuk Angkasa Pura II, isi bab ini harus dibaca sebagai dasar keputusan kerja yang dapat ditindaklanjuti, bukan sekadar penjelasan konseptual. Karena itu, isi bab tetap diarahkan untuk menjaga relevansi terhadap KPI seperti KPI outcome bisnis utama Angkasa Pura II bergerak positif dalam 7 bulan. - Konteks Angkasa Pura II tetap menjadi acuan utama agar isi bab tidak bergeser menjadi generik. - Setiap butir pada bab ini harus bisa ditelusuri ke KPI, risiko, atau keputusan kerja yang nyata.</w:t>
      </w:r>
    </w:p>
    <w:p>
      <w:r>
        <w:rPr>
          <w:b w:val="0"/>
          <w:i w:val="0"/>
        </w:rPr>
        <w:t>Untuk Angkasa Pura II, isi bab ini harus dibaca sebagai dasar keputusan kerja yang dapat ditindaklanjuti, bukan sekadar penjelasan konseptual. Karena itu, isi bab tetap diarahkan untuk menjaga relevansi terhadap KPI seperti KPI outcome bisnis utama Angkasa Pura II bergerak positif dalam 7 bulan. | Kualitas operasi (incident, SLA, lead time) membaik dalam 7 bulan. dan istilah kerja akuntabilitas, SPBE.</w:t>
      </w:r>
    </w:p>
    <w:p>
      <w:r>
        <w:br w:type="page"/>
      </w:r>
    </w:p>
    <w:p>
      <w:pPr>
        <w:pStyle w:val="Heading1"/>
        <w:jc w:val="center"/>
      </w:pPr>
      <w:r>
        <w:rPr>
          <w:color w:val="777877"/>
        </w:rPr>
        <w:t>BAB X – PROFIL PERUSAHAAN</w:t>
      </w:r>
    </w:p>
    <w:p>
      <w:r>
        <w:rPr>
          <w:b w:val="0"/>
          <w:i w:val="0"/>
        </w:rPr>
        <w:t>Profil perusahaan pada proposal ini tidak dimaksudkan sebagai brosur umum, melainkan sebagai bukti bahwa Inixindo Jogja memiliki modal kerja yang relevan untuk membantu Angkasa Pura II. Yang ditekankan bukan hanya deskripsi perusahaan, tetapi keterkaitan antara kapabilitas, pengalaman serupa, dan bentuk dukungan yang dibutuhkan oleh inisiatif gelombang uji beban 9: penguatan tata kelola delivery, percepatan keputusan lintas unit, dan penyusunan roadmap eksekusi yang lebih...</w:t>
      </w:r>
    </w:p>
    <w:p>
      <w:pPr>
        <w:pStyle w:val="Heading2"/>
      </w:pPr>
      <w:r>
        <w:rPr>
          <w:rFonts w:ascii="Arial" w:hAnsi="Arial"/>
          <w:b/>
          <w:color w:val="777877"/>
        </w:rPr>
        <w:t>10.1 Relevansi Profil dan Kapabilitas Perusahaan</w:t>
      </w:r>
    </w:p>
    <w:p>
      <w:r>
        <w:rPr>
          <w:b w:val="0"/>
          <w:i w:val="0"/>
        </w:rPr>
        <w:t>Inixindo Jogja diposisikan sebagai Inixindo Jogja adalah mitra pembelajaran dan konsultasi yang membantu klien bergerak dari kebutuhan bisnis ke rencana eksekusi yang jelas, kredibel, dan dapat dijalankan. Posisi ini diperkuat oleh kemampuan untuk menghubungkan metodologi, governance, dan quality control ke kebutuhan nyata klien, terutama pada konteks akuntabilitas, SPBE, tata kelola.</w:t>
      </w:r>
    </w:p>
    <w:p>
      <w:pPr>
        <w:pStyle w:val="Heading2"/>
      </w:pPr>
      <w:r>
        <w:rPr>
          <w:rFonts w:ascii="Arial" w:hAnsi="Arial"/>
          <w:b/>
          <w:color w:val="777877"/>
        </w:rPr>
        <w:t>10.2 Pengalaman Serupa dan Nilai Tambah</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val="0"/>
                <w:i w:val="0"/>
              </w:rPr>
              <w:t>Area Pengalaman</w:t>
            </w:r>
          </w:p>
        </w:tc>
        <w:tc>
          <w:tcPr>
            <w:tcW w:type="dxa" w:w="2340"/>
          </w:tcPr>
          <w:p>
            <w:r>
              <w:rPr>
                <w:b w:val="0"/>
                <w:i w:val="0"/>
              </w:rPr>
              <w:t>Relevansi terhadap Inisiatif</w:t>
            </w:r>
          </w:p>
        </w:tc>
        <w:tc>
          <w:tcPr>
            <w:tcW w:type="dxa" w:w="2340"/>
          </w:tcPr>
          <w:p>
            <w:r>
              <w:rPr>
                <w:b w:val="0"/>
                <w:i w:val="0"/>
              </w:rPr>
              <w:t>Bukti Kapabilitas</w:t>
            </w:r>
          </w:p>
        </w:tc>
        <w:tc>
          <w:tcPr>
            <w:tcW w:type="dxa" w:w="2340"/>
          </w:tcPr>
          <w:p>
            <w:r>
              <w:rPr>
                <w:b w:val="0"/>
                <w:i w:val="0"/>
              </w:rPr>
              <w:t>Nilai Tambah untuk Klien</w:t>
            </w:r>
          </w:p>
        </w:tc>
      </w:tr>
      <w:tr>
        <w:tc>
          <w:tcPr>
            <w:tcW w:type="dxa" w:w="2340"/>
          </w:tcPr>
          <w:p>
            <w:r>
              <w:rPr>
                <w:b w:val="0"/>
                <w:i w:val="0"/>
              </w:rPr>
              <w:t>Perumusan strategi, tata kelola, dan prioritas kerja</w:t>
            </w:r>
          </w:p>
        </w:tc>
        <w:tc>
          <w:tcPr>
            <w:tcW w:type="dxa" w:w="2340"/>
          </w:tcPr>
          <w:p>
            <w:r>
              <w:rPr>
                <w:b w:val="0"/>
                <w:i w:val="0"/>
              </w:rPr>
              <w:t>relevan untuk proyek transformation dengan layanan konsultan</w:t>
            </w:r>
          </w:p>
        </w:tc>
        <w:tc>
          <w:tcPr>
            <w:tcW w:type="dxa" w:w="2340"/>
          </w:tcPr>
          <w:p>
            <w:r>
              <w:rPr>
                <w:b w:val="0"/>
                <w:i w:val="0"/>
              </w:rPr>
              <w:t>Kapabilitas layanan menyesuaikan kebutuhan proyek klien</w:t>
            </w:r>
          </w:p>
        </w:tc>
        <w:tc>
          <w:tcPr>
            <w:tcW w:type="dxa" w:w="2340"/>
          </w:tcPr>
          <w:p>
            <w:r>
              <w:rPr>
                <w:b w:val="0"/>
                <w:i w:val="0"/>
              </w:rPr>
              <w:t>membantu klien mendapat arah kerja yang lebih tajam dan dapat diputuskan lebih cepat</w:t>
            </w:r>
          </w:p>
        </w:tc>
      </w:tr>
      <w:tr>
        <w:tc>
          <w:tcPr>
            <w:tcW w:type="dxa" w:w="2340"/>
          </w:tcPr>
          <w:p>
            <w:r>
              <w:rPr>
                <w:b w:val="0"/>
                <w:i w:val="0"/>
              </w:rPr>
              <w:t>Pengawalan delivery dan quality gate</w:t>
            </w:r>
          </w:p>
        </w:tc>
        <w:tc>
          <w:tcPr>
            <w:tcW w:type="dxa" w:w="2340"/>
          </w:tcPr>
          <w:p>
            <w:r>
              <w:rPr>
                <w:b w:val="0"/>
                <w:i w:val="0"/>
              </w:rPr>
              <w:t>relevan ketika program memerlukan pengendalian milestone, deliverable, dan mekanisme review yang disiplin</w:t>
            </w:r>
          </w:p>
        </w:tc>
        <w:tc>
          <w:tcPr>
            <w:tcW w:type="dxa" w:w="2340"/>
          </w:tcPr>
          <w:p>
            <w:r>
              <w:rPr>
                <w:b w:val="0"/>
                <w:i w:val="0"/>
              </w:rPr>
              <w:t>Kapabilitas layanan menyesuaikan kebutuhan proyek klien, 1. Readiness Assessment 2. Phased Rollout 3. Change Management 4. Hypercare, 1x Program Manager, 2x Change Experts, 3x Tech Leads</w:t>
            </w:r>
          </w:p>
        </w:tc>
        <w:tc>
          <w:tcPr>
            <w:tcW w:type="dxa" w:w="2340"/>
          </w:tcPr>
          <w:p>
            <w:r>
              <w:rPr>
                <w:b w:val="0"/>
                <w:i w:val="0"/>
              </w:rPr>
              <w:t>membantu sponsor menjaga kualitas hasil dan mengurangi deviasi di lapangan</w:t>
            </w:r>
          </w:p>
        </w:tc>
      </w:tr>
      <w:tr>
        <w:tc>
          <w:tcPr>
            <w:tcW w:type="dxa" w:w="2340"/>
          </w:tcPr>
          <w:p>
            <w:r>
              <w:rPr>
                <w:b w:val="0"/>
                <w:i w:val="0"/>
              </w:rPr>
              <w:t>Pendampingan stakeholder dan penyiapan hasil kerja</w:t>
            </w:r>
          </w:p>
        </w:tc>
        <w:tc>
          <w:tcPr>
            <w:tcW w:type="dxa" w:w="2340"/>
          </w:tcPr>
          <w:p>
            <w:r>
              <w:rPr>
                <w:b w:val="0"/>
                <w:i w:val="0"/>
              </w:rPr>
              <w:t>relevan untuk inisiatif yang menuntut sinkronisasi bisnis, operasi, dan tata kelola</w:t>
            </w:r>
          </w:p>
        </w:tc>
        <w:tc>
          <w:tcPr>
            <w:tcW w:type="dxa" w:w="2340"/>
          </w:tcPr>
          <w:p>
            <w:r>
              <w:rPr>
                <w:b w:val="0"/>
                <w:i w:val="0"/>
              </w:rPr>
              <w:t>pengalaman menyusun bahan keputusan, workshop kerja, dan dokumen tindak lanjut</w:t>
            </w:r>
          </w:p>
        </w:tc>
        <w:tc>
          <w:tcPr>
            <w:tcW w:type="dxa" w:w="2340"/>
          </w:tcPr>
          <w:p>
            <w:r>
              <w:rPr>
                <w:b w:val="0"/>
                <w:i w:val="0"/>
              </w:rPr>
              <w:t>membantu hasil proposal lebih mudah ditindaklanjuti oleh tim klien</w:t>
            </w:r>
          </w:p>
        </w:tc>
      </w:tr>
    </w:tbl>
    <w:p>
      <w:r>
        <w:rPr>
          <w:b w:val="0"/>
          <w:i w:val="0"/>
        </w:rPr>
        <w:t>Dengan penyajian seperti ini, Angkasa Pura II dapat melihat bahwa pengalaman Inixindo Jogja tidak diposisikan sebagai klaim umum, melainkan sebagai landasan untuk memberikan hasil yang lebih siap dijalankan. Karena itu, bab ini sengaja diarahkan untuk menjawab pertanyaan sederhana sponsor: mengapa perusahaan penyusun ini layak dipercaya untuk mendampingi inisiatif yang diusulkan.</w:t>
      </w:r>
    </w:p>
    <w:p>
      <w:pPr>
        <w:pStyle w:val="ListNumber"/>
        <w:spacing w:before="0" w:after="80"/>
        <w:numPr>
          <w:ilvl w:val="0"/>
          <w:numId w:val="35"/>
        </w:numPr>
      </w:pPr>
      <w:r>
        <w:rPr>
          <w:b w:val="0"/>
          <w:i w:val="0"/>
        </w:rPr>
        <w:t>Prioritas implementasi untuk Angkasa Pura II diarahkan agar tetap selaras dengan KPI outcome bisnis utama Angkasa Pura II bergerak positif dalam 7 bulan. | Kualitas operasi (incident, SLA, lead time) membaik dalam 7 bulan..</w:t>
      </w:r>
    </w:p>
    <w:p>
      <w:pPr>
        <w:pStyle w:val="ListNumber"/>
        <w:spacing w:before="0" w:after="80"/>
        <w:numPr>
          <w:ilvl w:val="0"/>
          <w:numId w:val="35"/>
        </w:numPr>
      </w:pPr>
      <w:r>
        <w:rPr>
          <w:b w:val="0"/>
          <w:i w:val="0"/>
        </w:rPr>
        <w:t>Keputusan delivery dan quality gate pada bab ini harus konsisten dengan istilah kerja akuntabilitas, SPBE. - Konteks Angkasa Pura II tetap menjadi acuan utama agar isi bab tidak bergeser menjadi generik. - Setiap butir pada bab ini harus bisa ditelusuri ke KPI, risiko, atau keputusan kerja yang nyata.</w:t>
      </w:r>
    </w:p>
    <w:p>
      <w:r>
        <w:br w:type="page"/>
      </w:r>
    </w:p>
    <w:p>
      <w:pPr>
        <w:pStyle w:val="Heading1"/>
        <w:jc w:val="center"/>
      </w:pPr>
      <w:r>
        <w:rPr>
          <w:color w:val="777877"/>
        </w:rPr>
        <w:t>BAB XI – STRUKTUR &amp; TENAGA AHLI PROYEK</w:t>
      </w:r>
    </w:p>
    <w:p>
      <w:r>
        <w:rPr>
          <w:b w:val="0"/>
          <w:i w:val="0"/>
        </w:rPr>
        <w:t>Struktur tim proyek untuk Angkasa Pura II dibentuk agar pengambilan keputusan, pengawasan mutu, dan eksekusi lapangan bergerak seirama. Komposisi tim tidak diperlakukan sebagai daftar jabatan semata, tetapi sebagai mekanisme untuk menjaga kualitas output terhadap target KPI outcome bisnis utama Angkasa Pura II bergerak positif dalam 7 bulan.</w:t>
      </w:r>
    </w:p>
    <w:p>
      <w:pPr>
        <w:pStyle w:val="Heading2"/>
      </w:pPr>
      <w:r>
        <w:rPr>
          <w:rFonts w:ascii="Arial" w:hAnsi="Arial"/>
          <w:b/>
          <w:color w:val="777877"/>
        </w:rPr>
        <w:t>11.1 Struktur Tim Proyek</w:t>
      </w:r>
    </w:p>
    <w:p>
      <w:pPr>
        <w:pStyle w:val="ListNumber"/>
        <w:spacing w:before="0" w:after="80"/>
        <w:numPr>
          <w:ilvl w:val="0"/>
          <w:numId w:val="36"/>
        </w:numPr>
      </w:pPr>
      <w:r>
        <w:rPr>
          <w:b/>
          <w:i w:val="0"/>
        </w:rPr>
        <w:t>Engagement Lead / Project Director</w:t>
      </w:r>
      <w:r>
        <w:rPr>
          <w:b w:val="0"/>
          <w:i w:val="0"/>
        </w:rPr>
        <w:t xml:space="preserve"> menjaga arah kemitraan dan keputusan strategis sponsor.</w:t>
      </w:r>
    </w:p>
    <w:p>
      <w:pPr>
        <w:pStyle w:val="ListNumber"/>
        <w:spacing w:before="0" w:after="80"/>
        <w:numPr>
          <w:ilvl w:val="0"/>
          <w:numId w:val="36"/>
        </w:numPr>
      </w:pPr>
      <w:r>
        <w:rPr>
          <w:b/>
          <w:i w:val="0"/>
        </w:rPr>
        <w:t>Project Manager / PMO Lead</w:t>
      </w:r>
      <w:r>
        <w:rPr>
          <w:b w:val="0"/>
          <w:i w:val="0"/>
        </w:rPr>
        <w:t xml:space="preserve"> mengendalikan ritme kerja, milestone, dan quality gate.</w:t>
      </w:r>
    </w:p>
    <w:p>
      <w:pPr>
        <w:pStyle w:val="ListNumber"/>
        <w:spacing w:before="0" w:after="80"/>
        <w:numPr>
          <w:ilvl w:val="0"/>
          <w:numId w:val="36"/>
        </w:numPr>
      </w:pPr>
      <w:r>
        <w:rPr>
          <w:b/>
          <w:i w:val="0"/>
        </w:rPr>
        <w:t>Lead Fungsional / Solusi</w:t>
      </w:r>
      <w:r>
        <w:rPr>
          <w:b w:val="0"/>
          <w:i w:val="0"/>
        </w:rPr>
        <w:t xml:space="preserve"> menjaga kualitas desain solusi dan relevansi output kerja.</w:t>
      </w:r>
    </w:p>
    <w:p>
      <w:pPr>
        <w:pStyle w:val="ListNumber"/>
        <w:spacing w:before="0" w:after="80"/>
        <w:numPr>
          <w:ilvl w:val="0"/>
          <w:numId w:val="36"/>
        </w:numPr>
      </w:pPr>
      <w:r>
        <w:rPr>
          <w:b/>
          <w:i w:val="0"/>
        </w:rPr>
        <w:t>Reviewer Governance / Quality</w:t>
      </w:r>
      <w:r>
        <w:rPr>
          <w:b w:val="0"/>
          <w:i w:val="0"/>
        </w:rPr>
        <w:t xml:space="preserve"> memastikan disiplin review, sign-off, dan kontrol risiko.</w:t>
      </w:r>
    </w:p>
    <w:p>
      <w:pPr>
        <w:pStyle w:val="Heading2"/>
      </w:pPr>
      <w:r>
        <w:rPr>
          <w:rFonts w:ascii="Arial" w:hAnsi="Arial"/>
          <w:b/>
          <w:color w:val="777877"/>
        </w:rPr>
        <w:t>11.2 Tabel Tenaga Ahli dan Kualifikasi</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val="0"/>
                <w:i w:val="0"/>
              </w:rPr>
              <w:t>Peran Tenaga Ahli</w:t>
            </w:r>
          </w:p>
        </w:tc>
        <w:tc>
          <w:tcPr>
            <w:tcW w:type="dxa" w:w="2340"/>
          </w:tcPr>
          <w:p>
            <w:r>
              <w:rPr>
                <w:b w:val="0"/>
                <w:i w:val="0"/>
              </w:rPr>
              <w:t>Fokus Tanggung Jawab</w:t>
            </w:r>
          </w:p>
        </w:tc>
        <w:tc>
          <w:tcPr>
            <w:tcW w:type="dxa" w:w="2340"/>
          </w:tcPr>
          <w:p>
            <w:r>
              <w:rPr>
                <w:b w:val="0"/>
                <w:i w:val="0"/>
              </w:rPr>
              <w:t>Kompetensi / Pengalaman Kunci</w:t>
            </w:r>
          </w:p>
        </w:tc>
        <w:tc>
          <w:tcPr>
            <w:tcW w:type="dxa" w:w="2340"/>
          </w:tcPr>
          <w:p>
            <w:r>
              <w:rPr>
                <w:b w:val="0"/>
                <w:i w:val="0"/>
              </w:rPr>
              <w:t>Keterlibatan</w:t>
            </w:r>
          </w:p>
        </w:tc>
      </w:tr>
      <w:tr>
        <w:tc>
          <w:tcPr>
            <w:tcW w:type="dxa" w:w="2340"/>
          </w:tcPr>
          <w:p>
            <w:r>
              <w:rPr>
                <w:b w:val="0"/>
                <w:i w:val="0"/>
              </w:rPr>
              <w:t>Engagement Lead / Project Director</w:t>
            </w:r>
          </w:p>
        </w:tc>
        <w:tc>
          <w:tcPr>
            <w:tcW w:type="dxa" w:w="2340"/>
          </w:tcPr>
          <w:p>
            <w:r>
              <w:rPr>
                <w:b w:val="0"/>
                <w:i w:val="0"/>
              </w:rPr>
              <w:t>menjaga arah kemitraan, kualitas proposal, dan keputusan strategis sponsor</w:t>
            </w:r>
          </w:p>
        </w:tc>
        <w:tc>
          <w:tcPr>
            <w:tcW w:type="dxa" w:w="2340"/>
          </w:tcPr>
          <w:p>
            <w:r>
              <w:rPr>
                <w:b w:val="0"/>
                <w:i w:val="0"/>
              </w:rPr>
              <w:t>kepemimpinan delivery, komunikasi eksekutif, dan pengendalian isu kritis</w:t>
            </w:r>
          </w:p>
        </w:tc>
        <w:tc>
          <w:tcPr>
            <w:tcW w:type="dxa" w:w="2340"/>
          </w:tcPr>
          <w:p>
            <w:r>
              <w:rPr>
                <w:b w:val="0"/>
                <w:i w:val="0"/>
              </w:rPr>
              <w:t>tetap pada fase kickoff, milestone utama, dan review keputusan</w:t>
            </w:r>
          </w:p>
        </w:tc>
      </w:tr>
      <w:tr>
        <w:tc>
          <w:tcPr>
            <w:tcW w:type="dxa" w:w="2340"/>
          </w:tcPr>
          <w:p>
            <w:r>
              <w:rPr>
                <w:b w:val="0"/>
                <w:i w:val="0"/>
              </w:rPr>
              <w:t>Project Manager / PMO Lead</w:t>
            </w:r>
          </w:p>
        </w:tc>
        <w:tc>
          <w:tcPr>
            <w:tcW w:type="dxa" w:w="2340"/>
          </w:tcPr>
          <w:p>
            <w:r>
              <w:rPr>
                <w:b w:val="0"/>
                <w:i w:val="0"/>
              </w:rPr>
              <w:t>mengendalikan timeline, dependency, action log, dan quality gate proyek</w:t>
            </w:r>
          </w:p>
        </w:tc>
        <w:tc>
          <w:tcPr>
            <w:tcW w:type="dxa" w:w="2340"/>
          </w:tcPr>
          <w:p>
            <w:r>
              <w:rPr>
                <w:b w:val="0"/>
                <w:i w:val="0"/>
              </w:rPr>
              <w:t>manajemen proyek, governance, dan koordinasi lintas workstream</w:t>
            </w:r>
          </w:p>
        </w:tc>
        <w:tc>
          <w:tcPr>
            <w:tcW w:type="dxa" w:w="2340"/>
          </w:tcPr>
          <w:p>
            <w:r>
              <w:rPr>
                <w:b w:val="0"/>
                <w:i w:val="0"/>
              </w:rPr>
              <w:t>aktif sepanjang siklus delivery</w:t>
            </w:r>
          </w:p>
        </w:tc>
      </w:tr>
      <w:tr>
        <w:tc>
          <w:tcPr>
            <w:tcW w:type="dxa" w:w="2340"/>
          </w:tcPr>
          <w:p>
            <w:r>
              <w:rPr>
                <w:b w:val="0"/>
                <w:i w:val="0"/>
              </w:rPr>
              <w:t>Solution / Domain Lead</w:t>
            </w:r>
          </w:p>
        </w:tc>
        <w:tc>
          <w:tcPr>
            <w:tcW w:type="dxa" w:w="2340"/>
          </w:tcPr>
          <w:p>
            <w:r>
              <w:rPr>
                <w:b w:val="0"/>
                <w:i w:val="0"/>
              </w:rPr>
              <w:t>menerjemahkan kebutuhan transformation ke rancangan kerja dan deliverable utama</w:t>
            </w:r>
          </w:p>
        </w:tc>
        <w:tc>
          <w:tcPr>
            <w:tcW w:type="dxa" w:w="2340"/>
          </w:tcPr>
          <w:p>
            <w:r>
              <w:rPr>
                <w:b w:val="0"/>
                <w:i w:val="0"/>
              </w:rPr>
              <w:t>analisis kebutuhan, desain solusi, dan penguatan target state</w:t>
            </w:r>
          </w:p>
        </w:tc>
        <w:tc>
          <w:tcPr>
            <w:tcW w:type="dxa" w:w="2340"/>
          </w:tcPr>
          <w:p>
            <w:r>
              <w:rPr>
                <w:b w:val="0"/>
                <w:i w:val="0"/>
              </w:rPr>
              <w:t>intens pada fase analisis, desain, dan review hasil</w:t>
            </w:r>
          </w:p>
        </w:tc>
      </w:tr>
      <w:tr>
        <w:tc>
          <w:tcPr>
            <w:tcW w:type="dxa" w:w="2340"/>
          </w:tcPr>
          <w:p>
            <w:r>
              <w:rPr>
                <w:b w:val="0"/>
                <w:i w:val="0"/>
              </w:rPr>
              <w:t>Quality &amp; Governance Reviewer</w:t>
            </w:r>
          </w:p>
        </w:tc>
        <w:tc>
          <w:tcPr>
            <w:tcW w:type="dxa" w:w="2340"/>
          </w:tcPr>
          <w:p>
            <w:r>
              <w:rPr>
                <w:b w:val="0"/>
                <w:i w:val="0"/>
              </w:rPr>
              <w:t>memastikan hasil kerja, dokumentasi, dan kontrol proyek sesuai standar</w:t>
            </w:r>
          </w:p>
        </w:tc>
        <w:tc>
          <w:tcPr>
            <w:tcW w:type="dxa" w:w="2340"/>
          </w:tcPr>
          <w:p>
            <w:r>
              <w:rPr>
                <w:b w:val="0"/>
                <w:i w:val="0"/>
              </w:rPr>
              <w:t>governance, review mutu, dan pemahaman framework/regulasi TOGAF, ITIL, COBIT, ISO 27001</w:t>
            </w:r>
          </w:p>
        </w:tc>
        <w:tc>
          <w:tcPr>
            <w:tcW w:type="dxa" w:w="2340"/>
          </w:tcPr>
          <w:p>
            <w:r>
              <w:rPr>
                <w:b w:val="0"/>
                <w:i w:val="0"/>
              </w:rPr>
              <w:t>aktif pada quality gate dan sign-off deliverable utama</w:t>
            </w:r>
          </w:p>
        </w:tc>
      </w:tr>
      <w:tr>
        <w:tc>
          <w:tcPr>
            <w:tcW w:type="dxa" w:w="2340"/>
          </w:tcPr>
          <w:p>
            <w:r>
              <w:rPr>
                <w:b w:val="0"/>
                <w:i w:val="0"/>
              </w:rPr>
              <w:t>Spesialis Workstream</w:t>
            </w:r>
          </w:p>
        </w:tc>
        <w:tc>
          <w:tcPr>
            <w:tcW w:type="dxa" w:w="2340"/>
          </w:tcPr>
          <w:p>
            <w:r>
              <w:rPr>
                <w:b w:val="0"/>
                <w:i w:val="0"/>
              </w:rPr>
              <w:t>menjalankan area prioritas dengan baseline komposisi 1x Program Manager, 2x Change Experts, 3x Tech Leads</w:t>
            </w:r>
          </w:p>
        </w:tc>
        <w:tc>
          <w:tcPr>
            <w:tcW w:type="dxa" w:w="2340"/>
          </w:tcPr>
          <w:p>
            <w:r>
              <w:rPr>
                <w:b w:val="0"/>
                <w:i w:val="0"/>
              </w:rPr>
              <w:t>pelaksanaan aktivitas teknis/fungsional dan penyusunan keluaran detail</w:t>
            </w:r>
          </w:p>
        </w:tc>
        <w:tc>
          <w:tcPr>
            <w:tcW w:type="dxa" w:w="2340"/>
          </w:tcPr>
          <w:p>
            <w:r>
              <w:rPr>
                <w:b w:val="0"/>
                <w:i w:val="0"/>
              </w:rPr>
              <w:t>menyesuaikan kebutuhan fase dan area kerja</w:t>
            </w:r>
          </w:p>
        </w:tc>
      </w:tr>
    </w:tbl>
    <w:p>
      <w:r>
        <w:rPr>
          <w:b w:val="0"/>
          <w:i w:val="0"/>
        </w:rPr>
        <w:t>Dengan tabel ini, Angkasa Pura II memperoleh gambaran yang lebih konkret mengenai siapa yang menjaga keputusan, siapa yang mengawal delivery, dan siapa yang mengamankan mutu hasil kerja. Pendekatan ini membuat bab tenaga ahli lebih mudah diaudit dan lebih meyakinkan bagi sponsor proyek. - Konteks Angkasa Pura II tetap menjadi acuan utama agar isi bab tidak bergeser menjadi generik. - Setiap butir pada bab ini harus bisa ditelusuri ke KPI, risiko, atau keputusan kerja yang nyata. - Istilah kerja yang tetap dijaga pada bab ini mencakup akuntabilitas, SPBE, tata kelola.</w:t>
      </w:r>
    </w:p>
    <w:p>
      <w:r>
        <w:br w:type="page"/>
      </w:r>
    </w:p>
    <w:p>
      <w:pPr>
        <w:pStyle w:val="Heading1"/>
        <w:jc w:val="center"/>
      </w:pPr>
      <w:r>
        <w:rPr>
          <w:color w:val="777877"/>
        </w:rPr>
        <w:t>BAB XII – MODEL PEMBIAYAAN</w:t>
      </w:r>
    </w:p>
    <w:p>
      <w:r>
        <w:rPr>
          <w:b w:val="0"/>
          <w:i w:val="0"/>
        </w:rPr>
        <w:t>Model pembiayaan untuk Angkasa Pura II disusun agar komitmen biaya, mekanisme pembayaran, dan batas ruang lingkup tetap jelas sejak awal. Tujuannya adalah menjaga proyek gelombang uji beban 9: penguatan tata kelola delivery, percepatan keputusan lintas unit, dan penyusunan roadmap eksekusi yang lebih...</w:t>
      </w:r>
    </w:p>
    <w:p>
      <w:pPr>
        <w:pStyle w:val="Heading2"/>
      </w:pPr>
      <w:r>
        <w:rPr>
          <w:rFonts w:ascii="Arial" w:hAnsi="Arial"/>
          <w:b/>
          <w:color w:val="777877"/>
        </w:rPr>
        <w:t>12.1 Biaya dan Tahapan Pembayaran</w:t>
      </w:r>
    </w:p>
    <w:p>
      <w:r>
        <w:rPr>
          <w:b w:val="0"/>
          <w:i w:val="0"/>
        </w:rPr>
        <w:t>Estimasi investasi awal untuk engagement ini adalah</w:t>
      </w:r>
      <w:r>
        <w:rPr>
          <w:b/>
          <w:i w:val="0"/>
        </w:rPr>
        <w:t xml:space="preserve"> Rp 500.000.000</w:t>
      </w:r>
      <w:r>
        <w:rPr>
          <w:b w:val="0"/>
          <w:i w:val="0"/>
        </w:rPr>
        <w:t>, dengan tipe layanan</w:t>
      </w:r>
      <w:r>
        <w:rPr>
          <w:b/>
          <w:i w:val="0"/>
        </w:rPr>
        <w:t xml:space="preserve"> Konsultan</w:t>
      </w:r>
      <w:r>
        <w:rPr>
          <w:b w:val="0"/>
          <w:i w:val="0"/>
        </w:rPr>
        <w:t xml:space="preserve"> pada model proyek</w:t>
      </w:r>
      <w:r>
        <w:rPr>
          <w:b/>
          <w:i w:val="0"/>
        </w:rPr>
        <w:t xml:space="preserve"> Transformation</w:t>
      </w:r>
      <w:r>
        <w:rPr>
          <w:b w:val="0"/>
          <w:i w:val="0"/>
        </w:rPr>
        <w:t xml:space="preserve"> selama</w:t>
      </w:r>
      <w:r>
        <w:rPr>
          <w:b/>
          <w:i w:val="0"/>
        </w:rPr>
        <w:t xml:space="preserve"> 7 Bulan</w:t>
      </w:r>
      <w:r>
        <w:rPr>
          <w:b w:val="0"/>
          <w:i w:val="0"/>
        </w:rPr>
        <w:t>. Baseline komersial internal yang menjadi acuan adalah Time &amp; Materials (T&amp;M) over 12-18 months.</w:t>
      </w:r>
    </w:p>
    <w:tbl>
      <w:tblPr>
        <w:tblStyle w:val="TableGrid"/>
        <w:tblW w:type="auto" w:w="0"/>
        <w:tblLook w:firstColumn="1" w:firstRow="1" w:lastColumn="0" w:lastRow="0" w:noHBand="0" w:noVBand="1" w:val="04A0"/>
      </w:tblPr>
      <w:tblGrid>
        <w:gridCol w:w="4680"/>
        <w:gridCol w:w="4680"/>
      </w:tblGrid>
      <w:tr>
        <w:tc>
          <w:tcPr>
            <w:tcW w:type="dxa" w:w="4680"/>
          </w:tcPr>
          <w:p>
            <w:r>
              <w:rPr>
                <w:b w:val="0"/>
                <w:i w:val="0"/>
              </w:rPr>
              <w:t>Komponen</w:t>
            </w:r>
          </w:p>
        </w:tc>
        <w:tc>
          <w:tcPr>
            <w:tcW w:type="dxa" w:w="4680"/>
          </w:tcPr>
          <w:p>
            <w:r>
              <w:rPr>
                <w:b w:val="0"/>
                <w:i w:val="0"/>
              </w:rPr>
              <w:t>Rancangan Komersial</w:t>
            </w:r>
          </w:p>
        </w:tc>
      </w:tr>
      <w:tr>
        <w:tc>
          <w:tcPr>
            <w:tcW w:type="dxa" w:w="4680"/>
          </w:tcPr>
          <w:p>
            <w:r>
              <w:rPr>
                <w:b w:val="0"/>
                <w:i w:val="0"/>
              </w:rPr>
              <w:t>Estimasi investasi</w:t>
            </w:r>
          </w:p>
        </w:tc>
        <w:tc>
          <w:tcPr>
            <w:tcW w:type="dxa" w:w="4680"/>
          </w:tcPr>
          <w:p>
            <w:r>
              <w:rPr>
                <w:b w:val="0"/>
                <w:i w:val="0"/>
              </w:rPr>
              <w:t>Rp 500.000.000</w:t>
            </w:r>
          </w:p>
        </w:tc>
      </w:tr>
      <w:tr>
        <w:tc>
          <w:tcPr>
            <w:tcW w:type="dxa" w:w="4680"/>
          </w:tcPr>
          <w:p>
            <w:r>
              <w:rPr>
                <w:b w:val="0"/>
                <w:i w:val="0"/>
              </w:rPr>
              <w:t>Model engagement</w:t>
            </w:r>
          </w:p>
        </w:tc>
        <w:tc>
          <w:tcPr>
            <w:tcW w:type="dxa" w:w="4680"/>
          </w:tcPr>
          <w:p>
            <w:r>
              <w:rPr>
                <w:b w:val="0"/>
                <w:i w:val="0"/>
              </w:rPr>
              <w:t>Konsultan - Transformation</w:t>
            </w:r>
          </w:p>
        </w:tc>
      </w:tr>
      <w:tr>
        <w:tc>
          <w:tcPr>
            <w:tcW w:type="dxa" w:w="4680"/>
          </w:tcPr>
          <w:p>
            <w:r>
              <w:rPr>
                <w:b w:val="0"/>
                <w:i w:val="0"/>
              </w:rPr>
              <w:t>Durasi acuan</w:t>
            </w:r>
          </w:p>
        </w:tc>
        <w:tc>
          <w:tcPr>
            <w:tcW w:type="dxa" w:w="4680"/>
          </w:tcPr>
          <w:p>
            <w:r>
              <w:rPr>
                <w:b w:val="0"/>
                <w:i w:val="0"/>
              </w:rPr>
              <w:t>7 Bulan</w:t>
            </w:r>
          </w:p>
        </w:tc>
      </w:tr>
      <w:tr>
        <w:tc>
          <w:tcPr>
            <w:tcW w:type="dxa" w:w="4680"/>
          </w:tcPr>
          <w:p>
            <w:r>
              <w:rPr>
                <w:b w:val="0"/>
                <w:i w:val="0"/>
              </w:rPr>
              <w:t>Basis commercial</w:t>
            </w:r>
          </w:p>
        </w:tc>
        <w:tc>
          <w:tcPr>
            <w:tcW w:type="dxa" w:w="4680"/>
          </w:tcPr>
          <w:p>
            <w:r>
              <w:rPr>
                <w:b w:val="0"/>
                <w:i w:val="0"/>
              </w:rPr>
              <w:t>Time &amp; Materials (T&amp;M) over 12-18 months.</w:t>
            </w:r>
          </w:p>
        </w:tc>
      </w:tr>
      <w:tr>
        <w:tc>
          <w:tcPr>
            <w:tcW w:type="dxa" w:w="4680"/>
          </w:tcPr>
          <w:p>
            <w:r>
              <w:rPr>
                <w:b w:val="0"/>
                <w:i w:val="0"/>
              </w:rPr>
              <w:t>Mekanisme review</w:t>
            </w:r>
          </w:p>
        </w:tc>
        <w:tc>
          <w:tcPr>
            <w:tcW w:type="dxa" w:w="4680"/>
          </w:tcPr>
          <w:p>
            <w:r>
              <w:rPr>
                <w:b w:val="0"/>
                <w:i w:val="0"/>
              </w:rPr>
              <w:t>Review milestone, acceptance deliverable, dan approval perubahan scope</w:t>
            </w:r>
          </w:p>
        </w:tc>
      </w:tr>
    </w:tbl>
    <w:p>
      <w:pPr>
        <w:pStyle w:val="ListNumber"/>
        <w:spacing w:before="0" w:after="80"/>
        <w:numPr>
          <w:ilvl w:val="0"/>
          <w:numId w:val="37"/>
        </w:numPr>
      </w:pPr>
      <w:r>
        <w:rPr>
          <w:b/>
          <w:i w:val="0"/>
        </w:rPr>
        <w:t>Mobilization &amp; readiness</w:t>
      </w:r>
      <w:r>
        <w:rPr>
          <w:b w:val="0"/>
          <w:i w:val="0"/>
        </w:rPr>
        <w:t xml:space="preserve"> sebesar 20% dari estimasi investasi, ditagihkan setelah milestone terkait diterima.</w:t>
      </w:r>
    </w:p>
    <w:p>
      <w:pPr>
        <w:pStyle w:val="ListNumber"/>
        <w:spacing w:before="0" w:after="80"/>
        <w:numPr>
          <w:ilvl w:val="0"/>
          <w:numId w:val="37"/>
        </w:numPr>
      </w:pPr>
      <w:r>
        <w:rPr>
          <w:b/>
          <w:i w:val="0"/>
        </w:rPr>
        <w:t>Blueprint &amp; governance setup</w:t>
      </w:r>
      <w:r>
        <w:rPr>
          <w:b w:val="0"/>
          <w:i w:val="0"/>
        </w:rPr>
        <w:t xml:space="preserve"> sebesar 30% dari estimasi investasi, ditagihkan setelah milestone terkait diterima.</w:t>
      </w:r>
    </w:p>
    <w:p>
      <w:pPr>
        <w:pStyle w:val="ListNumber"/>
        <w:spacing w:before="0" w:after="80"/>
        <w:numPr>
          <w:ilvl w:val="0"/>
          <w:numId w:val="37"/>
        </w:numPr>
      </w:pPr>
      <w:r>
        <w:rPr>
          <w:b/>
          <w:i w:val="0"/>
        </w:rPr>
        <w:t>Rollout milestone</w:t>
      </w:r>
      <w:r>
        <w:rPr>
          <w:b w:val="0"/>
          <w:i w:val="0"/>
        </w:rPr>
        <w:t xml:space="preserve"> sebesar 30% dari estimasi investasi, ditagihkan setelah milestone terkait diterima.</w:t>
      </w:r>
    </w:p>
    <w:p>
      <w:pPr>
        <w:pStyle w:val="ListNumber"/>
        <w:spacing w:before="0" w:after="80"/>
        <w:numPr>
          <w:ilvl w:val="0"/>
          <w:numId w:val="37"/>
        </w:numPr>
      </w:pPr>
      <w:r>
        <w:rPr>
          <w:b/>
          <w:i w:val="0"/>
        </w:rPr>
        <w:t>Hypercare &amp; closure</w:t>
      </w:r>
      <w:r>
        <w:rPr>
          <w:b w:val="0"/>
          <w:i w:val="0"/>
        </w:rPr>
        <w:t xml:space="preserve"> sebesar 20% dari estimasi investasi, ditagihkan setelah milestone terkait diterima.</w:t>
      </w:r>
    </w:p>
    <w:p>
      <w:pPr>
        <w:pStyle w:val="Heading2"/>
      </w:pPr>
      <w:r>
        <w:rPr>
          <w:rFonts w:ascii="Arial" w:hAnsi="Arial"/>
          <w:b/>
          <w:color w:val="777877"/>
        </w:rPr>
        <w:t>12.2 Model Pekerjaan dan Batasan Pekerjaan</w:t>
      </w:r>
    </w:p>
    <w:p>
      <w:r>
        <w:rPr>
          <w:b w:val="0"/>
          <w:i w:val="0"/>
        </w:rPr>
        <w:t>Model kerja dirancang agar ruang lingkup delivery tetap fokus pada kebutuhan directive dan KPI seperti KPI outcome bisnis utama Angkasa Pura II bergerak positif dalam 7 bulan. | Kualitas operasi (incident, SLA, lead time) membaik dalam 7 bulan. Untuk Angkasa Pura II, disiplin komersial seperti ini penting agar keputusan investasi tetap berada dalam koridor manfaat bisnis dan risk appetite yang dapat dipertanggungjawabkan. Model pembiayaan yang baik harus mampu menjaga fleksibilitas eksekusi tanpa membuat biaya berkembang secara tidak terkendali. - Konteks Angkasa Pura II tetap menjadi acuan utama agar isi bab tidak bergeser menjadi generik. - Setiap butir pada bab ini harus bisa ditelusuri ke KPI, risiko, atau keputusan kerja yang nyata.</w:t>
      </w:r>
    </w:p>
    <w:p>
      <w:r>
        <w:br w:type="page"/>
      </w:r>
    </w:p>
    <w:p>
      <w:pPr>
        <w:pStyle w:val="Heading1"/>
        <w:jc w:val="center"/>
      </w:pPr>
      <w:r>
        <w:rPr>
          <w:color w:val="777877"/>
        </w:rPr>
        <w:t>PENUTUP &amp; APRESIASI KEMITRAAN</w:t>
      </w:r>
    </w:p>
    <w:p>
      <w:r>
        <w:rPr>
          <w:b w:val="0"/>
          <w:i w:val="0"/>
        </w:rPr>
        <w:t>Terima kasih atas kesempatan yang diberikan kepada Inixindo Jogja untuk menyusun proposal bagi Angkasa Pura II. Kami memandang inisiatif gelombang uji beban 9: penguatan tata kelola delivery, percepatan keputusan lintas unit, dan penyusunan roadmap eksekusi yang lebih...</w:t>
      </w:r>
    </w:p>
    <w:p>
      <w:pPr>
        <w:pStyle w:val="Heading2"/>
      </w:pPr>
      <w:r>
        <w:rPr>
          <w:rFonts w:ascii="Arial" w:hAnsi="Arial"/>
          <w:b/>
          <w:color w:val="777877"/>
        </w:rPr>
        <w:t>Apresiasi dan Komitmen Kemitraan</w:t>
      </w:r>
    </w:p>
    <w:p>
      <w:pPr>
        <w:pStyle w:val="ListNumber"/>
        <w:spacing w:before="0" w:after="80"/>
        <w:numPr>
          <w:ilvl w:val="0"/>
          <w:numId w:val="38"/>
        </w:numPr>
      </w:pPr>
      <w:r>
        <w:rPr>
          <w:b w:val="0"/>
          <w:i w:val="0"/>
        </w:rPr>
        <w:t>Kami mengapresiasi keterbukaan Angkasa Pura II dalam mengangkat konteks, tantangan, dan target bisnis yang menjadi dasar proposal ini.</w:t>
      </w:r>
    </w:p>
    <w:p>
      <w:pPr>
        <w:pStyle w:val="ListNumber"/>
        <w:spacing w:before="0" w:after="80"/>
        <w:numPr>
          <w:ilvl w:val="0"/>
          <w:numId w:val="38"/>
        </w:numPr>
      </w:pPr>
      <w:r>
        <w:rPr>
          <w:b w:val="0"/>
          <w:i w:val="0"/>
        </w:rPr>
        <w:t>Kami berkomitmen menjaga kualitas kolaborasi melalui cara kerja yang jelas, komunikasi yang responsif, dan deliverable yang dapat ditindaklanjuti, sejalan dengan positioning Inixindo Jogja sebagai Inixindo Jogja adalah mitra pembelajaran dan konsultasi yang membantu klien bergerak dari kebutuhan bisnis ke rencana eksekusi yang jelas, kredibel, dan dapat dijalankan.</w:t>
      </w:r>
    </w:p>
    <w:p>
      <w:pPr>
        <w:pStyle w:val="ListNumber"/>
        <w:spacing w:before="0" w:after="80"/>
        <w:numPr>
          <w:ilvl w:val="0"/>
          <w:numId w:val="38"/>
        </w:numPr>
      </w:pPr>
      <w:r>
        <w:rPr>
          <w:b w:val="0"/>
          <w:i w:val="0"/>
        </w:rPr>
        <w:t>Fokus awal kemitraan diarahkan pada prioritas seperti KPI outcome bisnis utama Angkasa Pura II bergerak positif dalam 7 bulan. | Kualitas operasi (incident, SLA, lead time) membaik dalam 7 bulan. | Efektivitas eksekusi proyek (on-time, on-budget, on-scope) tercapai dalam 7 bulan., dengan tata kelola dan ritme eksekusi yang stabil sejak kickoff.</w:t>
      </w:r>
    </w:p>
    <w:p>
      <w:pPr>
        <w:pStyle w:val="Heading2"/>
      </w:pPr>
      <w:r>
        <w:rPr>
          <w:rFonts w:ascii="Arial" w:hAnsi="Arial"/>
          <w:b/>
          <w:color w:val="777877"/>
        </w:rPr>
        <w:t>Informasi Kontak dan Langkah Lanjutan</w:t>
      </w:r>
    </w:p>
    <w:p>
      <w:r>
        <w:rPr>
          <w:b w:val="0"/>
          <w:i w:val="0"/>
        </w:rPr>
        <w:t>Untuk melanjutkan pembahasan, Inixindo Jogja siap menindaklanjuti review proposal, penajaman ruang lingkup, dan penyesuaian komersial yang diperlukan. - Konteks Angkasa Pura II tetap menjadi acuan utama agar isi bab tidak bergeser menjadi generik. - Setiap butir pada bab ini harus bisa ditelusuri ke KPI, risiko, atau keputusan kerja yang nyata.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num>
  <w:num w:numId="11">
    <w:abstractNumId w:val="7"/>
  </w:num>
  <w:num w:numId="12">
    <w:abstractNumId w:val="8"/>
  </w:num>
  <w:num w:numId="13">
    <w:abstractNumId w:val="8"/>
  </w:num>
  <w:num w:numId="14">
    <w:abstractNumId w:val="8"/>
  </w:num>
  <w:num w:numId="15">
    <w:abstractNumId w:val="8"/>
  </w:num>
  <w:num w:numId="16">
    <w:abstractNumId w:val="8"/>
  </w:num>
  <w:num w:numId="17">
    <w:abstractNumId w:val="8"/>
  </w:num>
  <w:num w:numId="18">
    <w:abstractNumId w:val="7"/>
  </w:num>
  <w:num w:numId="19">
    <w:abstractNumId w:val="7"/>
  </w:num>
  <w:num w:numId="20">
    <w:abstractNumId w:val="7"/>
  </w:num>
  <w:num w:numId="21">
    <w:abstractNumId w:val="8"/>
  </w:num>
  <w:num w:numId="22">
    <w:abstractNumId w:val="7"/>
  </w:num>
  <w:num w:numId="23">
    <w:abstractNumId w:val="8"/>
  </w:num>
  <w:num w:numId="24">
    <w:abstractNumId w:val="8"/>
  </w:num>
  <w:num w:numId="25">
    <w:abstractNumId w:val="8"/>
  </w:num>
  <w:num w:numId="26">
    <w:abstractNumId w:val="7"/>
  </w:num>
  <w:num w:numId="27">
    <w:abstractNumId w:val="8"/>
  </w:num>
  <w:num w:numId="28">
    <w:abstractNumId w:val="7"/>
  </w:num>
  <w:num w:numId="29">
    <w:abstractNumId w:val="8"/>
  </w:num>
  <w:num w:numId="30">
    <w:abstractNumId w:val="8"/>
  </w:num>
  <w:num w:numId="31">
    <w:abstractNumId w:val="7"/>
  </w:num>
  <w:num w:numId="32">
    <w:abstractNumId w:val="7"/>
  </w:num>
  <w:num w:numId="33">
    <w:abstractNumId w:val="7"/>
  </w:num>
  <w:num w:numId="34">
    <w:abstractNumId w:val="7"/>
  </w:num>
  <w:num w:numId="35">
    <w:abstractNumId w:val="7"/>
  </w:num>
  <w:num w:numId="36">
    <w:abstractNumId w:val="7"/>
  </w:num>
  <w:num w:numId="37">
    <w:abstractNumId w:val="7"/>
  </w:num>
  <w:num w:numId="3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76" w:after="160"/>
      <w:jc w:val="left"/>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