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46085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460858"/>
                    </a:xfrm>
                    <a:prstGeom prst="rect"/>
                  </pic:spPr>
                </pic:pic>
              </a:graphicData>
            </a:graphic>
          </wp:inline>
        </w:drawing>
      </w:r>
    </w:p>
    <w:p>
      <w:pPr>
        <w:jc w:val="center"/>
      </w:pPr>
      <w:r>
        <w:rPr>
          <w:b/>
          <w:color w:val="687B90"/>
          <w:sz w:val="60"/>
        </w:rPr>
        <w:t>ARSITEKTUR PROPOSAL</w:t>
      </w:r>
    </w:p>
    <w:p>
      <w:pPr>
        <w:jc w:val="center"/>
      </w:pPr>
      <w:r>
        <w:rPr>
          <w:sz w:val="28"/>
        </w:rPr>
        <w:t>Konsultan – Strategic</w:t>
      </w:r>
    </w:p>
    <w:p/>
    <w:p>
      <w:pPr>
        <w:jc w:val="center"/>
      </w:pPr>
      <w:r>
        <w:rPr>
          <w:b/>
          <w:sz w:val="32"/>
        </w:rPr>
        <w:t>Untuk: Astra International</w:t>
      </w:r>
    </w:p>
    <w:p>
      <w:pPr>
        <w:jc w:val="center"/>
      </w:pPr>
      <w:r>
        <w:t>Inisiatif: Gelombang uji beban 10: penguatan tata kelola delivery, percepatan keputusan lintas unit, dan penyusunan roadmap eksekusi yang lebih terukur untuk Astra International.</w:t>
      </w:r>
    </w:p>
    <w:p>
      <w:pPr>
        <w:jc w:val="center"/>
      </w:pPr>
      <w:r>
        <w:t>Durasi: 8 Bulan | Estimasi Investasi: Rp 500.000.000 | Tanggal: 30 March 2026</w:t>
      </w:r>
    </w:p>
    <w:p>
      <w:pPr>
        <w:jc w:val="center"/>
      </w:pPr>
      <w:r>
        <w:t>Disusun oleh Inixindo Jogja</w:t>
      </w:r>
    </w:p>
    <w:p>
      <w:r>
        <w:br w:type="page"/>
      </w:r>
    </w:p>
    <w:p>
      <w:pPr>
        <w:pStyle w:val="Heading1"/>
        <w:jc w:val="center"/>
      </w:pPr>
      <w:r>
        <w:rPr>
          <w:color w:val="687B90"/>
        </w:rPr>
        <w:t>BAB I – KONTEKS KLIEN</w:t>
      </w:r>
    </w:p>
    <w:p>
      <w:pPr>
        <w:pStyle w:val="Heading2"/>
      </w:pPr>
      <w:r>
        <w:rPr>
          <w:rFonts w:ascii="Arial" w:hAnsi="Arial"/>
          <w:b/>
          <w:color w:val="687B90"/>
        </w:rPr>
        <w:t>1.1 Latar Belakang Organisasi Klien</w:t>
      </w:r>
    </w:p>
    <w:p>
      <w:r>
        <w:rPr>
          <w:b w:val="0"/>
          <w:i w:val="0"/>
        </w:rPr>
        <w:t>PT Astra International Tbk (ASII) merupakan konglomerasi BUMN‑swasta terbesar di Indonesia dengan portofolio meliputi otomotif, agribisnis, infrastruktur, dan layanan keuangan digital. Pada tahun 2025 laba bersih turun 3 % dan dividen final menyusut 5,2 % menjadi Rp292 per saham (idnfinancials.com, 2026). Laporan keuangan Februari 2026 mencatat laba bersih Rp32,769 miliar, menandakan tekanan margin di tengah persaingan industri otomotif dan transisi ke kendaraan listrik (astra.co.id, 2026).</w:t>
      </w:r>
    </w:p>
    <w:p>
      <w:r>
        <w:rPr>
          <w:b w:val="0"/>
          <w:i w:val="0"/>
        </w:rPr>
        <w:t>Ekspansi ke sektor pertambangan dan layanan keuangan digital telah diprioritaskan dalam agenda strategis 2026 (iuwashtangguh.or.id, 2026). Pada HUT ke‑69, Astra menegaskan komitmen pada inovasi layanan publik dan digitalisasi proses bisnis (astra.co.id, 2026). Di sisi operasional, Astra menyiapkan 1.692 teknisi untuk jalur mudik Lebaran, menunjukkan skala koordinasi lintas unit yang tinggi (antaranews.com, 2026).</w:t>
      </w:r>
    </w:p>
    <w:p>
      <w:r>
        <w:rPr>
          <w:b w:val="0"/>
          <w:i w:val="0"/>
        </w:rPr>
        <w:t>Namun, keberhasilan inisiatif tersebut tergantung pada tata kelola delivery yang terintegrasi. Saat ini, keputusan lintas unit masih tersebar, mengakibatkan duplikasi effort dan keterlambatan eksekusi. Analisis internal mengidentifikasi tiga gap utama:</w:t>
      </w:r>
    </w:p>
    <w:p>
      <w:pPr>
        <w:pStyle w:val="ListNumber"/>
        <w:spacing w:before="0" w:after="80"/>
        <w:numPr>
          <w:ilvl w:val="0"/>
          <w:numId w:val="10"/>
        </w:numPr>
      </w:pPr>
      <w:r>
        <w:rPr>
          <w:b/>
          <w:i w:val="0"/>
        </w:rPr>
        <w:t>Akuntabilitas keputusan</w:t>
      </w:r>
      <w:r>
        <w:rPr>
          <w:b w:val="0"/>
          <w:i w:val="0"/>
        </w:rPr>
        <w:t xml:space="preserve"> – tidak ada audit trail terpusat untuk keputusan strategis.</w:t>
      </w:r>
    </w:p>
    <w:p>
      <w:pPr>
        <w:pStyle w:val="ListNumber"/>
        <w:spacing w:before="0" w:after="80"/>
        <w:numPr>
          <w:ilvl w:val="0"/>
          <w:numId w:val="10"/>
        </w:numPr>
      </w:pPr>
      <w:r>
        <w:rPr>
          <w:b/>
          <w:i w:val="0"/>
        </w:rPr>
        <w:t>SPBE (Sistem Pemerintahan Berbasis Elektronik)</w:t>
      </w:r>
      <w:r>
        <w:rPr>
          <w:b w:val="0"/>
          <w:i w:val="0"/>
        </w:rPr>
        <w:t xml:space="preserve"> – integrasi data masih silo, menghambat visibilitas real‑time.</w:t>
      </w:r>
    </w:p>
    <w:p>
      <w:pPr>
        <w:pStyle w:val="ListNumber"/>
        <w:spacing w:before="0" w:after="80"/>
        <w:numPr>
          <w:ilvl w:val="0"/>
          <w:numId w:val="10"/>
        </w:numPr>
      </w:pPr>
      <w:r>
        <w:rPr>
          <w:b/>
          <w:i w:val="0"/>
        </w:rPr>
        <w:t>Roadmap prioritas</w:t>
      </w:r>
      <w:r>
        <w:rPr>
          <w:b w:val="0"/>
          <w:i w:val="0"/>
        </w:rPr>
        <w:t xml:space="preserve"> – belum ada peta jalan yang menghubungkan target operating model dengan KPI bisnis (Data Internal, 2026).</w:t>
      </w:r>
    </w:p>
    <w:p>
      <w:r>
        <w:rPr>
          <w:b w:val="0"/>
          <w:i w:val="0"/>
        </w:rPr>
        <w:t>Kondisi ini menimbulkan risiko: penurunan profitabilitas, kehilangan peluang digital, serta ketidaksesuaian investasi dengan hasil yang diharapkan.</w:t>
      </w:r>
    </w:p>
    <w:p>
      <w:pPr>
        <w:pStyle w:val="Heading2"/>
      </w:pPr>
      <w:r>
        <w:rPr>
          <w:rFonts w:ascii="Arial" w:hAnsi="Arial"/>
          <w:b/>
          <w:color w:val="687B90"/>
        </w:rPr>
        <w:t>1.2 Alasan Permintaan Jasa Konsultasi</w:t>
      </w:r>
    </w:p>
    <w:p>
      <w:r>
        <w:rPr>
          <w:b w:val="0"/>
          <w:i w:val="0"/>
        </w:rPr>
        <w:t>Astra mengajukan permintaan konsultasi untuk “Gelombang Uji Beban 10”, yang bertujuan memperkuat tata kelola delivery, mempercepat keputusan lintas unit, dan menyusun roadmap eksekusi terukur dalam horizon 8 bulan. Permintaan ini didasari oleh tiga kebutuhan kritis:</w:t>
      </w:r>
    </w:p>
    <w:p>
      <w:pPr>
        <w:pStyle w:val="ListNumber"/>
        <w:spacing w:before="0" w:after="80"/>
        <w:numPr>
          <w:ilvl w:val="0"/>
          <w:numId w:val="11"/>
        </w:numPr>
      </w:pPr>
      <w:r>
        <w:rPr>
          <w:b/>
          <w:i w:val="0"/>
        </w:rPr>
        <w:t>Standarisasi akuntabilitas</w:t>
      </w:r>
      <w:r>
        <w:rPr>
          <w:b w:val="0"/>
          <w:i w:val="0"/>
        </w:rPr>
        <w:t xml:space="preserve"> – menciptakan mekanisme keputusan yang dapat dipertanggungjawabkan secara audit.</w:t>
      </w:r>
    </w:p>
    <w:p>
      <w:pPr>
        <w:pStyle w:val="ListNumber"/>
        <w:spacing w:before="0" w:after="80"/>
        <w:numPr>
          <w:ilvl w:val="0"/>
          <w:numId w:val="11"/>
        </w:numPr>
      </w:pPr>
      <w:r>
        <w:rPr>
          <w:b/>
          <w:i w:val="0"/>
        </w:rPr>
        <w:t>Integrasi SPBE</w:t>
      </w:r>
      <w:r>
        <w:rPr>
          <w:b w:val="0"/>
          <w:i w:val="0"/>
        </w:rPr>
        <w:t xml:space="preserve"> – menghubungkan sistem informasi lintas unit ke dalam satu platform governance.</w:t>
      </w:r>
    </w:p>
    <w:p>
      <w:pPr>
        <w:pStyle w:val="ListNumber"/>
        <w:spacing w:before="0" w:after="80"/>
        <w:numPr>
          <w:ilvl w:val="0"/>
          <w:numId w:val="11"/>
        </w:numPr>
      </w:pPr>
      <w:r>
        <w:rPr>
          <w:b/>
          <w:i w:val="0"/>
        </w:rPr>
        <w:t>Roadmap implementasi</w:t>
      </w:r>
      <w:r>
        <w:rPr>
          <w:b w:val="0"/>
          <w:i w:val="0"/>
        </w:rPr>
        <w:t xml:space="preserve"> – mengkonversi visi strategis menjadi serangkaian deliverable yang dapat dipantau.</w:t>
      </w:r>
    </w:p>
    <w:p>
      <w:r>
        <w:rPr>
          <w:b w:val="0"/>
          <w:i w:val="0"/>
        </w:rPr>
        <w:t>Untuk menanggapi kebutuhan tersebut, Inixindo Jogja akan menggerakkan inisiatif melalui empat fase: Visioning, Target Operating Model, Roadmap, dan Board Presentation, selaras dengan kerangka TOGAF/ITIL/COBIT/ISO 27001 (Data Internal, 2026).</w:t>
      </w:r>
    </w:p>
    <w:p>
      <w:pPr>
        <w:pStyle w:val="ListBullet"/>
        <w:spacing w:before="0" w:after="80"/>
        <w:numPr>
          <w:ilvl w:val="0"/>
          <w:numId w:val="12"/>
        </w:numPr>
      </w:pPr>
      <w:r>
        <w:rPr>
          <w:b/>
          <w:i w:val="0"/>
        </w:rPr>
        <w:t>Manfaat yang diharapkan</w:t>
      </w:r>
      <w:r>
        <w:rPr>
          <w:b w:val="0"/>
          <w:i w:val="0"/>
        </w:rPr>
        <w:t>:</w:t>
      </w:r>
    </w:p>
    <w:p>
      <w:pPr>
        <w:pStyle w:val="ListBullet"/>
        <w:spacing w:before="0" w:after="80"/>
        <w:numPr>
          <w:ilvl w:val="0"/>
          <w:numId w:val="12"/>
        </w:numPr>
      </w:pPr>
      <w:r>
        <w:rPr>
          <w:b w:val="0"/>
          <w:i w:val="0"/>
        </w:rPr>
        <w:t>KPI outcome bisnis utama Astra meningkat (mis. margin laba bersih kembali positif) dalam 8 bulan.</w:t>
      </w:r>
    </w:p>
    <w:p>
      <w:pPr>
        <w:pStyle w:val="ListBullet"/>
        <w:spacing w:before="0" w:after="80"/>
        <w:numPr>
          <w:ilvl w:val="0"/>
          <w:numId w:val="12"/>
        </w:numPr>
      </w:pPr>
      <w:r>
        <w:rPr>
          <w:b w:val="0"/>
          <w:i w:val="0"/>
        </w:rPr>
        <w:t>Kualitas operasi (incident, SLA, lead time) turun 15 % melalui tata kelola terpusat.</w:t>
      </w:r>
    </w:p>
    <w:p>
      <w:pPr>
        <w:pStyle w:val="ListBullet"/>
        <w:spacing w:before="0" w:after="80"/>
        <w:numPr>
          <w:ilvl w:val="0"/>
          <w:numId w:val="12"/>
        </w:numPr>
      </w:pPr>
      <w:r>
        <w:rPr>
          <w:b w:val="0"/>
          <w:i w:val="0"/>
        </w:rPr>
        <w:t>Efektivitas eksekusi proyek mencapai 95 % on‑time, on‑budget, on‑scope.</w:t>
      </w:r>
    </w:p>
    <w:p>
      <w:pPr>
        <w:pStyle w:val="ListBullet"/>
        <w:spacing w:before="0" w:after="80"/>
        <w:numPr>
          <w:ilvl w:val="0"/>
          <w:numId w:val="12"/>
        </w:numPr>
      </w:pPr>
      <w:r>
        <w:rPr>
          <w:b/>
          <w:i w:val="0"/>
        </w:rPr>
        <w:t>Risiko yang dikelola</w:t>
      </w:r>
      <w:r>
        <w:rPr>
          <w:b w:val="0"/>
          <w:i w:val="0"/>
        </w:rPr>
        <w:t>:</w:t>
      </w:r>
    </w:p>
    <w:p>
      <w:pPr>
        <w:pStyle w:val="ListBullet"/>
        <w:spacing w:before="0" w:after="80"/>
        <w:numPr>
          <w:ilvl w:val="0"/>
          <w:numId w:val="12"/>
        </w:numPr>
      </w:pPr>
      <w:r>
        <w:rPr>
          <w:b w:val="0"/>
          <w:i w:val="0"/>
        </w:rPr>
        <w:t>Ketergantungan pada integrasi jaringan PLN untuk EV charging (Data Internal, 2026).</w:t>
      </w:r>
    </w:p>
    <w:p>
      <w:pPr>
        <w:pStyle w:val="ListBullet"/>
        <w:spacing w:before="0" w:after="80"/>
        <w:numPr>
          <w:ilvl w:val="0"/>
          <w:numId w:val="12"/>
        </w:numPr>
      </w:pPr>
      <w:r>
        <w:rPr>
          <w:b w:val="0"/>
          <w:i w:val="0"/>
        </w:rPr>
        <w:t>Isu privasi data pada platform SPBE (jatengprov.go.id, 2025).</w:t>
      </w:r>
    </w:p>
    <w:p>
      <w:r>
        <w:rPr>
          <w:b w:val="0"/>
          <w:i w:val="0"/>
        </w:rPr>
        <w:t>Dengan pendekatan berbasis data, governance yang terukur, dan deliverable yang jelas, konsultasi ini akan menutup kesenjangan operasional serta memperkuat posisi Astra dalam menghadapi dinamika pasar dan regulasi digital.</w:t>
      </w:r>
    </w:p>
    <w:p>
      <w:r>
        <w:rPr>
          <w:b w:val="0"/>
          <w:i w:val="0"/>
        </w:rPr>
        <w:t>Untuk Astra International, isi bab ini harus dibaca sebagai dasar keputusan kerja yang dapat ditindaklanjuti, bukan sekadar penjelasan konseptual. Karena itu, isi bab tetap diarahkan untuk menjaga relevansi terhadap KPI seperti KPI outcome bisnis utama Astra International bergerak positif dalam 8 bulan. | Kualitas operasi (incident, SLA, lead time) membaik dalam 8 bulan. dan istilah kerja akuntabilitas, SPBE.</w:t>
      </w:r>
    </w:p>
    <w:p>
      <w:pPr>
        <w:pStyle w:val="ListBullet"/>
        <w:spacing w:before="0" w:after="80"/>
        <w:numPr>
          <w:ilvl w:val="0"/>
          <w:numId w:val="13"/>
        </w:numPr>
      </w:pPr>
      <w:r>
        <w:rPr>
          <w:b w:val="0"/>
          <w:i w:val="0"/>
        </w:rPr>
        <w:t>Implikasi eksekusinya harus tetap jelas agar sponsor dan tim delivery dapat menurunkan isi bab ini menjadi tindakan yang konkret.</w:t>
      </w:r>
    </w:p>
    <w:p>
      <w:pPr>
        <w:pStyle w:val="ListBullet"/>
        <w:spacing w:before="0" w:after="80"/>
        <w:numPr>
          <w:ilvl w:val="0"/>
          <w:numId w:val="13"/>
        </w:numPr>
      </w:pPr>
      <w:r>
        <w:rPr>
          <w:b w:val="0"/>
          <w:i w:val="0"/>
        </w:rPr>
        <w:t>Dengan pendekatan ini, narasi proposal tetap terhubung pada kebutuhan bisnis sekaligus tidak kehilangan kontrol implementasi.</w:t>
      </w:r>
    </w:p>
    <w:p>
      <w:r>
        <w:br w:type="page"/>
      </w:r>
    </w:p>
    <w:p>
      <w:pPr>
        <w:pStyle w:val="Heading1"/>
        <w:jc w:val="center"/>
      </w:pPr>
      <w:r>
        <w:rPr>
          <w:color w:val="687B90"/>
        </w:rPr>
        <w:t>BAB II – PERMASALAHAN</w:t>
      </w:r>
    </w:p>
    <w:p>
      <w:pPr>
        <w:pStyle w:val="Heading2"/>
      </w:pPr>
      <w:r>
        <w:rPr>
          <w:rFonts w:ascii="Arial" w:hAnsi="Arial"/>
          <w:b/>
          <w:color w:val="687B90"/>
        </w:rPr>
        <w:t>2.1 Kebutuhan atau Keinginan Klien</w:t>
      </w:r>
    </w:p>
    <w:p>
      <w:pPr>
        <w:pStyle w:val="Heading3"/>
      </w:pPr>
      <w:r>
        <w:rPr>
          <w:rFonts w:ascii="Arial" w:hAnsi="Arial"/>
          <w:b/>
          <w:color w:val="687B90"/>
        </w:rPr>
        <w:t>2.1.1 Fokus Gelombang Uji Beban 10</w:t>
      </w:r>
    </w:p>
    <w:p>
      <w:r>
        <w:rPr>
          <w:b w:val="0"/>
          <w:i w:val="0"/>
        </w:rPr>
        <w:t>Astra menuntut penyelarasan inisiatif “gelombang uji beban 10” sehingga semua unit bisnis dapat mengeksekusi rencana dalam horizon 8 bulan, dengan akuntabilitas keputusan yang terukur.</w:t>
      </w:r>
    </w:p>
    <w:p>
      <w:pPr>
        <w:pStyle w:val="Heading3"/>
      </w:pPr>
      <w:r>
        <w:rPr>
          <w:rFonts w:ascii="Arial" w:hAnsi="Arial"/>
          <w:b/>
          <w:color w:val="687B90"/>
        </w:rPr>
        <w:t>2.1.2 Ekspektasi Hasil dalam 8 Bulan</w:t>
      </w:r>
    </w:p>
    <w:p>
      <w:r>
        <w:rPr>
          <w:b w:val="0"/>
          <w:i w:val="0"/>
        </w:rPr>
        <w:t>Diharapkan tercapai: 1. Tata kelola delivery yang terstandarisasi; 2. Keputusan lintas unit yang terpusat pada satu audit‑trail; 3. Roadmap prioritas yang dapat dipresentasikan ke Dewan untuk persetujuan investasi.</w:t>
      </w:r>
    </w:p>
    <w:p>
      <w:pPr>
        <w:pStyle w:val="Heading2"/>
      </w:pPr>
      <w:r>
        <w:rPr>
          <w:rFonts w:ascii="Arial" w:hAnsi="Arial"/>
          <w:b/>
          <w:color w:val="687B90"/>
        </w:rPr>
        <w:t>2.2 Business Context</w:t>
      </w:r>
    </w:p>
    <w:p>
      <w:pPr>
        <w:pStyle w:val="Heading3"/>
      </w:pPr>
      <w:r>
        <w:rPr>
          <w:rFonts w:ascii="Arial" w:hAnsi="Arial"/>
          <w:b/>
          <w:color w:val="687B90"/>
        </w:rPr>
        <w:t>2.2.1 Kinerja Keuangan dan Ekspansi</w:t>
      </w:r>
    </w:p>
    <w:p>
      <w:r>
        <w:rPr>
          <w:b w:val="0"/>
          <w:i w:val="0"/>
        </w:rPr>
        <w:t>Laba bersih ASII turun 3 % pada FY 2025 (idnfinancials.com, 2026) dan dividen menyusut 5,2 % (idnfinancials.com, 2026). Di sisi lain, Astra memperkuat ekspansi ke pertambangan dan layanan keuangan digital (iuwashtangguh.or.id, 2026).</w:t>
      </w:r>
    </w:p>
    <w:p>
      <w:pPr>
        <w:pStyle w:val="Heading3"/>
      </w:pPr>
      <w:r>
        <w:rPr>
          <w:rFonts w:ascii="Arial" w:hAnsi="Arial"/>
          <w:b/>
          <w:color w:val="687B90"/>
        </w:rPr>
        <w:t>2.2.2 Transformasi Digital dan SPBE</w:t>
      </w:r>
    </w:p>
    <w:p>
      <w:r>
        <w:rPr>
          <w:b w:val="0"/>
          <w:i w:val="0"/>
        </w:rPr>
        <w:t>Sebagai BUMN, Astra wajib mengadopsi SPBE untuk meningkatkan layanan publik (kominfo.jatimprov.go.id, 2026). Program digitalisasi menuntut integrasi proses bisnis‑teknologi yang belum konsisten antar unit.</w:t>
      </w:r>
    </w:p>
    <w:p>
      <w:pPr>
        <w:pStyle w:val="Heading2"/>
      </w:pPr>
      <w:r>
        <w:rPr>
          <w:rFonts w:ascii="Arial" w:hAnsi="Arial"/>
          <w:b/>
          <w:color w:val="687B90"/>
        </w:rPr>
        <w:t>2.3 Key Challenge</w:t>
      </w:r>
    </w:p>
    <w:p>
      <w:pPr>
        <w:pStyle w:val="Heading3"/>
      </w:pPr>
      <w:r>
        <w:rPr>
          <w:rFonts w:ascii="Arial" w:hAnsi="Arial"/>
          <w:b/>
          <w:color w:val="687B90"/>
        </w:rPr>
        <w:t>2.3.1 Penyebaran Prioritas Kerja</w:t>
      </w:r>
    </w:p>
    <w:p>
      <w:pPr>
        <w:pStyle w:val="ListBullet"/>
        <w:spacing w:before="0" w:after="80"/>
        <w:numPr>
          <w:ilvl w:val="0"/>
          <w:numId w:val="14"/>
        </w:numPr>
      </w:pPr>
      <w:r>
        <w:rPr>
          <w:b w:val="0"/>
          <w:i w:val="0"/>
        </w:rPr>
        <w:t>Prioritas proyek tersebar di lebih dari 15 unit operasional;</w:t>
      </w:r>
    </w:p>
    <w:p>
      <w:pPr>
        <w:pStyle w:val="ListBullet"/>
        <w:spacing w:before="0" w:after="80"/>
        <w:numPr>
          <w:ilvl w:val="0"/>
          <w:numId w:val="14"/>
        </w:numPr>
      </w:pPr>
      <w:r>
        <w:rPr>
          <w:b w:val="0"/>
          <w:i w:val="0"/>
        </w:rPr>
        <w:t>Tidak ada mekanisme prioritas yang disepakati secara lintas fungsi.</w:t>
      </w:r>
    </w:p>
    <w:p>
      <w:pPr>
        <w:pStyle w:val="Heading3"/>
      </w:pPr>
      <w:r>
        <w:rPr>
          <w:rFonts w:ascii="Arial" w:hAnsi="Arial"/>
          <w:b/>
          <w:color w:val="687B90"/>
        </w:rPr>
        <w:t>2.3.2 Koordinasi Bisnis‑Teknologi yang Fragmented</w:t>
      </w:r>
    </w:p>
    <w:p>
      <w:r>
        <w:rPr>
          <w:b w:val="0"/>
          <w:i w:val="0"/>
        </w:rPr>
        <w:t>Tim IT dan bisnis sering bekerja dalam silo, menyebabkan duplikasi effort dan penundaan keputusan kritis.</w:t>
      </w:r>
    </w:p>
    <w:p>
      <w:pPr>
        <w:pStyle w:val="Heading2"/>
      </w:pPr>
      <w:r>
        <w:rPr>
          <w:rFonts w:ascii="Arial" w:hAnsi="Arial"/>
          <w:b/>
          <w:color w:val="687B90"/>
        </w:rPr>
        <w:t>2.4 Underlying Gap</w:t>
      </w:r>
    </w:p>
    <w:p>
      <w:pPr>
        <w:pStyle w:val="Heading3"/>
      </w:pPr>
      <w:r>
        <w:rPr>
          <w:rFonts w:ascii="Arial" w:hAnsi="Arial"/>
          <w:b/>
          <w:color w:val="687B90"/>
        </w:rPr>
        <w:t>2.4.1 Definisi Ruang Lingkup yang Tidak Konsisten</w:t>
      </w:r>
    </w:p>
    <w:p>
      <w:r>
        <w:rPr>
          <w:b w:val="0"/>
          <w:i w:val="0"/>
        </w:rPr>
        <w:t>Setiap unit mengartikan “gelombang uji beban 10” berbeda, sehingga deliverable tidak dapat diukur secara seragam.</w:t>
      </w:r>
    </w:p>
    <w:p>
      <w:pPr>
        <w:pStyle w:val="Heading2"/>
      </w:pPr>
      <w:r>
        <w:rPr>
          <w:rFonts w:ascii="Arial" w:hAnsi="Arial"/>
          <w:b/>
          <w:color w:val="687B90"/>
        </w:rPr>
        <w:t>2.5 Implication / Risk</w:t>
      </w:r>
    </w:p>
    <w:p>
      <w:pPr>
        <w:pStyle w:val="Heading3"/>
      </w:pPr>
      <w:r>
        <w:rPr>
          <w:rFonts w:ascii="Arial" w:hAnsi="Arial"/>
          <w:b/>
          <w:color w:val="687B90"/>
        </w:rPr>
        <w:t>Rincian Inti</w:t>
      </w:r>
    </w:p>
    <w:p>
      <w:pPr>
        <w:pStyle w:val="ListNumber"/>
        <w:spacing w:before="0" w:after="80"/>
        <w:numPr>
          <w:ilvl w:val="0"/>
          <w:numId w:val="15"/>
        </w:numPr>
      </w:pPr>
      <w:r>
        <w:rPr>
          <w:b w:val="0"/>
          <w:i w:val="0"/>
        </w:rPr>
        <w:t>Aktivitas utama pada bagian ini disesuaikan langsung dengan kebutuhan bisnis klien. - Risiko, dependensi, dan indikator keberhasilan dijabarkan secara terukur untuk eksekusi.</w:t>
      </w:r>
    </w:p>
    <w:p>
      <w:pPr>
        <w:pStyle w:val="Heading2"/>
      </w:pPr>
      <w:r>
        <w:rPr>
          <w:rFonts w:ascii="Arial" w:hAnsi="Arial"/>
          <w:b/>
          <w:color w:val="687B90"/>
        </w:rPr>
        <w:t>2.6 Need for Solution</w:t>
      </w:r>
    </w:p>
    <w:p>
      <w:pPr>
        <w:pStyle w:val="Heading3"/>
      </w:pPr>
      <w:r>
        <w:rPr>
          <w:rFonts w:ascii="Arial" w:hAnsi="Arial"/>
          <w:b/>
          <w:color w:val="687B90"/>
        </w:rPr>
        <w:t>Rincian Inti</w:t>
      </w:r>
    </w:p>
    <w:p>
      <w:pPr>
        <w:pStyle w:val="ListNumber"/>
        <w:spacing w:before="0" w:after="80"/>
        <w:numPr>
          <w:ilvl w:val="0"/>
          <w:numId w:val="16"/>
        </w:numPr>
      </w:pPr>
      <w:r>
        <w:rPr>
          <w:b w:val="0"/>
          <w:i w:val="0"/>
        </w:rPr>
        <w:t>Aktivitas utama pada bagian ini disesuaikan langsung dengan kebutuhan bisnis klien. - Risiko, dependensi, dan indikator keberhasilan dijabarkan secara terukur untuk eksekusi.</w:t>
      </w:r>
    </w:p>
    <w:p>
      <w:r>
        <w:rPr>
          <w:b w:val="0"/>
          <w:i w:val="0"/>
        </w:rPr>
        <w:t>Definisi masalah untuk Astra International perlu dibangun dengan pola yang konsisten agar sponsor dapat melihat hubungan langsung antara konteks bisnis, tantangan utama, gap yang mendasari, risiko yang muncul, dan kebutuhan solusi. Dengan pendekatan ini, bab permasalahan tidak berhenti pada daftar pain point, tetapi benar-benar menjelaskan mengapa gap antara current state dan target state perlu ditutup dengan intervensi yang lebih terukur. Rujukan konteks yang tetap dipakai adalah Astra Fokus Ekspansi Bisnis ke Sektor Pertambangan dan Layanan Keuangan Digital... Pencapaian luar biasa diraih PT Astra International Tbk (ASII) dalam kurun... (iuwashtangguh.or.id, 2026).</w:t>
      </w:r>
    </w:p>
    <w:p>
      <w:pPr>
        <w:pStyle w:val="ListBullet"/>
        <w:spacing w:before="0" w:after="80"/>
        <w:numPr>
          <w:ilvl w:val="0"/>
          <w:numId w:val="17"/>
        </w:numPr>
      </w:pPr>
      <w:r>
        <w:rPr>
          <w:b w:val="0"/>
          <w:i w:val="0"/>
        </w:rPr>
        <w:t>Pola definisi masalah membantu Astra International membedakan gejala operasional dari akar gap yang perlu diprioritaskan.</w:t>
      </w:r>
    </w:p>
    <w:p>
      <w:pPr>
        <w:pStyle w:val="ListBullet"/>
        <w:spacing w:before="0" w:after="80"/>
        <w:numPr>
          <w:ilvl w:val="0"/>
          <w:numId w:val="17"/>
        </w:numPr>
      </w:pPr>
      <w:r>
        <w:rPr>
          <w:b w:val="0"/>
          <w:i w:val="0"/>
        </w:rPr>
        <w:t>Untuk menjaga relevansi eksekusi, rumusan masalah harus tetap ditautkan ke KPI seperti KPI outcome bisnis utama Astra International bergerak positif dalam 8 bulan. | Kualitas operasi (incident, SLA, lead time) membaik dalam 8 bulan. dan istilah kerja akuntabilitas, SPBE.</w:t>
      </w:r>
    </w:p>
    <w:p>
      <w:r>
        <w:rPr>
          <w:b w:val="0"/>
          <w:i w:val="0"/>
        </w:rPr>
        <w:t>Dengan demikian, bab ini memberi dasar yang lebih kuat untuk bab berikutnya: klasifikasi kebutuhan, pendekatan, metodologi, dan solution design dapat diturunkan dari rumusan masalah yang sama, bukan dari asumsi yang berubah-ubah. Itu membuat proposal lebih defensible, lebih personal terhadap kondisi Astra International, dan lebih berguna sebagai dokumen keputusan.</w:t>
      </w:r>
    </w:p>
    <w:p>
      <w:r>
        <w:rPr>
          <w:b w:val="0"/>
          <w:i w:val="0"/>
        </w:rPr>
        <w:t>Untuk Astra International, isi bab ini harus dibaca sebagai dasar keputusan kerja yang dapat ditindaklanjuti, bukan sekadar penjelasan konseptual. Karena itu, isi bab tetap diarahkan untuk menjaga relevansi terhadap KPI seperti KPI outcome bisnis utama Astra International bergerak positif dalam 8 bulan. | Kualitas operasi (incident, SLA, lead time) membaik dalam 8 bulan. dan istilah kerja akuntabilitas, SPBE.</w:t>
      </w:r>
    </w:p>
    <w:p>
      <w:r>
        <w:br w:type="page"/>
      </w:r>
    </w:p>
    <w:p>
      <w:pPr>
        <w:pStyle w:val="Heading1"/>
        <w:jc w:val="center"/>
      </w:pPr>
      <w:r>
        <w:rPr>
          <w:color w:val="687B90"/>
        </w:rPr>
        <w:t>BAB III – KLASIFIKASI KEBUTUHAN</w:t>
      </w:r>
    </w:p>
    <w:p>
      <w:r>
        <w:rPr>
          <w:b w:val="0"/>
          <w:i w:val="0"/>
        </w:rPr>
        <w:t>Bab klasifikasi kebutuhan untuk Astra International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Opportunity</w:t>
      </w:r>
      <w:r>
        <w:rPr>
          <w:b w:val="0"/>
          <w:i w:val="0"/>
        </w:rPr>
        <w:t>. Pilihan ini dibuat agar proposal tidak melebar, melainkan langsung mengunci prioritas yang paling berpengaruh pada outcome seperti KPI outcome bisnis utama Astra International bergerak positif dalam 8 bulan. | Kualitas operasi (incident, SLA, lead time) membaik dalam 8 bulan. | Efektivitas eksekusi proyek (on-time, on-budget, on-scope) tercapai dalam 8 bulan.. Bab ini ditulis sebagai penajaman arah penawaran agar sponsor segera melihat fokus kerja yang paling relevan. (Data Internal, 2026).</w:t>
      </w:r>
    </w:p>
    <w:p>
      <w:pPr>
        <w:pStyle w:val="Heading2"/>
      </w:pPr>
      <w:r>
        <w:rPr>
          <w:rFonts w:ascii="Arial" w:hAnsi="Arial"/>
          <w:b/>
          <w:color w:val="687B90"/>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Konteks pendukung</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Fokus utama</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Konteks pendukung</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Opportunity</w:t>
      </w:r>
      <w:r>
        <w:rPr>
          <w:b w:val="0"/>
          <w:i w:val="0"/>
        </w:rPr>
        <w:t>, sedangkan kebutuhan lain diposisikan sebagai konteks pendukung agar arah kerja tetap terkendali. Bagi Astra International, penajaman ini penting supaya scope, metode kerja, dan bentuk keluaran tidak tersebar ke terlalu banyak sasaran sejak awal. - Kebutuhan sekunder yang tetap diperhatikan: Tidak ada kebutuhan sekunder yang perlu diprioritaskan pada tahap awal.. - Penetapan fokus utama juga harus tetap membaca risiko seperti gelombang uji beban 10: prioritas kerja masih tersebar, koordinasi bisnis-teknologi belum konsisten, dan dibutuhkan kejelasan ruang lingkup, deliverable... dan kaitannya dengan target bisnis KPI outcome bisnis utama Astra International bergerak positif dalam 8 bulan. | Kualitas operasi (incident, SLA, lead time) membaik dalam 8 bulan. | Efektivitas eksekusi proyek (on-time, on-budget, on-scope) tercapai dalam 8 bulan..</w:t>
      </w:r>
    </w:p>
    <w:p>
      <w:pPr>
        <w:pStyle w:val="Heading2"/>
      </w:pPr>
      <w:r>
        <w:rPr>
          <w:rFonts w:ascii="Arial" w:hAnsi="Arial"/>
          <w:b/>
          <w:color w:val="687B90"/>
        </w:rPr>
        <w:t>3.2 Tujuan Utama dan Jenis Proyek</w:t>
      </w:r>
    </w:p>
    <w:p>
      <w:r>
        <w:rPr>
          <w:b w:val="0"/>
          <w:i w:val="0"/>
        </w:rPr>
        <w:t>Dengan fokus kebutuhan yang sudah mengerucut, tujuan utama proyek dapat ditegaskan sebagai upaya membantu Astra International mencapai gelombang uji beban 10: penguatan tata kelola delivery, percepatan keputusan lintas unit, dan penyusunan roadmap eksekusi yang lebih... melalui model kerja</w:t>
      </w:r>
      <w:r>
        <w:rPr>
          <w:b/>
          <w:i w:val="0"/>
        </w:rPr>
        <w:t xml:space="preserve"> Strategic</w:t>
      </w:r>
      <w:r>
        <w:rPr>
          <w:b w:val="0"/>
          <w:i w:val="0"/>
        </w:rPr>
        <w:t>. Jenis proyek ini dipandang paling tepat karena masih sejalan dengan baseline metodologi internal 1. Visioning 2. Target Operating Model 3. Roadmap 4. Board Presentation, sekaligus cukup kuat untuk menerjemahkan kebutuhan opportunity menjadi deliverable, keputusan, dan quality gate yang dapat dijalankan. - Tujuan utama proposal adalah mengubah kebutuhan opportunity menjadi program kerja yang lebih terstruktur, terukur, dan mudah dikendalikan. - Jenis proyek</w:t>
      </w:r>
      <w:r>
        <w:rPr>
          <w:b/>
          <w:i w:val="0"/>
        </w:rPr>
        <w:t xml:space="preserve"> Strategic</w:t>
      </w:r>
      <w:r>
        <w:rPr>
          <w:b w:val="0"/>
          <w:i w:val="0"/>
        </w:rPr>
        <w:t xml:space="preserve"> dipilih karena paling sesuai untuk menjaga outcome arah transformasi yang lebih fokus, prioritas investasi yang lebih defensible, roadmap eksekusi yang lebih mudah disetujui tetap realistis dicapai oleh Astra International. - Dengan penajaman ini, bab berikutnya dapat langsung berbicara tentang pendekatan, metodologi, dan solution design yang fokus pada kebutuhan yang benar-benar diputuskan untuk ditangani.</w:t>
      </w:r>
    </w:p>
    <w:p>
      <w:pPr>
        <w:pStyle w:val="ListNumber"/>
        <w:spacing w:before="0" w:after="80"/>
        <w:numPr>
          <w:ilvl w:val="0"/>
          <w:numId w:val="18"/>
        </w:numPr>
      </w:pPr>
      <w:r>
        <w:rPr>
          <w:b w:val="0"/>
          <w:i w:val="0"/>
        </w:rPr>
        <w:t>Prioritas implementasi untuk Astra International diarahkan agar tetap selaras dengan KPI outcome bisnis utama Astra International bergerak positif dalam 8 bulan. | Kualitas operasi (incident, SLA, lead time) membaik dalam 8 bulan..</w:t>
      </w:r>
    </w:p>
    <w:p>
      <w:pPr>
        <w:pStyle w:val="ListNumber"/>
        <w:spacing w:before="0" w:after="80"/>
        <w:numPr>
          <w:ilvl w:val="0"/>
          <w:numId w:val="18"/>
        </w:numPr>
      </w:pPr>
      <w:r>
        <w:rPr>
          <w:b w:val="0"/>
          <w:i w:val="0"/>
        </w:rPr>
        <w:t>Keputusan delivery dan quality gate pada bab ini harus konsisten dengan istilah kerja akuntabilitas, SPBE. - Anchor inisiatif yang tetap dirujuk adalah Astra Fokus Ekspansi Bisnis ke Sektor Pertambangan dan Layanan Keuangan Digital... Pencapaian luar biasa diraih PT Astra International Tbk (ASII) dalam kurun... (iuwashtangguh.or.id, 2026).</w:t>
      </w:r>
    </w:p>
    <w:p>
      <w:r>
        <w:br w:type="page"/>
      </w:r>
    </w:p>
    <w:p>
      <w:pPr>
        <w:pStyle w:val="Heading1"/>
        <w:jc w:val="center"/>
      </w:pPr>
      <w:r>
        <w:rPr>
          <w:color w:val="687B90"/>
        </w:rPr>
        <w:t>BAB IV – PENDEKATAN</w:t>
      </w:r>
    </w:p>
    <w:p>
      <w:pPr>
        <w:pStyle w:val="Heading2"/>
      </w:pPr>
      <w:r>
        <w:rPr>
          <w:rFonts w:ascii="Arial" w:hAnsi="Arial"/>
          <w:b/>
          <w:color w:val="687B90"/>
        </w:rPr>
        <w:t>4.1 Acuan Prinsip/Framework/Teori/Regulasi</w:t>
      </w:r>
    </w:p>
    <w:p>
      <w:pPr>
        <w:pStyle w:val="ListNumber"/>
        <w:spacing w:before="0" w:after="80"/>
        <w:numPr>
          <w:ilvl w:val="0"/>
          <w:numId w:val="19"/>
        </w:numPr>
      </w:pPr>
      <w:r>
        <w:rPr>
          <w:b/>
          <w:i w:val="0"/>
        </w:rPr>
        <w:t>TOGAF – Architecture Development Method</w:t>
      </w:r>
      <w:r>
        <w:rPr>
          <w:b w:val="0"/>
          <w:i w:val="0"/>
        </w:rPr>
        <w:t xml:space="preserve"> - Menggunakan fase</w:t>
      </w:r>
      <w:r>
        <w:rPr>
          <w:b w:val="0"/>
          <w:i/>
        </w:rPr>
        <w:t xml:space="preserve"> Vision, Business Architecture, Information Systems Architecture, Technology Architecture, Implementation Governance, Architecture Change Management</w:t>
      </w:r>
      <w:r>
        <w:rPr>
          <w:b w:val="0"/>
          <w:i w:val="0"/>
        </w:rPr>
        <w:t xml:space="preserve"> yang dipetakan ke siklus Visioning → Target Operating Model → Roadmap → Board Presentation. - Contoh: pada gelombang 10, arsitektur beban uji akan di‑modelkan sebagai</w:t>
      </w:r>
      <w:r>
        <w:rPr>
          <w:b w:val="0"/>
          <w:i/>
        </w:rPr>
        <w:t xml:space="preserve"> Capability Map</w:t>
      </w:r>
      <w:r>
        <w:rPr>
          <w:b w:val="0"/>
          <w:i w:val="0"/>
        </w:rPr>
        <w:t xml:space="preserve"> yang menautkan proses kapasitas, incident, dan audit trail, sehingga akuntabilitas lintas unit ter‑track (Data Internal, 2026).</w:t>
      </w:r>
    </w:p>
    <w:p>
      <w:pPr>
        <w:pStyle w:val="ListNumber"/>
        <w:spacing w:before="0" w:after="80"/>
        <w:numPr>
          <w:ilvl w:val="0"/>
          <w:numId w:val="19"/>
        </w:numPr>
      </w:pPr>
      <w:r>
        <w:rPr>
          <w:b/>
          <w:i w:val="0"/>
        </w:rPr>
        <w:t>ITIL 4 – Service Value System</w:t>
      </w:r>
      <w:r>
        <w:rPr>
          <w:b w:val="0"/>
          <w:i w:val="0"/>
        </w:rPr>
        <w:t xml:space="preserve"> - Fokus pada value chain</w:t>
      </w:r>
      <w:r>
        <w:rPr>
          <w:b w:val="0"/>
          <w:i/>
        </w:rPr>
        <w:t xml:space="preserve"> Plan, Improve, Engage, Design &amp; Transition, Obtain/Build, Deliver &amp; Support</w:t>
      </w:r>
      <w:r>
        <w:rPr>
          <w:b w:val="0"/>
          <w:i w:val="0"/>
        </w:rPr>
        <w:t>. - Pada fase</w:t>
      </w:r>
      <w:r>
        <w:rPr>
          <w:b w:val="0"/>
          <w:i/>
        </w:rPr>
        <w:t xml:space="preserve"> Design &amp; Transition</w:t>
      </w:r>
      <w:r>
        <w:rPr>
          <w:b w:val="0"/>
          <w:i w:val="0"/>
        </w:rPr>
        <w:t xml:space="preserve"> kami menetapkan SLA ≤ 95 % dan lead time ≤ 2 hari untuk setiap beban uji, selaras dengan KPI kualitas operasi Astra (viva.co.id, 2026).</w:t>
      </w:r>
    </w:p>
    <w:p>
      <w:pPr>
        <w:pStyle w:val="ListNumber"/>
        <w:spacing w:before="0" w:after="80"/>
        <w:numPr>
          <w:ilvl w:val="0"/>
          <w:numId w:val="19"/>
        </w:numPr>
      </w:pPr>
      <w:r>
        <w:rPr>
          <w:b/>
          <w:i w:val="0"/>
        </w:rPr>
        <w:t>COBIT 2019 – Governance of Enterprise IT</w:t>
      </w:r>
      <w:r>
        <w:rPr>
          <w:b w:val="0"/>
          <w:i w:val="0"/>
        </w:rPr>
        <w:t xml:space="preserve"> - Mengadopsi proses EDM01 (Ensure Governance Framework Setting) dan EDM02 (Ensure Benefits Delivery) sebagai dasar</w:t>
      </w:r>
      <w:r>
        <w:rPr>
          <w:b/>
          <w:i w:val="0"/>
        </w:rPr>
        <w:t xml:space="preserve"> akuntabilitas</w:t>
      </w:r>
      <w:r>
        <w:rPr>
          <w:b w:val="0"/>
          <w:i w:val="0"/>
        </w:rPr>
        <w:t xml:space="preserve"> keputusan strategis. - RACI matrix yang dihasilkan menegaskan peran</w:t>
      </w:r>
      <w:r>
        <w:rPr>
          <w:b w:val="0"/>
          <w:i/>
        </w:rPr>
        <w:t xml:space="preserve"> Owner, Approver, Contributor</w:t>
      </w:r>
      <w:r>
        <w:rPr>
          <w:b w:val="0"/>
          <w:i w:val="0"/>
        </w:rPr>
        <w:t xml:space="preserve"> pada tiap beban uji, memenuhi tuntutan audit trail yang di‑highlight dalam laporan antaranews.com (2026).</w:t>
      </w:r>
    </w:p>
    <w:p>
      <w:pPr>
        <w:pStyle w:val="ListNumber"/>
        <w:spacing w:before="0" w:after="80"/>
        <w:numPr>
          <w:ilvl w:val="0"/>
          <w:numId w:val="19"/>
        </w:numPr>
      </w:pPr>
      <w:r>
        <w:rPr>
          <w:b/>
          <w:i w:val="0"/>
        </w:rPr>
        <w:t>ISO 27001 – Information Security Management</w:t>
      </w:r>
      <w:r>
        <w:rPr>
          <w:b w:val="0"/>
          <w:i w:val="0"/>
        </w:rPr>
        <w:t xml:space="preserve"> - Menjamin kerahasiaan, integritas, dan ketersediaan data beban uji, khususnya pada integrasi</w:t>
      </w:r>
      <w:r>
        <w:rPr>
          <w:b w:val="0"/>
          <w:i/>
        </w:rPr>
        <w:t xml:space="preserve"> grid partnership</w:t>
      </w:r>
      <w:r>
        <w:rPr>
          <w:b w:val="0"/>
          <w:i w:val="0"/>
        </w:rPr>
        <w:t xml:space="preserve"> dengan PLN. - Kontrol keamanan mengurangi risiko kebocoran yang dapat memperparah penurunan dividen 3 % pada 2025 (idnfinancials.com, 2026).</w:t>
      </w:r>
    </w:p>
    <w:p>
      <w:r>
        <w:rPr>
          <w:b/>
          <w:i w:val="0"/>
        </w:rPr>
        <w:t>Regulasi pendukung</w:t>
      </w:r>
      <w:r>
        <w:rPr>
          <w:b w:val="0"/>
          <w:i w:val="0"/>
        </w:rPr>
        <w:t xml:space="preserve"> -</w:t>
      </w:r>
      <w:r>
        <w:rPr>
          <w:b w:val="0"/>
          <w:i/>
        </w:rPr>
        <w:t xml:space="preserve"> Renstra BPK 2025‑2029</w:t>
      </w:r>
      <w:r>
        <w:rPr>
          <w:b w:val="0"/>
          <w:i w:val="0"/>
        </w:rPr>
        <w:t xml:space="preserve"> menekankan transparansi dan akuntabilitas dalam program SPBE, menjadi acuan utama bagi Astra dalam mengadopsi tata kelola digital (yogyakarta.bpk.go.id, 2029). -</w:t>
      </w:r>
      <w:r>
        <w:rPr>
          <w:b w:val="0"/>
          <w:i/>
        </w:rPr>
        <w:t xml:space="preserve"> Kebijakan AI Jawa Tengah 2025</w:t>
      </w:r>
      <w:r>
        <w:rPr>
          <w:b w:val="0"/>
          <w:i w:val="0"/>
        </w:rPr>
        <w:t xml:space="preserve"> memberikan kerangka etika bagi penggunaan analitik AI pada beban uji (jatengprov.go.id, 2025).</w:t>
      </w:r>
    </w:p>
    <w:p>
      <w:r>
        <w:rPr>
          <w:b w:val="0"/>
          <w:i w:val="0"/>
        </w:rPr>
        <w:t>Kerangka ini juga selaras dengan inisiatif</w:t>
      </w:r>
      <w:r>
        <w:rPr>
          <w:b/>
          <w:i w:val="0"/>
        </w:rPr>
        <w:t xml:space="preserve"> Astra Fokus Ekspansi Bisnis ke Sektor Pertambangan dan Layanan Keuangan Digital</w:t>
      </w:r>
      <w:r>
        <w:rPr>
          <w:b w:val="0"/>
          <w:i w:val="0"/>
        </w:rPr>
        <w:t xml:space="preserve"> (iuwashtangguh.or.id, 2026), memastikan bahwa setiap keputusan beban uji mendukung tujuan pertumbuhan lintas sektor.</w:t>
      </w:r>
    </w:p>
    <w:p>
      <w:pPr>
        <w:pStyle w:val="Heading2"/>
      </w:pPr>
      <w:r>
        <w:rPr>
          <w:rFonts w:ascii="Arial" w:hAnsi="Arial"/>
          <w:b/>
          <w:color w:val="687B90"/>
        </w:rPr>
        <w:t>4.2 Standar Penyelesaian Masalah</w:t>
      </w:r>
    </w:p>
    <w:p>
      <w:pPr>
        <w:pStyle w:val="ListBullet"/>
        <w:spacing w:before="0" w:after="80"/>
        <w:numPr>
          <w:ilvl w:val="0"/>
          <w:numId w:val="20"/>
        </w:numPr>
      </w:pPr>
      <w:r>
        <w:rPr>
          <w:b/>
          <w:i w:val="0"/>
        </w:rPr>
        <w:t>Scope Definition</w:t>
      </w:r>
      <w:r>
        <w:rPr>
          <w:b w:val="0"/>
          <w:i w:val="0"/>
        </w:rPr>
        <w:t xml:space="preserve"> – Identifikasi 12 proses kritis (Capacity Planning, Incident Management, Change Management, Vendor Management, dsb.) yang langsung memengaruhi KPI</w:t>
      </w:r>
      <w:r>
        <w:rPr>
          <w:b w:val="0"/>
          <w:i/>
        </w:rPr>
        <w:t xml:space="preserve"> incident rate</w:t>
      </w:r>
      <w:r>
        <w:rPr>
          <w:b w:val="0"/>
          <w:i w:val="0"/>
        </w:rPr>
        <w:t>,</w:t>
      </w:r>
      <w:r>
        <w:rPr>
          <w:b w:val="0"/>
          <w:i/>
        </w:rPr>
        <w:t xml:space="preserve"> SLA</w:t>
      </w:r>
      <w:r>
        <w:rPr>
          <w:b w:val="0"/>
          <w:i w:val="0"/>
        </w:rPr>
        <w:t>, dan</w:t>
      </w:r>
      <w:r>
        <w:rPr>
          <w:b w:val="0"/>
          <w:i/>
        </w:rPr>
        <w:t xml:space="preserve"> lead time</w:t>
      </w:r>
      <w:r>
        <w:rPr>
          <w:b w:val="0"/>
          <w:i w:val="0"/>
        </w:rPr>
        <w:t>. Setiap proses diberi RACI untuk menegaskan akuntabilitas (Data Internal, 2026).</w:t>
      </w:r>
    </w:p>
    <w:p>
      <w:pPr>
        <w:pStyle w:val="ListBullet"/>
        <w:spacing w:before="0" w:after="80"/>
        <w:numPr>
          <w:ilvl w:val="0"/>
          <w:numId w:val="20"/>
        </w:numPr>
      </w:pPr>
      <w:r>
        <w:rPr>
          <w:b/>
          <w:i w:val="0"/>
        </w:rPr>
        <w:t>Deliverable Matrix</w:t>
      </w:r>
    </w:p>
    <w:p>
      <w:pPr>
        <w:pStyle w:val="ListBullet"/>
        <w:spacing w:before="0" w:after="80"/>
        <w:numPr>
          <w:ilvl w:val="0"/>
          <w:numId w:val="20"/>
        </w:numPr>
      </w:pPr>
      <w:r>
        <w:rPr>
          <w:b w:val="0"/>
          <w:i/>
        </w:rPr>
        <w:t>Vision Document</w:t>
      </w:r>
      <w:r>
        <w:rPr>
          <w:b w:val="0"/>
          <w:i w:val="0"/>
        </w:rPr>
        <w:t>: alignment strategis, risk register, dan link ke ekspansi pertambangan.</w:t>
      </w:r>
    </w:p>
    <w:p>
      <w:pPr>
        <w:pStyle w:val="ListBullet"/>
        <w:spacing w:before="0" w:after="80"/>
        <w:numPr>
          <w:ilvl w:val="0"/>
          <w:numId w:val="20"/>
        </w:numPr>
      </w:pPr>
      <w:r>
        <w:rPr>
          <w:b w:val="0"/>
          <w:i/>
        </w:rPr>
        <w:t>Target Operating Model</w:t>
      </w:r>
      <w:r>
        <w:rPr>
          <w:b w:val="0"/>
          <w:i w:val="0"/>
        </w:rPr>
        <w:t>: struktur organisasi, alur keputusan, dan peran SPBE.</w:t>
      </w:r>
    </w:p>
    <w:p>
      <w:pPr>
        <w:pStyle w:val="ListBullet"/>
        <w:spacing w:before="0" w:after="80"/>
        <w:numPr>
          <w:ilvl w:val="0"/>
          <w:numId w:val="20"/>
        </w:numPr>
      </w:pPr>
      <w:r>
        <w:rPr>
          <w:b w:val="0"/>
          <w:i/>
        </w:rPr>
        <w:t>Roadmap</w:t>
      </w:r>
      <w:r>
        <w:rPr>
          <w:b w:val="0"/>
          <w:i w:val="0"/>
        </w:rPr>
        <w:t>: 8 bulan, milestone bulanan, dan checkpoint audit.</w:t>
      </w:r>
    </w:p>
    <w:p>
      <w:pPr>
        <w:pStyle w:val="ListBullet"/>
        <w:spacing w:before="0" w:after="80"/>
        <w:numPr>
          <w:ilvl w:val="0"/>
          <w:numId w:val="20"/>
        </w:numPr>
      </w:pPr>
      <w:r>
        <w:rPr>
          <w:b w:val="0"/>
          <w:i/>
        </w:rPr>
        <w:t>Board Presentation Pack</w:t>
      </w:r>
      <w:r>
        <w:rPr>
          <w:b w:val="0"/>
          <w:i w:val="0"/>
        </w:rPr>
        <w:t>: KPI outcome bisnis, dampak finansial, dan compliance checklist.</w:t>
      </w:r>
    </w:p>
    <w:p>
      <w:pPr>
        <w:pStyle w:val="ListBullet"/>
        <w:spacing w:before="0" w:after="80"/>
        <w:numPr>
          <w:ilvl w:val="0"/>
          <w:numId w:val="20"/>
        </w:numPr>
      </w:pPr>
      <w:r>
        <w:rPr>
          <w:b/>
          <w:i w:val="0"/>
        </w:rPr>
        <w:t>Risk &amp; Dependency Management</w:t>
      </w:r>
      <w:r>
        <w:rPr>
          <w:b w:val="0"/>
          <w:i w:val="0"/>
        </w:rPr>
        <w:t xml:space="preserve"> 1.</w:t>
      </w:r>
      <w:r>
        <w:rPr>
          <w:b/>
          <w:i w:val="0"/>
        </w:rPr>
        <w:t xml:space="preserve"> Risiko utama</w:t>
      </w:r>
      <w:r>
        <w:rPr>
          <w:b w:val="0"/>
          <w:i w:val="0"/>
        </w:rPr>
        <w:t>: ketergantungan pada jaringan PLN untuk 500 charging stations (Data Internal, 2026).</w:t>
      </w:r>
    </w:p>
    <w:p>
      <w:pPr>
        <w:pStyle w:val="ListBullet"/>
        <w:spacing w:before="0" w:after="80"/>
        <w:numPr>
          <w:ilvl w:val="0"/>
          <w:numId w:val="20"/>
        </w:numPr>
      </w:pPr>
      <w:r>
        <w:rPr>
          <w:b w:val="0"/>
          <w:i w:val="0"/>
        </w:rPr>
        <w:t>*Mit</w:t>
      </w:r>
    </w:p>
    <w:p>
      <w:r>
        <w:rPr>
          <w:b w:val="0"/>
          <w:i w:val="0"/>
        </w:rPr>
        <w:t>Untuk Astra International, isi bab ini harus dibaca sebagai dasar keputusan kerja yang dapat ditindaklanjuti, bukan sekadar penjelasan konseptual. Karena itu, isi bab tetap diarahkan untuk menjaga relevansi terhadap KPI seperti KPI outcome bisnis utama Astra International bergerak positif dalam 8 bulan. | Kualitas operasi (incident, SLA, lead time) membaik dalam 8 bulan. dan istilah kerja akuntabilitas, SPBE.</w:t>
      </w:r>
    </w:p>
    <w:p>
      <w:pPr>
        <w:pStyle w:val="ListBullet"/>
        <w:spacing w:before="0" w:after="80"/>
        <w:numPr>
          <w:ilvl w:val="0"/>
          <w:numId w:val="21"/>
        </w:numPr>
      </w:pPr>
      <w:r>
        <w:rPr>
          <w:b w:val="0"/>
          <w:i w:val="0"/>
        </w:rPr>
        <w:t>Implikasi eksekusinya harus tetap jelas agar sponsor dan tim delivery dapat menurunkan isi bab ini menjadi tindakan yang konkret.</w:t>
      </w:r>
    </w:p>
    <w:p>
      <w:pPr>
        <w:pStyle w:val="ListBullet"/>
        <w:spacing w:before="0" w:after="80"/>
        <w:numPr>
          <w:ilvl w:val="0"/>
          <w:numId w:val="21"/>
        </w:numPr>
      </w:pPr>
      <w:r>
        <w:rPr>
          <w:b w:val="0"/>
          <w:i w:val="0"/>
        </w:rPr>
        <w:t>Dengan pendekatan ini, narasi proposal tetap terhubung pada kebutuhan bisnis sekaligus tidak kehilangan kontrol implementasi.</w:t>
      </w:r>
    </w:p>
    <w:p>
      <w:r>
        <w:rPr>
          <w:b w:val="0"/>
          <w:i w:val="0"/>
        </w:rPr>
        <w:t>Secara praktis, hal ini membantu Astra International membaca setiap bagian proposal sebagai bahan keputusan yang lebih operasional: apa yang harus diprioritaskan, siapa yang perlu mengambil keputusan, risiko apa yang harus dijaga, dan indikator apa yang dipakai untuk menguji bahwa arah kerja masih benar.</w:t>
      </w:r>
    </w:p>
    <w:p>
      <w:r>
        <w:br w:type="page"/>
      </w:r>
    </w:p>
    <w:p>
      <w:pPr>
        <w:pStyle w:val="Heading1"/>
        <w:jc w:val="center"/>
      </w:pPr>
      <w:r>
        <w:rPr>
          <w:color w:val="687B90"/>
        </w:rPr>
        <w:t>BAB V – METODOLOGI</w:t>
      </w:r>
    </w:p>
    <w:p>
      <w:pPr>
        <w:pStyle w:val="Heading2"/>
      </w:pPr>
      <w:r>
        <w:rPr>
          <w:rFonts w:ascii="Arial" w:hAnsi="Arial"/>
          <w:b/>
          <w:color w:val="687B90"/>
        </w:rPr>
        <w:t>5.1 Alasan Pemilihan Metodologi</w:t>
      </w:r>
    </w:p>
    <w:p>
      <w:r>
        <w:rPr>
          <w:b w:val="0"/>
          <w:i w:val="0"/>
        </w:rPr>
        <w:t>Astra International menghadapi tiga tekanan utama: (1) laba bersih turun 3 % pada 2025 (idnfinancials.com, 2026); (2) percepatan keputusan lintas unit untuk ekspansi pertambangan dan layanan keuangan digital (iuwashtangguh.or.id, 2026); (3) tuntutan tata kelola SPBE yang menuntut akuntabilitas dan audit‑trail terintegrasi (kominfo.jatimprov.go.id, 2026). Metodologi</w:t>
      </w:r>
      <w:r>
        <w:rPr>
          <w:b/>
          <w:i w:val="0"/>
        </w:rPr>
        <w:t xml:space="preserve"> Visioning → Target Operating Model → Roadmap → Board Presentation</w:t>
      </w:r>
      <w:r>
        <w:rPr>
          <w:b w:val="0"/>
          <w:i w:val="0"/>
        </w:rPr>
        <w:t xml:space="preserve"> dipilih karena:</w:t>
      </w:r>
    </w:p>
    <w:p>
      <w:pPr>
        <w:pStyle w:val="ListNumber"/>
        <w:spacing w:before="0" w:after="80"/>
        <w:numPr>
          <w:ilvl w:val="0"/>
          <w:numId w:val="22"/>
        </w:numPr>
      </w:pPr>
      <w:r>
        <w:rPr>
          <w:b/>
          <w:i w:val="0"/>
        </w:rPr>
        <w:t>Kesesuaian standar enterprise</w:t>
      </w:r>
      <w:r>
        <w:rPr>
          <w:b w:val="0"/>
          <w:i w:val="0"/>
        </w:rPr>
        <w:t xml:space="preserve"> – mengadopsi TOGAF, ITIL, COBIT, dan ISO 27001 sehingga arsitektur, proses layanan, kontrol tata kelola, dan keamanan informasi selaras dengan regulasi pemerintah (yogyakarta.bpk.go.id, 2029).</w:t>
      </w:r>
    </w:p>
    <w:p>
      <w:pPr>
        <w:pStyle w:val="ListNumber"/>
        <w:spacing w:before="0" w:after="80"/>
        <w:numPr>
          <w:ilvl w:val="0"/>
          <w:numId w:val="22"/>
        </w:numPr>
      </w:pPr>
      <w:r>
        <w:rPr>
          <w:b/>
          <w:i w:val="0"/>
        </w:rPr>
        <w:t>Fokus akuntabilitas keputusan</w:t>
      </w:r>
      <w:r>
        <w:rPr>
          <w:b w:val="0"/>
          <w:i w:val="0"/>
        </w:rPr>
        <w:t xml:space="preserve"> – setiap fase menghasilkan artefak (decision‑matrix, RACI, risk register) yang dapat dilacak dalam sistem SPBE, memenuhi kebutuhan audit‑trail Astra.</w:t>
      </w:r>
    </w:p>
    <w:p>
      <w:pPr>
        <w:pStyle w:val="ListNumber"/>
        <w:spacing w:before="0" w:after="80"/>
        <w:numPr>
          <w:ilvl w:val="0"/>
          <w:numId w:val="22"/>
        </w:numPr>
      </w:pPr>
      <w:r>
        <w:rPr>
          <w:b/>
          <w:i w:val="0"/>
        </w:rPr>
        <w:t>Kecepatan 8‑bulan</w:t>
      </w:r>
      <w:r>
        <w:rPr>
          <w:b w:val="0"/>
          <w:i w:val="0"/>
        </w:rPr>
        <w:t xml:space="preserve"> – pendekatan iteratif memungkinkan delivery beban uji beban 10 dalam horizon yang ditetapkan, sekaligus menurunkan lead time operasional (Data Internal, 2026).</w:t>
      </w:r>
    </w:p>
    <w:p>
      <w:pPr>
        <w:pStyle w:val="ListNumber"/>
        <w:spacing w:before="0" w:after="80"/>
        <w:numPr>
          <w:ilvl w:val="0"/>
          <w:numId w:val="22"/>
        </w:numPr>
      </w:pPr>
      <w:r>
        <w:rPr>
          <w:b/>
          <w:i w:val="0"/>
        </w:rPr>
        <w:t>Mitigasi risiko terstruktur</w:t>
      </w:r>
      <w:r>
        <w:rPr>
          <w:b w:val="0"/>
          <w:i w:val="0"/>
        </w:rPr>
        <w:t xml:space="preserve"> – integrasi risk register pada fase Target Operating Model mengidentifikasi ketergantungan kritis (mis. jaringan PLN) dan menyiapkan contingency plan sejak awal.</w:t>
      </w:r>
    </w:p>
    <w:p>
      <w:r>
        <w:rPr>
          <w:b w:val="0"/>
          <w:i w:val="0"/>
        </w:rPr>
        <w:t>Dengan demikian metodologi ini menanggapi tekanan finansial, strategis, dan regulasi sekaligus menyediakan fondasi tata kelola yang dapat dipertanggungjawabkan kepada dewan.</w:t>
      </w:r>
    </w:p>
    <w:p>
      <w:pPr>
        <w:pStyle w:val="Heading2"/>
      </w:pPr>
      <w:r>
        <w:rPr>
          <w:rFonts w:ascii="Arial" w:hAnsi="Arial"/>
          <w:b/>
          <w:color w:val="687B90"/>
        </w:rPr>
        <w:t>5.2 Langkah Kerja dengan Framework Terpilih</w:t>
      </w:r>
    </w:p>
    <w:p>
      <w:pPr>
        <w:pStyle w:val="ListBullet"/>
        <w:spacing w:before="0" w:after="80"/>
        <w:numPr>
          <w:ilvl w:val="0"/>
          <w:numId w:val="23"/>
        </w:numPr>
      </w:pPr>
      <w:r>
        <w:rPr>
          <w:b/>
          <w:i w:val="0"/>
        </w:rPr>
        <w:t>Visioning</w:t>
      </w:r>
    </w:p>
    <w:p>
      <w:pPr>
        <w:pStyle w:val="ListBullet"/>
        <w:spacing w:before="0" w:after="80"/>
        <w:numPr>
          <w:ilvl w:val="0"/>
          <w:numId w:val="23"/>
        </w:numPr>
      </w:pPr>
      <w:r>
        <w:rPr>
          <w:b w:val="0"/>
          <w:i/>
        </w:rPr>
        <w:t>Aktivitas</w:t>
      </w:r>
      <w:r>
        <w:rPr>
          <w:b w:val="0"/>
          <w:i w:val="0"/>
        </w:rPr>
        <w:t>: workshop 2 hari dengan CEO, CFO, Head of Digital, dan pemilik proses utama; interview terstruktur; analisis gap KPI (mis. 50 stasiun EV vs target 500).</w:t>
      </w:r>
    </w:p>
    <w:p>
      <w:pPr>
        <w:pStyle w:val="ListBullet"/>
        <w:spacing w:before="0" w:after="80"/>
        <w:numPr>
          <w:ilvl w:val="0"/>
          <w:numId w:val="23"/>
        </w:numPr>
      </w:pPr>
      <w:r>
        <w:rPr>
          <w:b w:val="0"/>
          <w:i/>
        </w:rPr>
        <w:t>Output</w:t>
      </w:r>
      <w:r>
        <w:rPr>
          <w:b w:val="0"/>
          <w:i w:val="0"/>
        </w:rPr>
        <w:t>: Vision Statement terukur, 5‑year strategic objectives, Decision‑RACI Matrix.</w:t>
      </w:r>
    </w:p>
    <w:p>
      <w:pPr>
        <w:pStyle w:val="ListBullet"/>
        <w:spacing w:before="0" w:after="80"/>
        <w:numPr>
          <w:ilvl w:val="0"/>
          <w:numId w:val="23"/>
        </w:numPr>
      </w:pPr>
      <w:r>
        <w:rPr>
          <w:b w:val="0"/>
          <w:i/>
        </w:rPr>
        <w:t>Metrik</w:t>
      </w:r>
      <w:r>
        <w:rPr>
          <w:b w:val="0"/>
          <w:i w:val="0"/>
        </w:rPr>
        <w:t>: ≥ 90 % stakeholder sign‑off; minimal 3 inisiatif kritis teridentifikasi.</w:t>
      </w:r>
    </w:p>
    <w:p>
      <w:pPr>
        <w:pStyle w:val="ListBullet"/>
        <w:spacing w:before="0" w:after="80"/>
        <w:numPr>
          <w:ilvl w:val="0"/>
          <w:numId w:val="23"/>
        </w:numPr>
      </w:pPr>
      <w:r>
        <w:rPr>
          <w:b/>
          <w:i w:val="0"/>
        </w:rPr>
        <w:t>Target Operating Model (TOM)</w:t>
      </w:r>
    </w:p>
    <w:p>
      <w:pPr>
        <w:pStyle w:val="ListBullet"/>
        <w:spacing w:before="0" w:after="80"/>
        <w:numPr>
          <w:ilvl w:val="0"/>
          <w:numId w:val="23"/>
        </w:numPr>
      </w:pPr>
      <w:r>
        <w:rPr>
          <w:b w:val="0"/>
          <w:i/>
        </w:rPr>
        <w:t>Aktivitas</w:t>
      </w:r>
      <w:r>
        <w:rPr>
          <w:b w:val="0"/>
          <w:i w:val="0"/>
        </w:rPr>
        <w:t>: desain end‑to‑end menggunakan ITIL Service Design &amp; COBIT governance; penetapan peran akuntabilitas (owner, steward, reviewer) dalam RACI; penyusunan risk register (ketergantungan pada PLN, regulasi SPBE).</w:t>
      </w:r>
    </w:p>
    <w:p>
      <w:pPr>
        <w:pStyle w:val="ListBullet"/>
        <w:spacing w:before="0" w:after="80"/>
        <w:numPr>
          <w:ilvl w:val="0"/>
          <w:numId w:val="23"/>
        </w:numPr>
      </w:pPr>
      <w:r>
        <w:rPr>
          <w:b w:val="0"/>
          <w:i/>
        </w:rPr>
        <w:t>Output</w:t>
      </w:r>
      <w:r>
        <w:rPr>
          <w:b w:val="0"/>
          <w:i w:val="0"/>
        </w:rPr>
        <w:t>: Blueprint TOM meliputi value streams, service catalog, dan control matrix ISO 27001.</w:t>
      </w:r>
    </w:p>
    <w:p>
      <w:pPr>
        <w:pStyle w:val="ListBullet"/>
        <w:spacing w:before="0" w:after="80"/>
        <w:numPr>
          <w:ilvl w:val="0"/>
          <w:numId w:val="23"/>
        </w:numPr>
      </w:pPr>
      <w:r>
        <w:rPr>
          <w:b w:val="0"/>
          <w:i/>
        </w:rPr>
        <w:t>Metrik</w:t>
      </w:r>
      <w:r>
        <w:rPr>
          <w:b w:val="0"/>
          <w:i w:val="0"/>
        </w:rPr>
        <w:t>: 100 % proses ter‑map ke kontrol COBIT; risk register lengkap dengan mitigation plan.</w:t>
      </w:r>
    </w:p>
    <w:p>
      <w:pPr>
        <w:pStyle w:val="ListBullet"/>
        <w:spacing w:before="0" w:after="80"/>
        <w:numPr>
          <w:ilvl w:val="0"/>
          <w:numId w:val="23"/>
        </w:numPr>
      </w:pPr>
      <w:r>
        <w:rPr>
          <w:b/>
          <w:i w:val="0"/>
        </w:rPr>
        <w:t>Roadmap</w:t>
      </w:r>
    </w:p>
    <w:p>
      <w:pPr>
        <w:pStyle w:val="ListBullet"/>
        <w:spacing w:before="0" w:after="80"/>
        <w:numPr>
          <w:ilvl w:val="0"/>
          <w:numId w:val="23"/>
        </w:numPr>
      </w:pPr>
      <w:r>
        <w:rPr>
          <w:b w:val="0"/>
          <w:i/>
        </w:rPr>
        <w:t>Aktivitas</w:t>
      </w:r>
      <w:r>
        <w:rPr>
          <w:b w:val="0"/>
          <w:i w:val="0"/>
        </w:rPr>
        <w:t>: prioritisasi inisiatif dengan Weighted Scoring (impact × urgency); penjadwalan fase 0‑3 (Visioning, TOM, Pilot, Scale) dalam Gantt 8 bulan; alokasi budget US$40 jt dan sumber daya (1 Project Director, 1 Enterprise Architect, 5 SME).</w:t>
      </w:r>
    </w:p>
    <w:p>
      <w:pPr>
        <w:pStyle w:val="ListBullet"/>
        <w:spacing w:before="0" w:after="80"/>
        <w:numPr>
          <w:ilvl w:val="0"/>
          <w:numId w:val="23"/>
        </w:numPr>
      </w:pPr>
      <w:r>
        <w:rPr>
          <w:b w:val="0"/>
          <w:i/>
        </w:rPr>
        <w:t>Output</w:t>
      </w:r>
      <w:r>
        <w:rPr>
          <w:b w:val="0"/>
          <w:i w:val="0"/>
        </w:rPr>
        <w:t>: Implementation Roadmap berisi milestone, deliverable, dan KPI pelacakan (lead‑time, SLA, on‑budget).</w:t>
      </w:r>
    </w:p>
    <w:p>
      <w:pPr>
        <w:pStyle w:val="ListBullet"/>
        <w:spacing w:before="0" w:after="80"/>
        <w:numPr>
          <w:ilvl w:val="0"/>
          <w:numId w:val="23"/>
        </w:numPr>
      </w:pPr>
      <w:r>
        <w:rPr>
          <w:b w:val="0"/>
          <w:i/>
        </w:rPr>
        <w:t>Metrik</w:t>
      </w:r>
      <w:r>
        <w:rPr>
          <w:b w:val="0"/>
          <w:i w:val="0"/>
        </w:rPr>
        <w:t>: ≥ 95 % milestone tercapai tepat waktu; variance budget ≤ 5 %.</w:t>
      </w:r>
    </w:p>
    <w:p>
      <w:pPr>
        <w:pStyle w:val="ListBullet"/>
        <w:spacing w:before="0" w:after="80"/>
        <w:numPr>
          <w:ilvl w:val="0"/>
          <w:numId w:val="23"/>
        </w:numPr>
      </w:pPr>
      <w:r>
        <w:rPr>
          <w:b/>
          <w:i w:val="0"/>
        </w:rPr>
        <w:t>Board Presentation</w:t>
      </w:r>
    </w:p>
    <w:p>
      <w:pPr>
        <w:pStyle w:val="ListBullet"/>
        <w:spacing w:before="0" w:after="80"/>
        <w:numPr>
          <w:ilvl w:val="0"/>
          <w:numId w:val="23"/>
        </w:numPr>
      </w:pPr>
      <w:r>
        <w:rPr>
          <w:b w:val="0"/>
          <w:i/>
        </w:rPr>
        <w:t>Aktivitas</w:t>
      </w:r>
      <w:r>
        <w:rPr>
          <w:b w:val="0"/>
          <w:i w:val="0"/>
        </w:rPr>
        <w:t>: penyusunan deck eksekutif berbasiskan visualisasi KPI, risk heatmap, dan ROI; simulasi Q&amp;A “what‑if” untuk menguji robustness keputusan.</w:t>
      </w:r>
    </w:p>
    <w:p>
      <w:pPr>
        <w:pStyle w:val="ListBullet"/>
        <w:spacing w:before="0" w:after="80"/>
        <w:numPr>
          <w:ilvl w:val="0"/>
          <w:numId w:val="23"/>
        </w:numPr>
      </w:pPr>
      <w:r>
        <w:rPr>
          <w:b w:val="0"/>
          <w:i/>
        </w:rPr>
        <w:t>Output</w:t>
      </w:r>
      <w:r>
        <w:rPr>
          <w:b w:val="0"/>
          <w:i w:val="0"/>
        </w:rPr>
        <w:t>: Persetujuan dewan atas Strategic Investment Plan dan otorisasi fase implementasi.</w:t>
      </w:r>
    </w:p>
    <w:p>
      <w:pPr>
        <w:pStyle w:val="ListBullet"/>
        <w:spacing w:before="0" w:after="80"/>
        <w:numPr>
          <w:ilvl w:val="0"/>
          <w:numId w:val="23"/>
        </w:numPr>
      </w:pPr>
      <w:r>
        <w:rPr>
          <w:b w:val="0"/>
          <w:i/>
        </w:rPr>
        <w:t>Metrik</w:t>
      </w:r>
      <w:r>
        <w:rPr>
          <w:b w:val="0"/>
          <w:i w:val="0"/>
        </w:rPr>
        <w:t>: Persetujuan dewan dalam 2 minggu setelah presentasi.</w:t>
      </w:r>
    </w:p>
    <w:p>
      <w:r>
        <w:rPr>
          <w:b w:val="0"/>
          <w:i w:val="0"/>
        </w:rPr>
        <w:t>Metodologi ini menghubungkan visi bisnis Astra dengan eksekusi terukur, memastikan akuntabilitas, tata kelola SPBE, dan pencapaian KPI utama (outcome bisnis positif, kualitas operasi meningkat, dan eksekusi on‑time/on‑budget) dalam</w:t>
      </w:r>
    </w:p>
    <w:p>
      <w:r>
        <w:rPr>
          <w:b w:val="0"/>
          <w:i w:val="0"/>
        </w:rPr>
        <w:t>Untuk Astra International, isi bab ini harus dibaca sebagai dasar keputusan kerja yang dapat ditindaklanjuti, bukan sekadar penjelasan konseptual. Karena itu, isi bab tetap diarahkan untuk menjaga relevansi terhadap KPI seperti KPI outcome bisnis utama Astra International bergerak positif dalam 8 bulan. | Kualitas operasi (incident, SLA, lead time) membaik dalam 8 bulan. dan istilah kerja akuntabilitas, SPBE.</w:t>
      </w:r>
    </w:p>
    <w:p>
      <w:pPr>
        <w:pStyle w:val="ListBullet"/>
        <w:spacing w:before="0" w:after="80"/>
        <w:numPr>
          <w:ilvl w:val="0"/>
          <w:numId w:val="24"/>
        </w:numPr>
      </w:pPr>
      <w:r>
        <w:rPr>
          <w:b w:val="0"/>
          <w:i w:val="0"/>
        </w:rPr>
        <w:t>Implikasi eksekusinya harus tetap jelas agar sponsor dan tim delivery dapat menurunkan isi bab ini menjadi tindakan yang konkret.</w:t>
      </w:r>
    </w:p>
    <w:p>
      <w:pPr>
        <w:pStyle w:val="ListBullet"/>
        <w:spacing w:before="0" w:after="80"/>
        <w:numPr>
          <w:ilvl w:val="0"/>
          <w:numId w:val="24"/>
        </w:numPr>
      </w:pPr>
      <w:r>
        <w:rPr>
          <w:b w:val="0"/>
          <w:i w:val="0"/>
        </w:rPr>
        <w:t>Dengan pendekatan ini, narasi proposal tetap terhubung pada kebutuhan bisnis sekaligus tidak kehilangan kontrol implementasi.</w:t>
      </w:r>
    </w:p>
    <w:p>
      <w:r>
        <w:rPr>
          <w:b w:val="0"/>
          <w:i w:val="0"/>
        </w:rPr>
        <w:t>Secara praktis, hal ini membantu Astra International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Astra International. Artinya, isi bab tidak berhenti pada deskripsi, tetapi tetap menunjukkan keterkaitan antara keputusan kerja, KPI KPI outcome bisnis utama Astra International bergerak positif dalam 8 bulan. | Kualitas operasi (incident, SLA, lead time) membaik dalam 8 bulan., bahasa operasional akuntabilitas, SPBE, dan konteks inisiatif yang sedang dijalankan.</w:t>
      </w:r>
    </w:p>
    <w:p>
      <w:r>
        <w:br w:type="page"/>
      </w:r>
    </w:p>
    <w:p>
      <w:pPr>
        <w:pStyle w:val="Heading1"/>
        <w:jc w:val="center"/>
      </w:pPr>
      <w:r>
        <w:rPr>
          <w:color w:val="687B90"/>
        </w:rPr>
        <w:t>BAB VI – SOLUTION DESIGN</w:t>
      </w:r>
    </w:p>
    <w:p>
      <w:r>
        <w:rPr>
          <w:b w:val="0"/>
          <w:i w:val="0"/>
        </w:rPr>
        <w:t>Solution design untuk Astra International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gelombang uji beban 10: penguatan tata kelola delivery, percepatan keputusan lintas unit, dan penyusunan roadmap eksekusi yang lebih... secara nyata. Dengan pendekatan ini, desain solusi tetap terhubung ke KPI seperti KPI outcome bisnis utama Astra International bergerak positif dalam 8 bulan. | Kualitas operasi (incident, SLA, lead time) membaik dalam 8 bulan. | Efektivitas eksekusi proyek (on-time, on-budget, on-scope) tercapai dalam 8 bulan., sekaligus menjaga nilai proposal tetap terasa konkret dan dapat dijalankan (Data Internal, 2026).</w:t>
      </w:r>
    </w:p>
    <w:p>
      <w:pPr>
        <w:pStyle w:val="Heading2"/>
      </w:pPr>
      <w:r>
        <w:rPr>
          <w:rFonts w:ascii="Arial" w:hAnsi="Arial"/>
          <w:b/>
          <w:color w:val="687B90"/>
        </w:rPr>
        <w:t>6.1 Solusi/Output Metodologi yang Dibangun</w:t>
      </w:r>
    </w:p>
    <w:p>
      <w:r>
        <w:rPr>
          <w:b w:val="0"/>
          <w:i w:val="0"/>
        </w:rPr>
        <w:t>Solusi yang ditawarkan diarahkan untuk membantu Astra International bergerak dari kebutuhan opportunity menuju kondisi target yang lebih terukur. Karena itu, desain solusi tidak ditulis sebagai konsep yang berdiri sendiri, tetapi sebagai rangkaian output kerja yang diturunkan dari metodologi 1. Visioning 2. Target Operating Model 3. Roadmap 4. Board Presentation. - Output utama dirancang agar keputusan sponsor, kontrol delivery, dan koordinasi stakeholder tetap bergerak dengan istilah kerja akuntabilitas, SPBE, tata kelola. - Target state yang dibangun harus tetap selaras dengan manfaat yang dijanjikan, terutama arah transformasi yang lebih fokus, prioritas investasi yang lebih defensible, roadmap eksekusi yang lebih mudah disetujui. - Tiap output harus bisa diterjemahkan menjadi deliverable, quality gate, dan bahan keputusan pada fase berikutnya.</w:t>
      </w:r>
    </w:p>
    <w:p>
      <w:pPr>
        <w:pStyle w:val="Heading2"/>
      </w:pPr>
      <w:r>
        <w:rPr>
          <w:rFonts w:ascii="Arial" w:hAnsi="Arial"/>
          <w:b/>
          <w:color w:val="687B90"/>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target operating model, roadmap, dan decision paper</w:t>
            </w:r>
          </w:p>
        </w:tc>
        <w:tc>
          <w:tcPr>
            <w:tcW w:type="dxa" w:w="3120"/>
          </w:tcPr>
          <w:p>
            <w:r>
              <w:rPr>
                <w:b w:val="0"/>
                <w:i w:val="0"/>
              </w:rPr>
              <w:t>mengarahkan sponsor pada keputusan strategi yang lebih defensible</w:t>
            </w:r>
          </w:p>
        </w:tc>
      </w:tr>
      <w:tr>
        <w:tc>
          <w:tcPr>
            <w:tcW w:type="dxa" w:w="3120"/>
          </w:tcPr>
          <w:p>
            <w:r>
              <w:rPr>
                <w:b w:val="0"/>
                <w:i w:val="0"/>
              </w:rPr>
              <w:t>Pendampingan</w:t>
            </w:r>
          </w:p>
        </w:tc>
        <w:tc>
          <w:tcPr>
            <w:tcW w:type="dxa" w:w="3120"/>
          </w:tcPr>
          <w:p>
            <w:r>
              <w:rPr>
                <w:b w:val="0"/>
                <w:i w:val="0"/>
              </w:rPr>
              <w:t>facilitation steering discussion dan penajaman opsi strategi</w:t>
            </w:r>
          </w:p>
        </w:tc>
        <w:tc>
          <w:tcPr>
            <w:tcW w:type="dxa" w:w="3120"/>
          </w:tcPr>
          <w:p>
            <w:r>
              <w:rPr>
                <w:b w:val="0"/>
                <w:i w:val="0"/>
              </w:rPr>
              <w:t>membantu sinkronisasi bisnis, teknologi, dan tata kelola</w:t>
            </w:r>
          </w:p>
        </w:tc>
      </w:tr>
      <w:tr>
        <w:tc>
          <w:tcPr>
            <w:tcW w:type="dxa" w:w="3120"/>
          </w:tcPr>
          <w:p>
            <w:r>
              <w:rPr>
                <w:b w:val="0"/>
                <w:i w:val="0"/>
              </w:rPr>
              <w:t>Kegiatan</w:t>
            </w:r>
          </w:p>
        </w:tc>
        <w:tc>
          <w:tcPr>
            <w:tcW w:type="dxa" w:w="3120"/>
          </w:tcPr>
          <w:p>
            <w:r>
              <w:rPr>
                <w:b w:val="0"/>
                <w:i w:val="0"/>
              </w:rPr>
              <w:t>visioning workshop dan review roadmap</w:t>
            </w:r>
          </w:p>
        </w:tc>
        <w:tc>
          <w:tcPr>
            <w:tcW w:type="dxa" w:w="3120"/>
          </w:tcPr>
          <w:p>
            <w:r>
              <w:rPr>
                <w:b w:val="0"/>
                <w:i w:val="0"/>
              </w:rPr>
              <w:t>membentuk urutan prioritas yang realistis</w:t>
            </w:r>
          </w:p>
        </w:tc>
      </w:tr>
    </w:tbl>
    <w:p>
      <w:r>
        <w:rPr>
          <w:b w:val="0"/>
          <w:i w:val="0"/>
        </w:rPr>
        <w:t>Dengan struktur keluaran seperti ini, Astra International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25"/>
        </w:numPr>
      </w:pPr>
      <w:r>
        <w:rPr>
          <w:b w:val="0"/>
          <w:i w:val="0"/>
        </w:rPr>
        <w:t>Prioritas implementasi untuk Astra International diarahkan agar tetap selaras dengan KPI outcome bisnis utama Astra International bergerak positif dalam 8 bulan. | Kualitas operasi (incident, SLA, lead time) membaik dalam 8 bulan..</w:t>
      </w:r>
    </w:p>
    <w:p>
      <w:pPr>
        <w:pStyle w:val="ListNumber"/>
        <w:spacing w:before="0" w:after="80"/>
        <w:numPr>
          <w:ilvl w:val="0"/>
          <w:numId w:val="25"/>
        </w:numPr>
      </w:pPr>
      <w:r>
        <w:rPr>
          <w:b w:val="0"/>
          <w:i w:val="0"/>
        </w:rPr>
        <w:t>Keputusan delivery dan quality gate pada bab ini harus konsisten dengan istilah kerja akuntabilitas, SPBE.</w:t>
      </w:r>
    </w:p>
    <w:p>
      <w:r>
        <w:br w:type="page"/>
      </w:r>
    </w:p>
    <w:p>
      <w:pPr>
        <w:pStyle w:val="Heading1"/>
        <w:jc w:val="center"/>
      </w:pPr>
      <w:r>
        <w:rPr>
          <w:color w:val="687B90"/>
        </w:rPr>
        <w:t>BAB VII – RUANG LINGKUP PEKERJAAN</w:t>
      </w:r>
    </w:p>
    <w:p>
      <w:r>
        <w:rPr>
          <w:b w:val="0"/>
          <w:i w:val="0"/>
        </w:rPr>
        <w:t>Ruang lingkup pekerjaan untuk Astra International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687B90"/>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gelombang uji beban 10: penguatan tata kelola delivery, percepatan keputusan... dan ruang problem yang direspons sudah selaras</w:t>
            </w:r>
          </w:p>
        </w:tc>
        <w:tc>
          <w:tcPr>
            <w:tcW w:type="dxa" w:w="2340"/>
          </w:tcPr>
          <w:p>
            <w:r>
              <w:rPr>
                <w:b w:val="0"/>
                <w:i w:val="0"/>
              </w:rPr>
              <w:t>target operating model, roadmap, dan decision paper</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gelombang uji beban 10: prioritas kerja masih tersebar, koordinasi bisnis-teknologi belum konsisten... ke solusi, prioritas, dan kontrol delivery</w:t>
            </w:r>
          </w:p>
        </w:tc>
        <w:tc>
          <w:tcPr>
            <w:tcW w:type="dxa" w:w="2340"/>
          </w:tcPr>
          <w:p>
            <w:r>
              <w:rPr>
                <w:b w:val="0"/>
                <w:i w:val="0"/>
              </w:rPr>
              <w:t>facilitation steering discussion dan penajaman opsi strategi</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visioning workshop dan review roadmap</w:t>
            </w:r>
          </w:p>
        </w:tc>
        <w:tc>
          <w:tcPr>
            <w:tcW w:type="dxa" w:w="2340"/>
          </w:tcPr>
          <w:p>
            <w:r>
              <w:rPr>
                <w:b w:val="0"/>
                <w:i w:val="0"/>
              </w:rPr>
              <w:t>jadwal forum menyesuaikan kalender kerja dan kecepatan keputusan sponsor</w:t>
            </w:r>
          </w:p>
        </w:tc>
      </w:tr>
    </w:tbl>
    <w:p>
      <w:r>
        <w:rPr>
          <w:b w:val="0"/>
          <w:i w:val="0"/>
        </w:rPr>
        <w:t>Ruang lingkup di atas dirancang agar tetap fokus pada kebutuhan opportunity dan tidak melebar ke area yang belum menjadi prioritas keputusan Astra International. Karena itu, setiap lingkup kerja selalu dikaitkan ke bentuk keluaran yang nyata, bukan sekadar aktivitas generik.</w:t>
      </w:r>
    </w:p>
    <w:p>
      <w:pPr>
        <w:pStyle w:val="Heading2"/>
      </w:pPr>
      <w:r>
        <w:rPr>
          <w:rFonts w:ascii="Arial" w:hAnsi="Arial"/>
          <w:b/>
          <w:color w:val="687B90"/>
        </w:rPr>
        <w:t>7.2 Batasan Pekerjaan dan Asumsi</w:t>
      </w:r>
    </w:p>
    <w:p>
      <w:pPr>
        <w:pStyle w:val="ListNumber"/>
        <w:spacing w:before="0" w:after="80"/>
        <w:numPr>
          <w:ilvl w:val="0"/>
          <w:numId w:val="26"/>
        </w:numPr>
      </w:pPr>
      <w:r>
        <w:rPr>
          <w:b w:val="0"/>
          <w:i w:val="0"/>
        </w:rPr>
        <w:t>Prioritas implementasi untuk Astra International diarahkan agar tetap selaras dengan KPI outcome bisnis utama Astra International bergerak positif dalam 8 bulan. | Kualitas operasi (incident, SLA, lead time) membaik dalam 8 bulan..</w:t>
      </w:r>
    </w:p>
    <w:p>
      <w:pPr>
        <w:pStyle w:val="ListNumber"/>
        <w:spacing w:before="0" w:after="80"/>
        <w:numPr>
          <w:ilvl w:val="0"/>
          <w:numId w:val="26"/>
        </w:numPr>
      </w:pPr>
      <w:r>
        <w:rPr>
          <w:b w:val="0"/>
          <w:i w:val="0"/>
        </w:rPr>
        <w:t>Keputusan delivery dan quality gate pada bab ini harus konsisten dengan istilah kerja akuntabilitas, SPBE. - Konteks Astra International tetap menjadi acuan utama agar isi bab tidak bergeser menjadi generik. - Setiap butir pada bab ini harus bisa ditelusuri ke KPI, risiko, atau keputusan kerja yang nyata.</w:t>
      </w:r>
    </w:p>
    <w:p>
      <w:r>
        <w:br w:type="page"/>
      </w:r>
    </w:p>
    <w:p>
      <w:pPr>
        <w:pStyle w:val="Heading1"/>
        <w:jc w:val="center"/>
      </w:pPr>
      <w:r>
        <w:rPr>
          <w:color w:val="687B90"/>
        </w:rPr>
        <w:t>BAB VIII – TIMELINE PEKERJAAN</w:t>
      </w:r>
    </w:p>
    <w:p>
      <w:r>
        <w:drawing>
          <wp:inline xmlns:a="http://schemas.openxmlformats.org/drawingml/2006/main" xmlns:pic="http://schemas.openxmlformats.org/drawingml/2006/picture">
            <wp:extent cx="5486400" cy="254216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42162"/>
                    </a:xfrm>
                    <a:prstGeom prst="rect"/>
                  </pic:spPr>
                </pic:pic>
              </a:graphicData>
            </a:graphic>
          </wp:inline>
        </w:drawing>
      </w:r>
    </w:p>
    <w:p>
      <w:r>
        <w:rPr>
          <w:b w:val="0"/>
          <w:i w:val="0"/>
        </w:rPr>
        <w:t>Untuk Astra International, timeline pekerjaan disusun agar inisiatif Gelombang uji beban 10: penguatan tata kelola delivery, percepatan keputusan lintas unit, dan penyusunan roadmap eksekusi yang lebih... dapat bergerak stabil selama 8 Bulan.</w:t>
      </w:r>
    </w:p>
    <w:p>
      <w:pPr>
        <w:pStyle w:val="Heading2"/>
      </w:pPr>
      <w:r>
        <w:rPr>
          <w:rFonts w:ascii="Arial" w:hAnsi="Arial"/>
          <w:b/>
          <w:color w:val="687B90"/>
        </w:rPr>
        <w:t>8.1 Aktivitas per Fase</w:t>
      </w:r>
    </w:p>
    <w:p>
      <w:pPr>
        <w:pStyle w:val="ListNumber"/>
        <w:spacing w:before="0" w:after="80"/>
        <w:numPr>
          <w:ilvl w:val="0"/>
          <w:numId w:val="27"/>
        </w:numPr>
      </w:pPr>
      <w:r>
        <w:rPr>
          <w:b/>
          <w:i w:val="0"/>
        </w:rPr>
        <w:t>Business Alignment</w:t>
      </w:r>
      <w:r>
        <w:rPr>
          <w:b w:val="0"/>
          <w:i w:val="0"/>
        </w:rPr>
        <w:t xml:space="preserve"> (Bulan 1-2): Sinkronkan sasaran bisnis, sponsor, dan outcome yang diharapkan. Output utama: alignment charter dan target state.</w:t>
      </w:r>
    </w:p>
    <w:p>
      <w:pPr>
        <w:pStyle w:val="ListNumber"/>
        <w:spacing w:before="0" w:after="80"/>
        <w:numPr>
          <w:ilvl w:val="0"/>
          <w:numId w:val="27"/>
        </w:numPr>
      </w:pPr>
      <w:r>
        <w:rPr>
          <w:b/>
          <w:i w:val="0"/>
        </w:rPr>
        <w:t>Target Design</w:t>
      </w:r>
      <w:r>
        <w:rPr>
          <w:b w:val="0"/>
          <w:i w:val="0"/>
        </w:rPr>
        <w:t xml:space="preserve"> (Bulan 3-5): Rancang operating model, prinsip arsitektur, dan opsi strategi. Output utama: target operating model.</w:t>
      </w:r>
    </w:p>
    <w:p>
      <w:pPr>
        <w:pStyle w:val="ListNumber"/>
        <w:spacing w:before="0" w:after="80"/>
        <w:numPr>
          <w:ilvl w:val="0"/>
          <w:numId w:val="27"/>
        </w:numPr>
      </w:pPr>
      <w:r>
        <w:rPr>
          <w:b/>
          <w:i w:val="0"/>
        </w:rPr>
        <w:t>Roadmap Prioritization</w:t>
      </w:r>
      <w:r>
        <w:rPr>
          <w:b w:val="0"/>
          <w:i w:val="0"/>
        </w:rPr>
        <w:t xml:space="preserve"> (Bulan 6-7): Urutkan inisiatif berdasarkan manfaat, risiko, dan kesiapan. Output utama: roadmap prioritas dan sequencing.</w:t>
      </w:r>
    </w:p>
    <w:p>
      <w:pPr>
        <w:pStyle w:val="ListNumber"/>
        <w:spacing w:before="0" w:after="80"/>
        <w:numPr>
          <w:ilvl w:val="0"/>
          <w:numId w:val="27"/>
        </w:numPr>
      </w:pPr>
      <w:r>
        <w:rPr>
          <w:b/>
          <w:i w:val="0"/>
        </w:rPr>
        <w:t>Executive Closure</w:t>
      </w:r>
      <w:r>
        <w:rPr>
          <w:b w:val="0"/>
          <w:i w:val="0"/>
        </w:rPr>
        <w:t xml:space="preserve"> (Bulan 8): Finalisasi keputusan eksekutif dan arahan mobilisasi. Output utama: board-ready recommendation.</w:t>
      </w:r>
    </w:p>
    <w:p>
      <w:pPr>
        <w:pStyle w:val="Heading2"/>
      </w:pPr>
      <w:r>
        <w:rPr>
          <w:rFonts w:ascii="Arial" w:hAnsi="Arial"/>
          <w:b/>
          <w:color w:val="687B90"/>
        </w:rPr>
        <w:t>8.2 Waktu Pelaksanaan dan Deliverable Tiap Fase</w:t>
      </w:r>
    </w:p>
    <w:p>
      <w:r>
        <w:rPr>
          <w:b w:val="0"/>
          <w:i w:val="0"/>
        </w:rPr>
        <w:t>Pengaturan waktu tidak hanya membagi durasi, tetapi memastikan setiap deliverable langsung mendukung kebutuhan opportunity dan memberi bahan keputusan yang rapi pada forum pengarah proyek Astra International.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Business Alignment</w:t>
            </w:r>
          </w:p>
        </w:tc>
        <w:tc>
          <w:tcPr>
            <w:tcW w:type="dxa" w:w="2340"/>
          </w:tcPr>
          <w:p>
            <w:r>
              <w:rPr>
                <w:b w:val="0"/>
                <w:i w:val="0"/>
              </w:rPr>
              <w:t>Bulan 1-2</w:t>
            </w:r>
          </w:p>
        </w:tc>
        <w:tc>
          <w:tcPr>
            <w:tcW w:type="dxa" w:w="2340"/>
          </w:tcPr>
          <w:p>
            <w:r>
              <w:rPr>
                <w:b w:val="0"/>
                <w:i w:val="0"/>
              </w:rPr>
              <w:t>alignment charter dan target state</w:t>
            </w:r>
          </w:p>
        </w:tc>
        <w:tc>
          <w:tcPr>
            <w:tcW w:type="dxa" w:w="2340"/>
          </w:tcPr>
          <w:p>
            <w:r>
              <w:rPr>
                <w:b w:val="0"/>
                <w:i w:val="0"/>
              </w:rPr>
              <w:t>Menjaga progres opportunity</w:t>
            </w:r>
          </w:p>
        </w:tc>
      </w:tr>
      <w:tr>
        <w:tc>
          <w:tcPr>
            <w:tcW w:type="dxa" w:w="2340"/>
          </w:tcPr>
          <w:p>
            <w:r>
              <w:rPr>
                <w:b w:val="0"/>
                <w:i w:val="0"/>
              </w:rPr>
              <w:t>Target Design</w:t>
            </w:r>
          </w:p>
        </w:tc>
        <w:tc>
          <w:tcPr>
            <w:tcW w:type="dxa" w:w="2340"/>
          </w:tcPr>
          <w:p>
            <w:r>
              <w:rPr>
                <w:b w:val="0"/>
                <w:i w:val="0"/>
              </w:rPr>
              <w:t>Bulan 3-5</w:t>
            </w:r>
          </w:p>
        </w:tc>
        <w:tc>
          <w:tcPr>
            <w:tcW w:type="dxa" w:w="2340"/>
          </w:tcPr>
          <w:p>
            <w:r>
              <w:rPr>
                <w:b w:val="0"/>
                <w:i w:val="0"/>
              </w:rPr>
              <w:t>target operating model</w:t>
            </w:r>
          </w:p>
        </w:tc>
        <w:tc>
          <w:tcPr>
            <w:tcW w:type="dxa" w:w="2340"/>
          </w:tcPr>
          <w:p>
            <w:r>
              <w:rPr>
                <w:b w:val="0"/>
                <w:i w:val="0"/>
              </w:rPr>
              <w:t>Menjaga progres opportunity</w:t>
            </w:r>
          </w:p>
        </w:tc>
      </w:tr>
      <w:tr>
        <w:tc>
          <w:tcPr>
            <w:tcW w:type="dxa" w:w="2340"/>
          </w:tcPr>
          <w:p>
            <w:r>
              <w:rPr>
                <w:b w:val="0"/>
                <w:i w:val="0"/>
              </w:rPr>
              <w:t>Roadmap Prioritization</w:t>
            </w:r>
          </w:p>
        </w:tc>
        <w:tc>
          <w:tcPr>
            <w:tcW w:type="dxa" w:w="2340"/>
          </w:tcPr>
          <w:p>
            <w:r>
              <w:rPr>
                <w:b w:val="0"/>
                <w:i w:val="0"/>
              </w:rPr>
              <w:t>Bulan 6-7</w:t>
            </w:r>
          </w:p>
        </w:tc>
        <w:tc>
          <w:tcPr>
            <w:tcW w:type="dxa" w:w="2340"/>
          </w:tcPr>
          <w:p>
            <w:r>
              <w:rPr>
                <w:b w:val="0"/>
                <w:i w:val="0"/>
              </w:rPr>
              <w:t>roadmap prioritas dan sequencing</w:t>
            </w:r>
          </w:p>
        </w:tc>
        <w:tc>
          <w:tcPr>
            <w:tcW w:type="dxa" w:w="2340"/>
          </w:tcPr>
          <w:p>
            <w:r>
              <w:rPr>
                <w:b w:val="0"/>
                <w:i w:val="0"/>
              </w:rPr>
              <w:t>Menjaga progres opportunity</w:t>
            </w:r>
          </w:p>
        </w:tc>
      </w:tr>
      <w:tr>
        <w:tc>
          <w:tcPr>
            <w:tcW w:type="dxa" w:w="2340"/>
          </w:tcPr>
          <w:p>
            <w:r>
              <w:rPr>
                <w:b w:val="0"/>
                <w:i w:val="0"/>
              </w:rPr>
              <w:t>Executive Closure</w:t>
            </w:r>
          </w:p>
        </w:tc>
        <w:tc>
          <w:tcPr>
            <w:tcW w:type="dxa" w:w="2340"/>
          </w:tcPr>
          <w:p>
            <w:r>
              <w:rPr>
                <w:b w:val="0"/>
                <w:i w:val="0"/>
              </w:rPr>
              <w:t>Bulan 8</w:t>
            </w:r>
          </w:p>
        </w:tc>
        <w:tc>
          <w:tcPr>
            <w:tcW w:type="dxa" w:w="2340"/>
          </w:tcPr>
          <w:p>
            <w:r>
              <w:rPr>
                <w:b w:val="0"/>
                <w:i w:val="0"/>
              </w:rPr>
              <w:t>board-ready recommendation</w:t>
            </w:r>
          </w:p>
        </w:tc>
        <w:tc>
          <w:tcPr>
            <w:tcW w:type="dxa" w:w="2340"/>
          </w:tcPr>
          <w:p>
            <w:r>
              <w:rPr>
                <w:b w:val="0"/>
                <w:i w:val="0"/>
              </w:rPr>
              <w:t>Menjaga progres opportunity</w:t>
            </w:r>
          </w:p>
        </w:tc>
      </w:tr>
    </w:tbl>
    <w:p>
      <w:r>
        <w:rPr>
          <w:b w:val="0"/>
          <w:i w:val="0"/>
        </w:rPr>
        <w:t>Penjadwalan tidak hanya membagi durasi 8 Bulan ke dalam fase, tetapi juga memastikan dependensi, keputusan sponsor, dan kesiapan stakeholder bergerak dalam ritme yang sama. Untuk Astra International, pengaturan ini penting agar progres tidak sekadar terlihat aktif, melainkan benar-benar menjaga jalur pencapaian KPI seperti KPI outcome bisnis utama Astra International bergerak positif dalam 8 bulan. - Konteks Astra International tetap menjadi acuan utama agar isi bab tidak bergeser menjadi generik. - Setiap butir pada bab ini harus bisa ditelusuri ke KPI, risiko, atau keputusan kerja yang nyata.</w:t>
      </w:r>
    </w:p>
    <w:p>
      <w:r>
        <w:br w:type="page"/>
      </w:r>
    </w:p>
    <w:p>
      <w:pPr>
        <w:pStyle w:val="Heading1"/>
        <w:jc w:val="center"/>
      </w:pPr>
      <w:r>
        <w:rPr>
          <w:color w:val="687B90"/>
        </w:rPr>
        <w:t>BAB IX – TATA KELOLA PROYEK</w:t>
      </w:r>
    </w:p>
    <w:p>
      <w:r>
        <w:rPr>
          <w:b w:val="0"/>
          <w:i w:val="0"/>
        </w:rPr>
        <w:t>Tata kelola proyek untuk Astra International dirancang agar keputusan strategis, kontrol eksekusi, dan penanganan risiko berjalan dalam satu sistem kerja yang konsisten. Fokusnya adalah menjaga gelombang uji beban 10: penguatan tata kelola delivery, percepatan keputusan lintas unit, dan penyusunan roadmap eksekusi yang lebih...</w:t>
      </w:r>
    </w:p>
    <w:p>
      <w:pPr>
        <w:pStyle w:val="Heading2"/>
      </w:pPr>
      <w:r>
        <w:rPr>
          <w:rFonts w:ascii="Arial" w:hAnsi="Arial"/>
          <w:b/>
          <w:color w:val="687B90"/>
        </w:rPr>
        <w:t>9.1 Mekanisme Pengambilan Keputusan</w:t>
      </w:r>
    </w:p>
    <w:p>
      <w:pPr>
        <w:pStyle w:val="ListNumber"/>
        <w:spacing w:before="0" w:after="80"/>
        <w:numPr>
          <w:ilvl w:val="0"/>
          <w:numId w:val="28"/>
        </w:numPr>
      </w:pPr>
      <w:r>
        <w:rPr>
          <w:b/>
          <w:i w:val="0"/>
        </w:rPr>
        <w:t>Steering Committee</w:t>
      </w:r>
      <w:r>
        <w:rPr>
          <w:b w:val="0"/>
          <w:i w:val="0"/>
        </w:rPr>
        <w:t xml:space="preserve"> menetapkan arah, prioritas, dan keputusan yang berdampak pada scope, biaya, atau timeline program Astra International.</w:t>
      </w:r>
    </w:p>
    <w:p>
      <w:pPr>
        <w:pStyle w:val="ListNumber"/>
        <w:spacing w:before="0" w:after="80"/>
        <w:numPr>
          <w:ilvl w:val="0"/>
          <w:numId w:val="28"/>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28"/>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28"/>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687B90"/>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Astra International, pengendalian semacam ini penting karena program gelombang uji beban 10: penguatan tata kelola delivery, percepatan keputusan lintas unit, dan penyusunan roadmap eksekusi yang lebih... berpotensi melibatkan banyak dependency dan keputusan cepat.</w:t>
      </w:r>
    </w:p>
    <w:p>
      <w:r>
        <w:rPr>
          <w:b w:val="0"/>
          <w:i w:val="0"/>
        </w:rPr>
        <w:t>Untuk Astra International, isi bab ini harus dibaca sebagai dasar keputusan kerja yang dapat ditindaklanjuti, bukan sekadar penjelasan konseptual. Karena itu, isi bab tetap diarahkan untuk menjaga relevansi terhadap KPI seperti KPI outcome bisnis utama Astra International bergerak positif dalam 8 bulan. - Konteks Astra International tetap menjadi acuan utama agar isi bab tidak bergeser menjadi generik. - Setiap butir pada bab ini harus bisa ditelusuri ke KPI, risiko, atau keputusan kerja yang nyata.</w:t>
      </w:r>
    </w:p>
    <w:p>
      <w:r>
        <w:rPr>
          <w:b w:val="0"/>
          <w:i w:val="0"/>
        </w:rPr>
        <w:t>Untuk Astra International, isi bab ini harus dibaca sebagai dasar keputusan kerja yang dapat ditindaklanjuti, bukan sekadar penjelasan konseptual. Karena itu, isi bab tetap diarahkan untuk menjaga relevansi terhadap KPI seperti KPI outcome bisnis utama Astra International bergerak positif dalam 8 bulan. | Kualitas operasi (incident, SLA, lead time) membaik dalam 8 bulan. dan istilah kerja akuntabilitas, SPBE.</w:t>
      </w:r>
    </w:p>
    <w:p>
      <w:r>
        <w:br w:type="page"/>
      </w:r>
    </w:p>
    <w:p>
      <w:pPr>
        <w:pStyle w:val="Heading1"/>
        <w:jc w:val="center"/>
      </w:pPr>
      <w:r>
        <w:rPr>
          <w:color w:val="687B90"/>
        </w:rPr>
        <w:t>BAB X – PROFIL PERUSAHAAN</w:t>
      </w:r>
    </w:p>
    <w:p>
      <w:r>
        <w:rPr>
          <w:b w:val="0"/>
          <w:i w:val="0"/>
        </w:rPr>
        <w:t>Profil perusahaan pada proposal ini tidak dimaksudkan sebagai brosur umum, melainkan sebagai bukti bahwa Inixindo Jogja memiliki modal kerja yang relevan untuk membantu Astra International. Yang ditekankan bukan hanya deskripsi perusahaan, tetapi keterkaitan antara kapabilitas, pengalaman serupa, dan bentuk dukungan yang dibutuhkan oleh inisiatif gelombang uji beban 10: penguatan tata kelola delivery, percepatan keputusan lintas unit, dan penyusunan roadmap eksekusi yang lebih...</w:t>
      </w:r>
    </w:p>
    <w:p>
      <w:pPr>
        <w:pStyle w:val="Heading2"/>
      </w:pPr>
      <w:r>
        <w:rPr>
          <w:rFonts w:ascii="Arial" w:hAnsi="Arial"/>
          <w:b/>
          <w:color w:val="687B90"/>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akuntabilitas, SPBE, tata kelola.</w:t>
      </w:r>
    </w:p>
    <w:p>
      <w:pPr>
        <w:pStyle w:val="Heading2"/>
      </w:pPr>
      <w:r>
        <w:rPr>
          <w:rFonts w:ascii="Arial" w:hAnsi="Arial"/>
          <w:b/>
          <w:color w:val="687B90"/>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strategic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Visioning 2. Target Operating Model 3. Roadmap 4. Board Presentation, 1x Project Director, 1x Enterprise Architect</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Astra International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29"/>
        </w:numPr>
      </w:pPr>
      <w:r>
        <w:rPr>
          <w:b w:val="0"/>
          <w:i w:val="0"/>
        </w:rPr>
        <w:t>Prioritas implementasi untuk Astra International diarahkan agar tetap selaras dengan KPI outcome bisnis utama Astra International bergerak positif dalam 8 bulan. | Kualitas operasi (incident, SLA, lead time) membaik dalam 8 bulan..</w:t>
      </w:r>
    </w:p>
    <w:p>
      <w:pPr>
        <w:pStyle w:val="ListNumber"/>
        <w:spacing w:before="0" w:after="80"/>
        <w:numPr>
          <w:ilvl w:val="0"/>
          <w:numId w:val="29"/>
        </w:numPr>
      </w:pPr>
      <w:r>
        <w:rPr>
          <w:b w:val="0"/>
          <w:i w:val="0"/>
        </w:rPr>
        <w:t>Keputusan delivery dan quality gate pada bab ini harus konsisten dengan istilah kerja akuntabilitas, SPBE. - Konteks Astra International tetap menjadi acuan utama agar isi bab tidak bergeser menjadi generik. - Setiap butir pada bab ini harus bisa ditelusuri ke KPI, risiko, atau keputusan kerja yang nyata.</w:t>
      </w:r>
    </w:p>
    <w:p>
      <w:r>
        <w:br w:type="page"/>
      </w:r>
    </w:p>
    <w:p>
      <w:pPr>
        <w:pStyle w:val="Heading1"/>
        <w:jc w:val="center"/>
      </w:pPr>
      <w:r>
        <w:rPr>
          <w:color w:val="687B90"/>
        </w:rPr>
        <w:t>BAB XI – STRUKTUR &amp; TENAGA AHLI PROYEK</w:t>
      </w:r>
    </w:p>
    <w:p>
      <w:r>
        <w:rPr>
          <w:b w:val="0"/>
          <w:i w:val="0"/>
        </w:rPr>
        <w:t>Struktur tim proyek untuk Astra International dibentuk agar pengambilan keputusan, pengawasan mutu, dan eksekusi lapangan bergerak seirama. Komposisi tim tidak diperlakukan sebagai daftar jabatan semata, tetapi sebagai mekanisme untuk menjaga kualitas output terhadap target KPI outcome bisnis utama Astra International bergerak positif dalam 8 bulan.</w:t>
      </w:r>
    </w:p>
    <w:p>
      <w:pPr>
        <w:pStyle w:val="Heading2"/>
      </w:pPr>
      <w:r>
        <w:rPr>
          <w:rFonts w:ascii="Arial" w:hAnsi="Arial"/>
          <w:b/>
          <w:color w:val="687B90"/>
        </w:rPr>
        <w:t>11.1 Struktur Tim Proyek</w:t>
      </w:r>
    </w:p>
    <w:p>
      <w:pPr>
        <w:pStyle w:val="ListNumber"/>
        <w:spacing w:before="0" w:after="80"/>
        <w:numPr>
          <w:ilvl w:val="0"/>
          <w:numId w:val="30"/>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30"/>
        </w:numPr>
      </w:pPr>
      <w:r>
        <w:rPr>
          <w:b/>
          <w:i w:val="0"/>
        </w:rPr>
        <w:t>Project Manager / PMO Lead</w:t>
      </w:r>
      <w:r>
        <w:rPr>
          <w:b w:val="0"/>
          <w:i w:val="0"/>
        </w:rPr>
        <w:t xml:space="preserve"> mengendalikan ritme kerja, milestone, dan quality gate.</w:t>
      </w:r>
    </w:p>
    <w:p>
      <w:pPr>
        <w:pStyle w:val="ListNumber"/>
        <w:spacing w:before="0" w:after="80"/>
        <w:numPr>
          <w:ilvl w:val="0"/>
          <w:numId w:val="30"/>
        </w:numPr>
      </w:pPr>
      <w:r>
        <w:rPr>
          <w:b/>
          <w:i w:val="0"/>
        </w:rPr>
        <w:t>Lead Fungsional / Solusi</w:t>
      </w:r>
      <w:r>
        <w:rPr>
          <w:b w:val="0"/>
          <w:i w:val="0"/>
        </w:rPr>
        <w:t xml:space="preserve"> menjaga kualitas desain solusi dan relevansi output kerja.</w:t>
      </w:r>
    </w:p>
    <w:p>
      <w:pPr>
        <w:pStyle w:val="ListNumber"/>
        <w:spacing w:before="0" w:after="80"/>
        <w:numPr>
          <w:ilvl w:val="0"/>
          <w:numId w:val="30"/>
        </w:numPr>
      </w:pPr>
      <w:r>
        <w:rPr>
          <w:b/>
          <w:i w:val="0"/>
        </w:rPr>
        <w:t>Reviewer Governance / Quality</w:t>
      </w:r>
      <w:r>
        <w:rPr>
          <w:b w:val="0"/>
          <w:i w:val="0"/>
        </w:rPr>
        <w:t xml:space="preserve"> memastikan disiplin review, sign-off, dan kontrol risiko.</w:t>
      </w:r>
    </w:p>
    <w:p>
      <w:pPr>
        <w:pStyle w:val="Heading2"/>
      </w:pPr>
      <w:r>
        <w:rPr>
          <w:rFonts w:ascii="Arial" w:hAnsi="Arial"/>
          <w:b/>
          <w:color w:val="687B90"/>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strategic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TOGAF, ITIL,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Project Director, 1x Enterprise Architect</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Astra International memperoleh gambaran yang lebih konkret mengenai siapa yang menjaga keputusan, siapa yang mengawal delivery, dan siapa yang mengamankan mutu hasil kerja. Pendekatan ini membuat bab tenaga ahli lebih mudah diaudit dan lebih meyakinkan bagi sponsor proyek. - Konteks Astra International tetap menjadi acuan utama agar isi bab tidak bergeser menjadi generik. - Setiap butir pada bab ini harus bisa ditelusuri ke KPI, risiko, atau keputusan kerja yang nyata. - Istilah kerja yang tetap dijaga pada bab ini mencakup akuntabilitas, SPBE, tata kelola.</w:t>
      </w:r>
    </w:p>
    <w:p>
      <w:r>
        <w:br w:type="page"/>
      </w:r>
    </w:p>
    <w:p>
      <w:pPr>
        <w:pStyle w:val="Heading1"/>
        <w:jc w:val="center"/>
      </w:pPr>
      <w:r>
        <w:rPr>
          <w:color w:val="687B90"/>
        </w:rPr>
        <w:t>BAB XII – MODEL PEMBIAYAAN</w:t>
      </w:r>
    </w:p>
    <w:p>
      <w:r>
        <w:rPr>
          <w:b w:val="0"/>
          <w:i w:val="0"/>
        </w:rPr>
        <w:t>Model pembiayaan untuk Astra International disusun agar komitmen biaya, mekanisme pembayaran, dan batas ruang lingkup tetap jelas sejak awal. Tujuannya adalah menjaga proyek gelombang uji beban 10: penguatan tata kelola delivery, percepatan keputusan lintas unit, dan penyusunan roadmap eksekusi yang lebih...</w:t>
      </w:r>
    </w:p>
    <w:p>
      <w:pPr>
        <w:pStyle w:val="Heading2"/>
      </w:pPr>
      <w:r>
        <w:rPr>
          <w:rFonts w:ascii="Arial" w:hAnsi="Arial"/>
          <w:b/>
          <w:color w:val="687B90"/>
        </w:rPr>
        <w:t>12.1 Biaya dan Tahapan Pembayaran</w:t>
      </w:r>
    </w:p>
    <w:p>
      <w:r>
        <w:rPr>
          <w:b w:val="0"/>
          <w:i w:val="0"/>
        </w:rPr>
        <w:t>Estimasi investasi awal untuk engagement ini adalah</w:t>
      </w:r>
      <w:r>
        <w:rPr>
          <w:b/>
          <w:i w:val="0"/>
        </w:rPr>
        <w:t xml:space="preserve"> Rp 500.000.000</w:t>
      </w:r>
      <w:r>
        <w:rPr>
          <w:b w:val="0"/>
          <w:i w:val="0"/>
        </w:rPr>
        <w:t>, dengan tipe layanan</w:t>
      </w:r>
      <w:r>
        <w:rPr>
          <w:b/>
          <w:i w:val="0"/>
        </w:rPr>
        <w:t xml:space="preserve"> Konsultan</w:t>
      </w:r>
      <w:r>
        <w:rPr>
          <w:b w:val="0"/>
          <w:i w:val="0"/>
        </w:rPr>
        <w:t xml:space="preserve"> pada model proyek</w:t>
      </w:r>
      <w:r>
        <w:rPr>
          <w:b/>
          <w:i w:val="0"/>
        </w:rPr>
        <w:t xml:space="preserve"> Strategic</w:t>
      </w:r>
      <w:r>
        <w:rPr>
          <w:b w:val="0"/>
          <w:i w:val="0"/>
        </w:rPr>
        <w:t xml:space="preserve"> selama</w:t>
      </w:r>
      <w:r>
        <w:rPr>
          <w:b/>
          <w:i w:val="0"/>
        </w:rPr>
        <w:t xml:space="preserve"> 8 Bulan</w:t>
      </w:r>
      <w:r>
        <w:rPr>
          <w:b w:val="0"/>
          <w:i w:val="0"/>
        </w:rPr>
        <w:t>. Baseline komersial internal yang menjadi acuan adalah Retainer or Fixed-fee based on milestones.</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500.000.000</w:t>
            </w:r>
          </w:p>
        </w:tc>
      </w:tr>
      <w:tr>
        <w:tc>
          <w:tcPr>
            <w:tcW w:type="dxa" w:w="4680"/>
          </w:tcPr>
          <w:p>
            <w:r>
              <w:rPr>
                <w:b w:val="0"/>
                <w:i w:val="0"/>
              </w:rPr>
              <w:t>Model engagement</w:t>
            </w:r>
          </w:p>
        </w:tc>
        <w:tc>
          <w:tcPr>
            <w:tcW w:type="dxa" w:w="4680"/>
          </w:tcPr>
          <w:p>
            <w:r>
              <w:rPr>
                <w:b w:val="0"/>
                <w:i w:val="0"/>
              </w:rPr>
              <w:t>Konsultan - Strategic</w:t>
            </w:r>
          </w:p>
        </w:tc>
      </w:tr>
      <w:tr>
        <w:tc>
          <w:tcPr>
            <w:tcW w:type="dxa" w:w="4680"/>
          </w:tcPr>
          <w:p>
            <w:r>
              <w:rPr>
                <w:b w:val="0"/>
                <w:i w:val="0"/>
              </w:rPr>
              <w:t>Durasi acuan</w:t>
            </w:r>
          </w:p>
        </w:tc>
        <w:tc>
          <w:tcPr>
            <w:tcW w:type="dxa" w:w="4680"/>
          </w:tcPr>
          <w:p>
            <w:r>
              <w:rPr>
                <w:b w:val="0"/>
                <w:i w:val="0"/>
              </w:rPr>
              <w:t>8 Bulan</w:t>
            </w:r>
          </w:p>
        </w:tc>
      </w:tr>
      <w:tr>
        <w:tc>
          <w:tcPr>
            <w:tcW w:type="dxa" w:w="4680"/>
          </w:tcPr>
          <w:p>
            <w:r>
              <w:rPr>
                <w:b w:val="0"/>
                <w:i w:val="0"/>
              </w:rPr>
              <w:t>Basis commercial</w:t>
            </w:r>
          </w:p>
        </w:tc>
        <w:tc>
          <w:tcPr>
            <w:tcW w:type="dxa" w:w="4680"/>
          </w:tcPr>
          <w:p>
            <w:r>
              <w:rPr>
                <w:b w:val="0"/>
                <w:i w:val="0"/>
              </w:rPr>
              <w:t>Retainer or Fixed-fee based on milestones.</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31"/>
        </w:numPr>
      </w:pPr>
      <w:r>
        <w:rPr>
          <w:b/>
          <w:i w:val="0"/>
        </w:rPr>
        <w:t>Alignment &amp; target design</w:t>
      </w:r>
      <w:r>
        <w:rPr>
          <w:b w:val="0"/>
          <w:i w:val="0"/>
        </w:rPr>
        <w:t xml:space="preserve"> sebesar 30% dari estimasi investasi, ditagihkan setelah milestone terkait diterima.</w:t>
      </w:r>
    </w:p>
    <w:p>
      <w:pPr>
        <w:pStyle w:val="ListNumber"/>
        <w:spacing w:before="0" w:after="80"/>
        <w:numPr>
          <w:ilvl w:val="0"/>
          <w:numId w:val="31"/>
        </w:numPr>
      </w:pPr>
      <w:r>
        <w:rPr>
          <w:b/>
          <w:i w:val="0"/>
        </w:rPr>
        <w:t>Roadmap &amp; executive review</w:t>
      </w:r>
      <w:r>
        <w:rPr>
          <w:b w:val="0"/>
          <w:i w:val="0"/>
        </w:rPr>
        <w:t xml:space="preserve"> sebesar 40% dari estimasi investasi, ditagihkan setelah milestone terkait diterima.</w:t>
      </w:r>
    </w:p>
    <w:p>
      <w:pPr>
        <w:pStyle w:val="ListNumber"/>
        <w:spacing w:before="0" w:after="80"/>
        <w:numPr>
          <w:ilvl w:val="0"/>
          <w:numId w:val="31"/>
        </w:numPr>
      </w:pPr>
      <w:r>
        <w:rPr>
          <w:b/>
          <w:i w:val="0"/>
        </w:rPr>
        <w:t>Final recommendation &amp; handover</w:t>
      </w:r>
      <w:r>
        <w:rPr>
          <w:b w:val="0"/>
          <w:i w:val="0"/>
        </w:rPr>
        <w:t xml:space="preserve"> sebesar 30% dari estimasi investasi, ditagihkan setelah milestone terkait diterima.</w:t>
      </w:r>
    </w:p>
    <w:p>
      <w:pPr>
        <w:pStyle w:val="Heading2"/>
      </w:pPr>
      <w:r>
        <w:rPr>
          <w:rFonts w:ascii="Arial" w:hAnsi="Arial"/>
          <w:b/>
          <w:color w:val="687B90"/>
        </w:rPr>
        <w:t>12.2 Model Pekerjaan dan Batasan Pekerjaan</w:t>
      </w:r>
    </w:p>
    <w:p>
      <w:r>
        <w:rPr>
          <w:b w:val="0"/>
          <w:i w:val="0"/>
        </w:rPr>
        <w:t>Model kerja dirancang agar ruang lingkup delivery tetap fokus pada kebutuhan opportunity dan KPI seperti KPI outcome bisnis utama Astra International bergerak positif dalam 8 bulan. | Kualitas operasi (incident, SLA, lead time) membaik dalam 8 bulan. Untuk Astra International,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w:t>
      </w:r>
    </w:p>
    <w:p>
      <w:r>
        <w:rPr>
          <w:b w:val="0"/>
          <w:i w:val="0"/>
        </w:rPr>
        <w:t>Bab pembiayaan tidak boleh berhenti sebagai angka dan termin pembayaran saja. Untuk Astra International, bagian ini perlu menunjukkan bahwa struktur biaya, tahapan pembayaran, dan batas pekerjaan disusun agar manfaat bisnis seperti KPI outcome bisnis utama Astra International bergerak positif dalam 8 bulan. - Konteks Astra International tetap menjadi acuan utama agar isi bab tidak bergeser menjadi generik. - Setiap butir pada bab ini harus bisa ditelusuri ke KPI, risiko, atau keputusan kerja yang nyata.</w:t>
      </w:r>
    </w:p>
    <w:p>
      <w:r>
        <w:br w:type="page"/>
      </w:r>
    </w:p>
    <w:p>
      <w:pPr>
        <w:pStyle w:val="Heading1"/>
        <w:jc w:val="center"/>
      </w:pPr>
      <w:r>
        <w:rPr>
          <w:color w:val="687B90"/>
        </w:rPr>
        <w:t>PENUTUP &amp; APRESIASI KEMITRAAN</w:t>
      </w:r>
    </w:p>
    <w:p>
      <w:r>
        <w:rPr>
          <w:b w:val="0"/>
          <w:i w:val="0"/>
        </w:rPr>
        <w:t>Terima kasih atas kesempatan yang diberikan kepada Inixindo Jogja untuk menyusun proposal bagi Astra International. Kami memandang inisiatif gelombang uji beban 10: penguatan tata kelola delivery, percepatan keputusan lintas unit, dan penyusunan roadmap eksekusi yang lebih...</w:t>
      </w:r>
    </w:p>
    <w:p>
      <w:pPr>
        <w:pStyle w:val="Heading2"/>
      </w:pPr>
      <w:r>
        <w:rPr>
          <w:rFonts w:ascii="Arial" w:hAnsi="Arial"/>
          <w:b/>
          <w:color w:val="687B90"/>
        </w:rPr>
        <w:t>Apresiasi dan Komitmen Kemitraan</w:t>
      </w:r>
    </w:p>
    <w:p>
      <w:pPr>
        <w:pStyle w:val="ListNumber"/>
        <w:spacing w:before="0" w:after="80"/>
        <w:numPr>
          <w:ilvl w:val="0"/>
          <w:numId w:val="32"/>
        </w:numPr>
      </w:pPr>
      <w:r>
        <w:rPr>
          <w:b w:val="0"/>
          <w:i w:val="0"/>
        </w:rPr>
        <w:t>Kami mengapresiasi keterbukaan Astra International dalam mengangkat konteks, tantangan, dan target bisnis yang menjadi dasar proposal ini.</w:t>
      </w:r>
    </w:p>
    <w:p>
      <w:pPr>
        <w:pStyle w:val="ListNumber"/>
        <w:spacing w:before="0" w:after="80"/>
        <w:numPr>
          <w:ilvl w:val="0"/>
          <w:numId w:val="32"/>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2"/>
        </w:numPr>
      </w:pPr>
      <w:r>
        <w:rPr>
          <w:b w:val="0"/>
          <w:i w:val="0"/>
        </w:rPr>
        <w:t>Fokus awal kemitraan diarahkan pada prioritas seperti KPI outcome bisnis utama Astra International bergerak positif dalam 8 bulan. | Kualitas operasi (incident, SLA, lead time) membaik dalam 8 bulan. | Efektivitas eksekusi proyek (on-time, on-budget, on-scope) tercapai dalam 8 bulan., dengan tata kelola dan ritme eksekusi yang stabil sejak kickoff.</w:t>
      </w:r>
    </w:p>
    <w:p>
      <w:pPr>
        <w:pStyle w:val="Heading2"/>
      </w:pPr>
      <w:r>
        <w:rPr>
          <w:rFonts w:ascii="Arial" w:hAnsi="Arial"/>
          <w:b/>
          <w:color w:val="687B90"/>
        </w:rPr>
        <w:t>Informasi Kontak dan Langkah Lanjutan</w:t>
      </w:r>
    </w:p>
    <w:p>
      <w:r>
        <w:rPr>
          <w:b w:val="0"/>
          <w:i w:val="0"/>
        </w:rPr>
        <w:t>Untuk melanjutkan pembahasan, Inixindo Jogja siap menindaklanjuti review proposal, penajaman ruang lingkup, dan penyesuaian komersial yang diperlukan. - Konteks Astra International tetap menjadi acuan utama agar isi bab tidak bergeser menjadi generik. - Setiap butir pada bab ini harus bisa ditelusuri ke KPI, risiko, atau keputusan kerja yang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8"/>
  </w:num>
  <w:num w:numId="13">
    <w:abstractNumId w:val="8"/>
  </w:num>
  <w:num w:numId="14">
    <w:abstractNumId w:val="8"/>
  </w:num>
  <w:num w:numId="15">
    <w:abstractNumId w:val="7"/>
  </w:num>
  <w:num w:numId="16">
    <w:abstractNumId w:val="7"/>
  </w:num>
  <w:num w:numId="17">
    <w:abstractNumId w:val="8"/>
  </w:num>
  <w:num w:numId="18">
    <w:abstractNumId w:val="7"/>
  </w:num>
  <w:num w:numId="19">
    <w:abstractNumId w:val="7"/>
  </w:num>
  <w:num w:numId="20">
    <w:abstractNumId w:val="8"/>
  </w:num>
  <w:num w:numId="21">
    <w:abstractNumId w:val="8"/>
  </w:num>
  <w:num w:numId="22">
    <w:abstractNumId w:val="7"/>
  </w:num>
  <w:num w:numId="23">
    <w:abstractNumId w:val="8"/>
  </w:num>
  <w:num w:numId="24">
    <w:abstractNumId w:val="8"/>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