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4828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482803"/>
                    </a:xfrm>
                    <a:prstGeom prst="rect"/>
                  </pic:spPr>
                </pic:pic>
              </a:graphicData>
            </a:graphic>
          </wp:inline>
        </w:drawing>
      </w:r>
    </w:p>
    <w:p>
      <w:pPr>
        <w:jc w:val="center"/>
      </w:pPr>
      <w:r>
        <w:rPr>
          <w:b/>
          <w:color w:val="777973"/>
          <w:sz w:val="60"/>
        </w:rPr>
        <w:t>ARSITEKTUR PROPOSAL</w:t>
      </w:r>
    </w:p>
    <w:p>
      <w:pPr>
        <w:jc w:val="center"/>
      </w:pPr>
      <w:r>
        <w:rPr>
          <w:sz w:val="28"/>
        </w:rPr>
        <w:t>Konsultan – Transformation</w:t>
      </w:r>
    </w:p>
    <w:p/>
    <w:p>
      <w:pPr>
        <w:jc w:val="center"/>
      </w:pPr>
      <w:r>
        <w:rPr>
          <w:b/>
          <w:sz w:val="32"/>
        </w:rPr>
        <w:t>Untuk: Bank Mandiri</w:t>
      </w:r>
    </w:p>
    <w:p>
      <w:pPr>
        <w:jc w:val="center"/>
      </w:pPr>
      <w:r>
        <w:t>Inisiatif: Gelombang uji beban 1: penguatan tata kelola delivery, percepatan keputusan lintas unit, dan penyusunan roadmap eksekusi yang lebih terukur untuk Bank Mandiri.</w:t>
      </w:r>
    </w:p>
    <w:p>
      <w:pPr>
        <w:jc w:val="center"/>
      </w:pPr>
      <w:r>
        <w:t>Durasi: 4 Bulan | Estimasi Investasi: Rp 500.000.000 | Tanggal: 30 March 2026</w:t>
      </w:r>
    </w:p>
    <w:p>
      <w:pPr>
        <w:jc w:val="center"/>
      </w:pPr>
      <w:r>
        <w:t>Disusun oleh Inixindo Jogja</w:t>
      </w:r>
    </w:p>
    <w:p>
      <w:r>
        <w:br w:type="page"/>
      </w:r>
    </w:p>
    <w:p>
      <w:pPr>
        <w:pStyle w:val="Heading1"/>
        <w:jc w:val="center"/>
      </w:pPr>
      <w:r>
        <w:rPr>
          <w:color w:val="777973"/>
        </w:rPr>
        <w:t>BAB I – KONTEKS KLIEN</w:t>
      </w:r>
    </w:p>
    <w:p>
      <w:pPr>
        <w:pStyle w:val="Heading2"/>
      </w:pPr>
      <w:r>
        <w:rPr>
          <w:rFonts w:ascii="Arial" w:hAnsi="Arial"/>
          <w:b/>
          <w:color w:val="777973"/>
        </w:rPr>
        <w:t>1.1 Latar Belakang Organisasi Klien</w:t>
      </w:r>
    </w:p>
    <w:p>
      <w:r>
        <w:rPr>
          <w:b w:val="0"/>
          <w:i w:val="0"/>
        </w:rPr>
        <w:t>Bank Mandiri (PT Bank Mandiri (Persero) Tbk) adalah BUMN perbankan terbesar di Indonesia dengan aset &gt; Rp 1,5 kuadriliun dan laba bersih Rp 4,65 triliun pada Januari 2026 (bankmandiri.co.id, 2026). Kinerja solid tercermin dari pertumbuhan kredit 15,62 % YoY serta peningkatan transaksi digital nasabah, yang menjadi pendorong laba naik 16,18 % YoY (bankmandiri.co.id, 2026). Penghargaan “Best in Class Banking GCG” (youtube.com, 2025) dan lima penghargaan Bank Indonesia Award 2025 (facebook.com, 2025) menegaskan reputasi tata kelola dan kepatuhan POJK.</w:t>
      </w:r>
    </w:p>
    <w:p>
      <w:r>
        <w:rPr>
          <w:b w:val="0"/>
          <w:i w:val="0"/>
        </w:rPr>
        <w:t>Di ranah digital, Livin' by Mandiri memastikan kesiapan infrastruktur selama libur Idul Fitri 2026 (bankmandiri.co.id, 2026) dan terus menambah fitur super‑app untuk menanggapi persaingan ketat dari digital‑bank seperti Jago dan SeaBank (Data Internal, 2026). Meskipun Monthly Active Users (MAU) Livin' mencapai 10 juta, engagement masih jauh di bawah target 20 juta (Data Internal, 2026).</w:t>
      </w:r>
    </w:p>
    <w:p>
      <w:r>
        <w:rPr>
          <w:b w:val="0"/>
          <w:i w:val="0"/>
        </w:rPr>
        <w:t>Visi 2025‑2029 menargetkan “Institusi Keuangan Terbaik di Asia Tenggara” (bankmandiri.co.id, 2029). Untuk mencapainya, mandat strategis meliputi:</w:t>
      </w:r>
    </w:p>
    <w:p>
      <w:pPr>
        <w:pStyle w:val="ListNumber"/>
        <w:spacing w:before="0" w:after="80"/>
        <w:numPr>
          <w:ilvl w:val="0"/>
          <w:numId w:val="10"/>
        </w:numPr>
      </w:pPr>
      <w:r>
        <w:rPr>
          <w:b/>
          <w:i w:val="0"/>
        </w:rPr>
        <w:t>Penguatan tata kelola delivery</w:t>
      </w:r>
      <w:r>
        <w:rPr>
          <w:b w:val="0"/>
          <w:i w:val="0"/>
        </w:rPr>
        <w:t xml:space="preserve"> – kontrol risiko, audit, dan kepatuhan POJK pada setiap gelombang beban.</w:t>
      </w:r>
    </w:p>
    <w:p>
      <w:pPr>
        <w:pStyle w:val="ListNumber"/>
        <w:spacing w:before="0" w:after="80"/>
        <w:numPr>
          <w:ilvl w:val="0"/>
          <w:numId w:val="10"/>
        </w:numPr>
      </w:pPr>
      <w:r>
        <w:rPr>
          <w:b/>
          <w:i w:val="0"/>
        </w:rPr>
        <w:t>Percepatan keputusan lintas unit</w:t>
      </w:r>
      <w:r>
        <w:rPr>
          <w:b w:val="0"/>
          <w:i w:val="0"/>
        </w:rPr>
        <w:t xml:space="preserve"> – mengurangi siklus persetujuan dari 6‑8 minggu menjadi ≤3 minggu.</w:t>
      </w:r>
    </w:p>
    <w:p>
      <w:pPr>
        <w:pStyle w:val="ListNumber"/>
        <w:spacing w:before="0" w:after="80"/>
        <w:numPr>
          <w:ilvl w:val="0"/>
          <w:numId w:val="10"/>
        </w:numPr>
      </w:pPr>
      <w:r>
        <w:rPr>
          <w:b/>
          <w:i w:val="0"/>
        </w:rPr>
        <w:t>Roadmap eksekusi terukur</w:t>
      </w:r>
      <w:r>
        <w:rPr>
          <w:b w:val="0"/>
          <w:i w:val="0"/>
        </w:rPr>
        <w:t xml:space="preserve"> – menghubungkan KPI digital (MAU, volume transaksi) dengan milestone operasional dalam horizon 4 bulan.</w:t>
      </w:r>
    </w:p>
    <w:p>
      <w:r>
        <w:rPr>
          <w:b w:val="0"/>
          <w:i w:val="0"/>
        </w:rPr>
        <w:t>Kondisi eksternal menambah urgensi. Pemerintah memperkuat fondasi SPBE (kominfo.jatimprov.go.id, 2026) dan menuntut peran bank dalam ekosistem digital nasional. Regulasi BPK menekankan transparansi dan akuntabilitas proyek TI berskala besar (yogyakarta.bpk.go.id, 2029).</w:t>
      </w:r>
    </w:p>
    <w:p>
      <w:pPr>
        <w:pStyle w:val="Heading2"/>
      </w:pPr>
      <w:r>
        <w:rPr>
          <w:rFonts w:ascii="Arial" w:hAnsi="Arial"/>
          <w:b/>
          <w:color w:val="777973"/>
        </w:rPr>
        <w:t>1.2 Alasan Permintaan Jasa Konsultasi</w:t>
      </w:r>
    </w:p>
    <w:p>
      <w:r>
        <w:rPr>
          <w:b w:val="0"/>
          <w:i w:val="0"/>
        </w:rPr>
        <w:t>Bank Mandiri mengidentifikasi tiga gap kritis yang memerlukan intervensi eksternal:</w:t>
      </w:r>
    </w:p>
    <w:p>
      <w:pPr>
        <w:pStyle w:val="ListBullet"/>
        <w:spacing w:before="0" w:after="80"/>
        <w:numPr>
          <w:ilvl w:val="0"/>
          <w:numId w:val="11"/>
        </w:numPr>
      </w:pPr>
      <w:r>
        <w:rPr>
          <w:b/>
          <w:i w:val="0"/>
        </w:rPr>
        <w:t>Fragmentasi proses bisnis‑teknologi</w:t>
      </w:r>
      <w:r>
        <w:rPr>
          <w:b w:val="0"/>
          <w:i w:val="0"/>
        </w:rPr>
        <w:t xml:space="preserve"> – tim bisnis dan core banking belum memiliki kerangka kerja bersama, menyebabkan tumpang tindih prioritas proyek.</w:t>
      </w:r>
    </w:p>
    <w:p>
      <w:pPr>
        <w:pStyle w:val="ListBullet"/>
        <w:spacing w:before="0" w:after="80"/>
        <w:numPr>
          <w:ilvl w:val="0"/>
          <w:numId w:val="11"/>
        </w:numPr>
      </w:pPr>
      <w:r>
        <w:rPr>
          <w:b/>
          <w:i w:val="0"/>
        </w:rPr>
        <w:t>Governance tidak terstandardisasi</w:t>
      </w:r>
      <w:r>
        <w:rPr>
          <w:b w:val="0"/>
          <w:i w:val="0"/>
        </w:rPr>
        <w:t xml:space="preserve"> – tidak ada model TOGAF/ITIL/COBIT yang konsisten untuk menilai readiness beban, meningkatkan risiko downtime dan fraud control.</w:t>
      </w:r>
    </w:p>
    <w:p>
      <w:pPr>
        <w:pStyle w:val="ListBullet"/>
        <w:spacing w:before="0" w:after="80"/>
        <w:numPr>
          <w:ilvl w:val="0"/>
          <w:numId w:val="11"/>
        </w:numPr>
      </w:pPr>
      <w:r>
        <w:rPr>
          <w:b/>
          <w:i w:val="0"/>
        </w:rPr>
        <w:t>Kapasitas change management terbatas</w:t>
      </w:r>
      <w:r>
        <w:rPr>
          <w:b w:val="0"/>
          <w:i w:val="0"/>
        </w:rPr>
        <w:t xml:space="preserve"> – adopsi fitur baru Livin' mengalami resistensi nasabah, menghambat</w:t>
      </w:r>
    </w:p>
    <w:p>
      <w:r>
        <w:rPr>
          <w:b w:val="0"/>
          <w:i w:val="0"/>
        </w:rPr>
        <w:t>Untuk Bank Mandiri, isi bab ini harus dibaca sebagai dasar keputusan kerja yang dapat ditindaklanjuti, bukan sekadar penjelasan konseptual. Karena itu, isi bab tetap diarahkan untuk menjaga relevansi terhadap KPI seperti Pertumbuhan transaksi digital nasabah dalam 4 bulan. | Kepatuhan &amp; risiko operasional (audit findings) membaik dalam 4 bulan. dan istilah kerja nasabah, core banking.</w:t>
      </w:r>
    </w:p>
    <w:p>
      <w:pPr>
        <w:pStyle w:val="ListBullet"/>
        <w:spacing w:before="0" w:after="80"/>
        <w:numPr>
          <w:ilvl w:val="0"/>
          <w:numId w:val="12"/>
        </w:numPr>
      </w:pPr>
      <w:r>
        <w:rPr>
          <w:b w:val="0"/>
          <w:i w:val="0"/>
        </w:rPr>
        <w:t>Implikasi eksekusinya harus tetap jelas agar sponsor dan tim delivery dapat menurunkan isi bab ini menjadi tindakan yang konkret.</w:t>
      </w:r>
    </w:p>
    <w:p>
      <w:pPr>
        <w:pStyle w:val="ListBullet"/>
        <w:spacing w:before="0" w:after="80"/>
        <w:numPr>
          <w:ilvl w:val="0"/>
          <w:numId w:val="12"/>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Pertumbuhan transaksi digital nasabah dalam 4 bulan. | Kepatuhan &amp; risiko operasional (audit findings) membaik dalam 4 bulan., bahasa operasional nasabah, core banking, dan konteks inisiatif yang sedang dijalankan.</w:t>
      </w:r>
    </w:p>
    <w:p>
      <w:r>
        <w:br w:type="page"/>
      </w:r>
    </w:p>
    <w:p>
      <w:pPr>
        <w:pStyle w:val="Heading1"/>
        <w:jc w:val="center"/>
      </w:pPr>
      <w:r>
        <w:rPr>
          <w:color w:val="777973"/>
        </w:rPr>
        <w:t>BAB II – PERMASALAHAN</w:t>
      </w:r>
    </w:p>
    <w:p>
      <w:pPr>
        <w:pStyle w:val="Heading2"/>
      </w:pPr>
      <w:r>
        <w:rPr>
          <w:rFonts w:ascii="Arial" w:hAnsi="Arial"/>
          <w:b/>
          <w:color w:val="777973"/>
        </w:rPr>
        <w:t>2.1 Kebutuhan atau Keinginan Klien</w:t>
      </w:r>
    </w:p>
    <w:p>
      <w:r>
        <w:rPr>
          <w:b w:val="0"/>
          <w:i w:val="0"/>
        </w:rPr>
        <w:t>Bank Mandiri menuntut</w:t>
      </w:r>
      <w:r>
        <w:rPr>
          <w:b/>
          <w:i w:val="0"/>
        </w:rPr>
        <w:t xml:space="preserve"> penguatan tata kelola delivery</w:t>
      </w:r>
      <w:r>
        <w:rPr>
          <w:b w:val="0"/>
          <w:i w:val="0"/>
        </w:rPr>
        <w:t xml:space="preserve"> pada Gelombang Uji Beban 1 agar:</w:t>
      </w:r>
    </w:p>
    <w:p>
      <w:pPr>
        <w:pStyle w:val="ListNumber"/>
        <w:spacing w:before="0" w:after="80"/>
        <w:numPr>
          <w:ilvl w:val="0"/>
          <w:numId w:val="13"/>
        </w:numPr>
      </w:pPr>
      <w:r>
        <w:rPr>
          <w:b w:val="0"/>
          <w:i w:val="0"/>
        </w:rPr>
        <w:t>Prioritas kerja terpusat pada inisiatif digital utama (Livin' Superapp).</w:t>
      </w:r>
    </w:p>
    <w:p>
      <w:pPr>
        <w:pStyle w:val="ListNumber"/>
        <w:spacing w:before="0" w:after="80"/>
        <w:numPr>
          <w:ilvl w:val="0"/>
          <w:numId w:val="13"/>
        </w:numPr>
      </w:pPr>
      <w:r>
        <w:rPr>
          <w:b w:val="0"/>
          <w:i w:val="0"/>
        </w:rPr>
        <w:t>Koordinasi lintas unit – bisnis, teknologi, risk &amp; compliance – menjadi konsisten, terukur, dan dapat dipantau dalam horizon empat bulan.</w:t>
      </w:r>
    </w:p>
    <w:p>
      <w:pPr>
        <w:pStyle w:val="ListNumber"/>
        <w:spacing w:before="0" w:after="80"/>
        <w:numPr>
          <w:ilvl w:val="0"/>
          <w:numId w:val="13"/>
        </w:numPr>
      </w:pPr>
      <w:r>
        <w:rPr>
          <w:b w:val="0"/>
          <w:i w:val="0"/>
        </w:rPr>
        <w:t>Ruang lingkup, deliverable, serta mekanisme governance proyek jelas, terstandardisasi, dan terintegrasi dengan KPI digital (MAU ≥ 20 Juta, audit findings ≤ 5, downtime ≤ 0,5 %).</w:t>
      </w:r>
    </w:p>
    <w:p>
      <w:r>
        <w:rPr>
          <w:b w:val="0"/>
          <w:i w:val="0"/>
        </w:rPr>
        <w:t>Kebutuhan ini selaras dengan target pertumbuhan</w:t>
      </w:r>
      <w:r>
        <w:rPr>
          <w:b/>
          <w:i w:val="0"/>
        </w:rPr>
        <w:t xml:space="preserve"> Monthly Active Users (MAU)</w:t>
      </w:r>
      <w:r>
        <w:rPr>
          <w:b w:val="0"/>
          <w:i w:val="0"/>
        </w:rPr>
        <w:t xml:space="preserve"> Livin' dari 10 Juta ke 20 Juta serta penurunan insiden downtime yang dapat merusak reputasi (Data Internal, 2026).</w:t>
      </w:r>
    </w:p>
    <w:p>
      <w:pPr>
        <w:pStyle w:val="Heading2"/>
      </w:pPr>
      <w:r>
        <w:rPr>
          <w:rFonts w:ascii="Arial" w:hAnsi="Arial"/>
          <w:b/>
          <w:color w:val="777973"/>
        </w:rPr>
        <w:t>2.2 Business Context</w:t>
      </w:r>
    </w:p>
    <w:p>
      <w:r>
        <w:rPr>
          <w:b w:val="0"/>
          <w:i w:val="0"/>
        </w:rPr>
        <w:t>Bank Mandiri mencatat laba bersih</w:t>
      </w:r>
      <w:r>
        <w:rPr>
          <w:b/>
          <w:i w:val="0"/>
        </w:rPr>
        <w:t xml:space="preserve"> Rp4,65 triliun</w:t>
      </w:r>
      <w:r>
        <w:rPr>
          <w:b w:val="0"/>
          <w:i w:val="0"/>
        </w:rPr>
        <w:t xml:space="preserve"> pada Januari 2026 (bankmandiri.co.id, 2026) dan pertumbuhan kredit</w:t>
      </w:r>
      <w:r>
        <w:rPr>
          <w:b/>
          <w:i w:val="0"/>
        </w:rPr>
        <w:t xml:space="preserve"> 15,62 % YoY</w:t>
      </w:r>
      <w:r>
        <w:rPr>
          <w:b w:val="0"/>
          <w:i w:val="0"/>
        </w:rPr>
        <w:t xml:space="preserve"> (instagram.com, 2026). Keberhasilan ini didorong oleh</w:t>
      </w:r>
      <w:r>
        <w:rPr>
          <w:b/>
          <w:i w:val="0"/>
        </w:rPr>
        <w:t xml:space="preserve"> akselerasi layanan digital</w:t>
      </w:r>
      <w:r>
        <w:rPr>
          <w:b w:val="0"/>
          <w:i w:val="0"/>
        </w:rPr>
        <w:t xml:space="preserve"> serta peningkatan transaksi nasabah (instagram.com, 2026). Sebagai BUMN, Mandiri berperan sebagai institusi keuangan terdepan di Asia Tenggara (bankmandiri.co.id, 2029). Namun, peningkatan adopsi digital menambah beban pada core banking, fraud control, dan kepatuhan POJK, yang memerlukan tata kelola terpadu.</w:t>
      </w:r>
    </w:p>
    <w:p>
      <w:pPr>
        <w:pStyle w:val="Heading2"/>
      </w:pPr>
      <w:r>
        <w:rPr>
          <w:rFonts w:ascii="Arial" w:hAnsi="Arial"/>
          <w:b/>
          <w:color w:val="777973"/>
        </w:rPr>
        <w:t>2.3 Key Challenge</w:t>
      </w:r>
    </w:p>
    <w:p>
      <w:pPr>
        <w:pStyle w:val="ListNumber"/>
        <w:spacing w:before="0" w:after="80"/>
        <w:numPr>
          <w:ilvl w:val="0"/>
          <w:numId w:val="14"/>
        </w:numPr>
      </w:pPr>
      <w:r>
        <w:rPr>
          <w:b/>
          <w:i w:val="0"/>
        </w:rPr>
        <w:t>Fragmentasi prioritas</w:t>
      </w:r>
      <w:r>
        <w:rPr>
          <w:b w:val="0"/>
          <w:i w:val="0"/>
        </w:rPr>
        <w:t xml:space="preserve"> – tim bisnis, TI, dan risk appetite beroperasi dengan agenda yang tidak selaras.</w:t>
      </w:r>
    </w:p>
    <w:p>
      <w:pPr>
        <w:pStyle w:val="ListNumber"/>
        <w:spacing w:before="0" w:after="80"/>
        <w:numPr>
          <w:ilvl w:val="0"/>
          <w:numId w:val="14"/>
        </w:numPr>
      </w:pPr>
      <w:r>
        <w:rPr>
          <w:b/>
          <w:i w:val="0"/>
        </w:rPr>
        <w:t>Governance tidak terstandardisasi</w:t>
      </w:r>
      <w:r>
        <w:rPr>
          <w:b w:val="0"/>
          <w:i w:val="0"/>
        </w:rPr>
        <w:t xml:space="preserve"> – tidak ada kerangka TOGAF/ITIL/COBIT yang konsisten pada fase rollout.</w:t>
      </w:r>
    </w:p>
    <w:p>
      <w:pPr>
        <w:pStyle w:val="ListNumber"/>
        <w:spacing w:before="0" w:after="80"/>
        <w:numPr>
          <w:ilvl w:val="0"/>
          <w:numId w:val="14"/>
        </w:numPr>
      </w:pPr>
      <w:r>
        <w:rPr>
          <w:b/>
          <w:i w:val="0"/>
        </w:rPr>
        <w:t>Risiko downtime kritis</w:t>
      </w:r>
      <w:r>
        <w:rPr>
          <w:b w:val="0"/>
          <w:i w:val="0"/>
        </w:rPr>
        <w:t xml:space="preserve"> – layanan Livin' harus tetap tersedia selama libur Idul Fitri, sebagaimana dijanjikan (bankmandiri.co.id, 2026).</w:t>
      </w:r>
    </w:p>
    <w:p>
      <w:pPr>
        <w:pStyle w:val="Heading2"/>
      </w:pPr>
      <w:r>
        <w:rPr>
          <w:rFonts w:ascii="Arial" w:hAnsi="Arial"/>
          <w:b/>
          <w:color w:val="777973"/>
        </w:rPr>
        <w:t>2.4 Underlying Gap</w:t>
      </w:r>
    </w:p>
    <w:p>
      <w:pPr>
        <w:pStyle w:val="ListBullet"/>
        <w:spacing w:before="0" w:after="80"/>
        <w:numPr>
          <w:ilvl w:val="0"/>
          <w:numId w:val="15"/>
        </w:numPr>
      </w:pPr>
      <w:r>
        <w:rPr>
          <w:b/>
          <w:i w:val="0"/>
        </w:rPr>
        <w:t>Current State:</w:t>
      </w:r>
      <w:r>
        <w:rPr>
          <w:b w:val="0"/>
          <w:i w:val="0"/>
        </w:rPr>
        <w:t xml:space="preserve"> Keputusan lintas unit memakan &gt;2 minggu; tidak ada dashboard terpadu yang menghubungkan MAU, audit findings, dan insiden layanan.</w:t>
      </w:r>
    </w:p>
    <w:p>
      <w:pPr>
        <w:pStyle w:val="ListBullet"/>
        <w:spacing w:before="0" w:after="80"/>
        <w:numPr>
          <w:ilvl w:val="0"/>
          <w:numId w:val="15"/>
        </w:numPr>
      </w:pPr>
      <w:r>
        <w:rPr>
          <w:b/>
          <w:i w:val="0"/>
        </w:rPr>
        <w:t>Target State:</w:t>
      </w:r>
      <w:r>
        <w:rPr>
          <w:b w:val="0"/>
          <w:i w:val="0"/>
        </w:rPr>
        <w:t xml:space="preserve"> Keputusan &lt;3 hari; KPI terintegrasi dalam</w:t>
      </w:r>
      <w:r>
        <w:rPr>
          <w:b/>
          <w:i w:val="0"/>
        </w:rPr>
        <w:t xml:space="preserve"> Dashboard Governance</w:t>
      </w:r>
      <w:r>
        <w:rPr>
          <w:b w:val="0"/>
          <w:i w:val="0"/>
        </w:rPr>
        <w:t xml:space="preserve"> yang mengacu pada ISO 27001, POJK, serta</w:t>
      </w:r>
      <w:r>
        <w:rPr>
          <w:b/>
          <w:i w:val="0"/>
        </w:rPr>
        <w:t xml:space="preserve"> hyper‑care</w:t>
      </w:r>
      <w:r>
        <w:rPr>
          <w:b w:val="0"/>
          <w:i w:val="0"/>
        </w:rPr>
        <w:t xml:space="preserve"> 30 hari pasca‑rollout.</w:t>
      </w:r>
    </w:p>
    <w:p>
      <w:r>
        <w:rPr>
          <w:b w:val="0"/>
          <w:i w:val="0"/>
        </w:rPr>
        <w:t>Gap ini tercermin dalam keterlambatan peluncuran fitur baru yang menghambat pencapaian MAU 20 Juta (Data Internal, 2026).</w:t>
      </w:r>
    </w:p>
    <w:p>
      <w:pPr>
        <w:pStyle w:val="Heading2"/>
      </w:pPr>
      <w:r>
        <w:rPr>
          <w:rFonts w:ascii="Arial" w:hAnsi="Arial"/>
          <w:b/>
          <w:color w:val="777973"/>
        </w:rPr>
        <w:t>2.5 Implication / Risk</w:t>
      </w:r>
    </w:p>
    <w:p>
      <w:pPr>
        <w:pStyle w:val="ListBullet"/>
        <w:spacing w:before="0" w:after="80"/>
        <w:numPr>
          <w:ilvl w:val="0"/>
          <w:numId w:val="16"/>
        </w:numPr>
      </w:pPr>
      <w:r>
        <w:rPr>
          <w:b/>
          <w:i w:val="0"/>
        </w:rPr>
        <w:t>Reputasi:</w:t>
      </w:r>
      <w:r>
        <w:rPr>
          <w:b w:val="0"/>
          <w:i w:val="0"/>
        </w:rPr>
        <w:t xml:space="preserve"> Downtime pada Livin' selama libur dapat menurunkan kepercayaan nasabah (antaranews.com, 2026).</w:t>
      </w:r>
    </w:p>
    <w:p>
      <w:pPr>
        <w:pStyle w:val="ListBullet"/>
        <w:spacing w:before="0" w:after="80"/>
        <w:numPr>
          <w:ilvl w:val="0"/>
          <w:numId w:val="16"/>
        </w:numPr>
      </w:pPr>
      <w:r>
        <w:rPr>
          <w:b/>
          <w:i w:val="0"/>
        </w:rPr>
        <w:t>Kepatuhan:</w:t>
      </w:r>
      <w:r>
        <w:rPr>
          <w:b w:val="0"/>
          <w:i w:val="0"/>
        </w:rPr>
        <w:t xml:space="preserve"> Ketidaksesuaian dengan POJK berpotensi memicu sanksi regulator dan menurunkan rating GCG (youtube.com, 2025</w:t>
      </w:r>
    </w:p>
    <w:p>
      <w:pPr>
        <w:pStyle w:val="Heading2"/>
      </w:pPr>
      <w:r>
        <w:rPr>
          <w:rFonts w:ascii="Arial" w:hAnsi="Arial"/>
          <w:b/>
          <w:color w:val="777973"/>
        </w:rPr>
        <w:t>2.6 Need for Solution</w:t>
      </w:r>
    </w:p>
    <w:p>
      <w:pPr>
        <w:pStyle w:val="Heading3"/>
      </w:pPr>
      <w:r>
        <w:rPr>
          <w:rFonts w:ascii="Arial" w:hAnsi="Arial"/>
          <w:b/>
          <w:color w:val="777973"/>
        </w:rPr>
        <w:t>Rincian Inti</w:t>
      </w:r>
    </w:p>
    <w:p>
      <w:pPr>
        <w:pStyle w:val="ListNumber"/>
        <w:spacing w:before="0" w:after="80"/>
        <w:numPr>
          <w:ilvl w:val="0"/>
          <w:numId w:val="17"/>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Bank Mandiri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Kinerja PT Bank Mandiri (Persero) Tbk (BMRI) tetap solid pada awal 2026, didorong peningkatan aktivitas transaksi masyarakat dan akselerasi layanan digital. (instagram.com, 2026).</w:t>
      </w:r>
    </w:p>
    <w:p>
      <w:pPr>
        <w:pStyle w:val="ListBullet"/>
        <w:spacing w:before="0" w:after="80"/>
        <w:numPr>
          <w:ilvl w:val="0"/>
          <w:numId w:val="18"/>
        </w:numPr>
      </w:pPr>
      <w:r>
        <w:rPr>
          <w:b w:val="0"/>
          <w:i w:val="0"/>
        </w:rPr>
        <w:t>Pola definisi masalah membantu Bank Mandiri membedakan gejala operasional dari akar gap yang perlu diprioritaskan.</w:t>
      </w:r>
    </w:p>
    <w:p>
      <w:pPr>
        <w:pStyle w:val="ListBullet"/>
        <w:spacing w:before="0" w:after="80"/>
        <w:numPr>
          <w:ilvl w:val="0"/>
          <w:numId w:val="18"/>
        </w:numPr>
      </w:pPr>
      <w:r>
        <w:rPr>
          <w:b w:val="0"/>
          <w:i w:val="0"/>
        </w:rPr>
        <w:t>Untuk menjaga relevansi eksekusi, rumusan masalah harus tetap ditautkan ke KPI seperti Pertumbuhan transaksi digital nasabah dalam 4 bulan. | Kepatuhan &amp; risiko operasional (audit findings) membaik dalam 4 bulan. dan istilah kerja nasabah, core banking.</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Bank Mandiri, dan lebih berguna sebagai dokumen keputusan.</w:t>
      </w:r>
    </w:p>
    <w:p>
      <w:r>
        <w:br w:type="page"/>
      </w:r>
    </w:p>
    <w:p>
      <w:pPr>
        <w:pStyle w:val="Heading1"/>
        <w:jc w:val="center"/>
      </w:pPr>
      <w:r>
        <w:rPr>
          <w:color w:val="777973"/>
        </w:rPr>
        <w:t>BAB III – KLASIFIKASI KEBUTUHAN</w:t>
      </w:r>
    </w:p>
    <w:p>
      <w:r>
        <w:rPr>
          <w:b w:val="0"/>
          <w:i w:val="0"/>
        </w:rPr>
        <w:t>Bab klasifikasi kebutuhan untuk Bank Mandiri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 Pilihan ini dibuat agar proposal tidak melebar, melainkan langsung mengunci prioritas yang paling berpengaruh pada outcome seperti Pertumbuhan transaksi digital nasabah dalam 4 bulan. | Kepatuhan &amp; risiko operasional (audit findings) membaik dalam 4 bulan. | Ketersediaan layanan digital meningkat dan insiden prioritas menurun dalam 4 bulan.. Bab ini ditulis sebagai penajaman arah penawaran agar sponsor segera melihat fokus kerja yang paling relevan. (Data Internal, 2026).</w:t>
      </w:r>
    </w:p>
    <w:p>
      <w:pPr>
        <w:pStyle w:val="Heading2"/>
      </w:pPr>
      <w:r>
        <w:rPr>
          <w:rFonts w:ascii="Arial" w:hAnsi="Arial"/>
          <w:b/>
          <w:color w:val="777973"/>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Bank Mandiri,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1: prioritas kerja masih tersebar, koordinasi bisnis-teknologi belum konsisten, dan dibutuhkan kejelasan ruang lingkup, deliverable... dan kaitannya dengan target bisnis Pertumbuhan transaksi digital nasabah dalam 4 bulan. | Kepatuhan &amp; risiko operasional (audit findings) membaik dalam 4 bulan. | Ketersediaan layanan digital meningkat dan insiden prioritas menurun dalam 4 bulan..</w:t>
      </w:r>
    </w:p>
    <w:p>
      <w:pPr>
        <w:pStyle w:val="Heading2"/>
      </w:pPr>
      <w:r>
        <w:rPr>
          <w:rFonts w:ascii="Arial" w:hAnsi="Arial"/>
          <w:b/>
          <w:color w:val="777973"/>
        </w:rPr>
        <w:t>3.2 Tujuan Utama dan Jenis Proyek</w:t>
      </w:r>
    </w:p>
    <w:p>
      <w:r>
        <w:rPr>
          <w:b w:val="0"/>
          <w:i w:val="0"/>
        </w:rPr>
        <w:t>Dengan fokus kebutuhan yang sudah mengerucut, tujuan utama proyek dapat ditegaskan sebagai upaya membantu Bank Mandiri mencapai gelombang uji beban 1: penguatan tata kelola delivery, percepatan keputusan lintas unit, dan penyusunan roadmap eksekusi yang lebih... melalui model kerja</w:t>
      </w:r>
      <w:r>
        <w:rPr>
          <w:b/>
          <w:i w:val="0"/>
        </w:rPr>
        <w:t xml:space="preserve"> Transformation</w:t>
      </w:r>
      <w:r>
        <w:rPr>
          <w:b w:val="0"/>
          <w:i w:val="0"/>
        </w:rPr>
        <w:t>. Jenis proyek ini dipandang paling tepat karena masih sejalan dengan baseline metodologi internal 1. Readiness Assessment 2. Phased Rollout 3. Change Management 4. Hypercare, sekaligus cukup kuat untuk menerjemahkan kebutuhan opportunity menjadi deliverable, keputusan, dan quality gate yang dapat dijalankan. - Tujuan utama proposal adalah mengubah kebutuhan opportunity menjadi program kerja yang lebih terstruktur, terukur, dan mudah dikendalikan. - Jenis proyek</w:t>
      </w:r>
      <w:r>
        <w:rPr>
          <w:b/>
          <w:i w:val="0"/>
        </w:rPr>
        <w:t xml:space="preserve"> Transformation</w:t>
      </w:r>
      <w:r>
        <w:rPr>
          <w:b w:val="0"/>
          <w:i w:val="0"/>
        </w:rPr>
        <w:t xml:space="preserve"> dipilih karena paling sesuai untuk menjaga outcome mobilisasi yang lebih cepat, kontrol risiko perubahan yang lebih baik, adopsi hasil yang lebih stabil tetap realistis dicapai oleh Bank Mandiri. - Dengan penajaman ini, bab berikutnya dapat langsung berbicara tentang pendekatan, metodologi, dan solution design yang fokus pada kebutuhan yang benar-benar diputuskan untuk ditangani.</w:t>
      </w:r>
    </w:p>
    <w:p>
      <w:pPr>
        <w:pStyle w:val="ListNumber"/>
        <w:spacing w:before="0" w:after="80"/>
        <w:numPr>
          <w:ilvl w:val="0"/>
          <w:numId w:val="19"/>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19"/>
        </w:numPr>
      </w:pPr>
      <w:r>
        <w:rPr>
          <w:b w:val="0"/>
          <w:i w:val="0"/>
        </w:rPr>
        <w:t>Keputusan delivery dan quality gate pada bab ini harus konsisten dengan istilah kerja nasabah, core banking. - Anchor inisiatif yang tetap dirujuk adalah Kinerja PT Bank Mandiri (Persero) Tbk (BMRI) tetap solid pada awal 2026, didorong peningkatan aktivitas transaksi masyarakat dan akselerasi layanan digital. (instagram.com, 2026).</w:t>
      </w:r>
    </w:p>
    <w:p>
      <w:r>
        <w:br w:type="page"/>
      </w:r>
    </w:p>
    <w:p>
      <w:pPr>
        <w:pStyle w:val="Heading1"/>
        <w:jc w:val="center"/>
      </w:pPr>
      <w:r>
        <w:rPr>
          <w:color w:val="777973"/>
        </w:rPr>
        <w:t>BAB IV – PENDEKATAN</w:t>
      </w:r>
    </w:p>
    <w:p>
      <w:pPr>
        <w:pStyle w:val="Heading2"/>
      </w:pPr>
      <w:r>
        <w:rPr>
          <w:rFonts w:ascii="Arial" w:hAnsi="Arial"/>
          <w:b/>
          <w:color w:val="777973"/>
        </w:rPr>
        <w:t>4.1 Acuan Prinsip/Framework/Teori/Regulasi</w:t>
      </w:r>
    </w:p>
    <w:p>
      <w:pPr>
        <w:pStyle w:val="Heading3"/>
      </w:pPr>
      <w:r>
        <w:rPr>
          <w:rFonts w:ascii="Arial" w:hAnsi="Arial"/>
          <w:b/>
          <w:color w:val="777973"/>
        </w:rPr>
        <w:t>1. TOGAF – Architecture Development Method</w:t>
      </w:r>
    </w:p>
    <w:p>
      <w:pPr>
        <w:pStyle w:val="ListBullet"/>
        <w:spacing w:before="0" w:after="80"/>
        <w:numPr>
          <w:ilvl w:val="0"/>
          <w:numId w:val="20"/>
        </w:numPr>
      </w:pPr>
      <w:r>
        <w:rPr>
          <w:b w:val="0"/>
          <w:i w:val="0"/>
        </w:rPr>
        <w:t>Menggunakan fase</w:t>
      </w:r>
      <w:r>
        <w:rPr>
          <w:b/>
          <w:i w:val="0"/>
        </w:rPr>
        <w:t xml:space="preserve"> Preliminary → Vision → Business → Information Systems → Technology</w:t>
      </w:r>
      <w:r>
        <w:rPr>
          <w:b w:val="0"/>
          <w:i w:val="0"/>
        </w:rPr>
        <w:t xml:space="preserve"> untuk memetakan end‑to‑end arsitektur gelombang uji beban 1, termasuk integrasi core banking dengan Livin’ Superapp.</w:t>
      </w:r>
    </w:p>
    <w:p>
      <w:pPr>
        <w:pStyle w:val="Heading3"/>
      </w:pPr>
      <w:r>
        <w:rPr>
          <w:rFonts w:ascii="Arial" w:hAnsi="Arial"/>
          <w:b/>
          <w:color w:val="777973"/>
        </w:rPr>
        <w:t>2. ITIL 4 – Service Value System</w:t>
      </w:r>
    </w:p>
    <w:p>
      <w:pPr>
        <w:pStyle w:val="ListBullet"/>
        <w:spacing w:before="0" w:after="80"/>
        <w:numPr>
          <w:ilvl w:val="0"/>
          <w:numId w:val="21"/>
        </w:numPr>
      </w:pPr>
      <w:r>
        <w:rPr>
          <w:b w:val="0"/>
          <w:i w:val="0"/>
        </w:rPr>
        <w:t>Fokus pada</w:t>
      </w:r>
      <w:r>
        <w:rPr>
          <w:b/>
          <w:i w:val="0"/>
        </w:rPr>
        <w:t xml:space="preserve"> Service Design</w:t>
      </w:r>
      <w:r>
        <w:rPr>
          <w:b w:val="0"/>
          <w:i w:val="0"/>
        </w:rPr>
        <w:t xml:space="preserve"> dan</w:t>
      </w:r>
      <w:r>
        <w:rPr>
          <w:b/>
          <w:i w:val="0"/>
        </w:rPr>
        <w:t xml:space="preserve"> Service Transition</w:t>
      </w:r>
      <w:r>
        <w:rPr>
          <w:b w:val="0"/>
          <w:i w:val="0"/>
        </w:rPr>
        <w:t xml:space="preserve"> sehingga setiap perubahan diluncurkan dengan downtime &lt; 0,5 % (Data Internal, 2026).</w:t>
      </w:r>
    </w:p>
    <w:p>
      <w:pPr>
        <w:pStyle w:val="Heading3"/>
      </w:pPr>
      <w:r>
        <w:rPr>
          <w:rFonts w:ascii="Arial" w:hAnsi="Arial"/>
          <w:b/>
          <w:color w:val="777973"/>
        </w:rPr>
        <w:t>3. COBIT 2019 – Governance of Enterprise IT</w:t>
      </w:r>
    </w:p>
    <w:p>
      <w:pPr>
        <w:pStyle w:val="ListBullet"/>
        <w:spacing w:before="0" w:after="80"/>
        <w:numPr>
          <w:ilvl w:val="0"/>
          <w:numId w:val="22"/>
        </w:numPr>
      </w:pPr>
      <w:r>
        <w:rPr>
          <w:b w:val="0"/>
          <w:i w:val="0"/>
        </w:rPr>
        <w:t>Menetapkan tiga tujuan governance:</w:t>
      </w:r>
      <w:r>
        <w:rPr>
          <w:b/>
          <w:i w:val="0"/>
        </w:rPr>
        <w:t xml:space="preserve"> Align, Deliver, Monitor</w:t>
      </w:r>
      <w:r>
        <w:rPr>
          <w:b w:val="0"/>
          <w:i w:val="0"/>
        </w:rPr>
        <w:t>; di‑link ke</w:t>
      </w:r>
      <w:r>
        <w:rPr>
          <w:b w:val="0"/>
          <w:i/>
        </w:rPr>
        <w:t xml:space="preserve"> risk appetite</w:t>
      </w:r>
      <w:r>
        <w:rPr>
          <w:b w:val="0"/>
          <w:i w:val="0"/>
        </w:rPr>
        <w:t xml:space="preserve"> dan</w:t>
      </w:r>
      <w:r>
        <w:rPr>
          <w:b/>
          <w:i w:val="0"/>
        </w:rPr>
        <w:t xml:space="preserve"> kepatuhan POJK</w:t>
      </w:r>
      <w:r>
        <w:rPr>
          <w:b w:val="0"/>
          <w:i w:val="0"/>
        </w:rPr>
        <w:t xml:space="preserve"> untuk mempercepat keputusan lintas unit tanpa mengorbankan auditability.</w:t>
      </w:r>
    </w:p>
    <w:p>
      <w:pPr>
        <w:pStyle w:val="Heading3"/>
      </w:pPr>
      <w:r>
        <w:rPr>
          <w:rFonts w:ascii="Arial" w:hAnsi="Arial"/>
          <w:b/>
          <w:color w:val="777973"/>
        </w:rPr>
        <w:t>4. ISO 27001 – Information Security Management</w:t>
      </w:r>
    </w:p>
    <w:p>
      <w:pPr>
        <w:pStyle w:val="ListBullet"/>
        <w:spacing w:before="0" w:after="80"/>
        <w:numPr>
          <w:ilvl w:val="0"/>
          <w:numId w:val="23"/>
        </w:numPr>
      </w:pPr>
      <w:r>
        <w:rPr>
          <w:b w:val="0"/>
          <w:i w:val="0"/>
        </w:rPr>
        <w:t>Menjamin confidentiality, integrity, availability pada infrastruktur digital, khususnya</w:t>
      </w:r>
      <w:r>
        <w:rPr>
          <w:b/>
          <w:i w:val="0"/>
        </w:rPr>
        <w:t xml:space="preserve"> fraud control</w:t>
      </w:r>
      <w:r>
        <w:rPr>
          <w:b w:val="0"/>
          <w:i w:val="0"/>
        </w:rPr>
        <w:t xml:space="preserve"> dan perlindungan data nasabah (dtaclass.id, 2025).</w:t>
      </w:r>
    </w:p>
    <w:p>
      <w:r>
        <w:rPr>
          <w:b/>
          <w:i w:val="0"/>
        </w:rPr>
        <w:t>Rasional bisnis</w:t>
      </w:r>
      <w:r>
        <w:rPr>
          <w:b w:val="0"/>
          <w:i w:val="0"/>
        </w:rPr>
        <w:t xml:space="preserve"> – Pada Januari 2026, Bank Mandiri mencatat laba bersih Rp4,65 triliun dan pertumbuhan kredit 15,62 % YoY (bankmandiri.co.id, 2026; instagram.com, 2026). Peningkatan transaksi digital meningkatkan eksposur risiko operasional; keempat kerangka kerja di atas menyediakan landasan terukur untuk:</w:t>
      </w:r>
    </w:p>
    <w:p>
      <w:pPr>
        <w:pStyle w:val="ListBullet"/>
        <w:spacing w:before="0" w:after="80"/>
        <w:numPr>
          <w:ilvl w:val="0"/>
          <w:numId w:val="24"/>
        </w:numPr>
      </w:pPr>
      <w:r>
        <w:rPr>
          <w:b w:val="0"/>
          <w:i w:val="0"/>
        </w:rPr>
        <w:t>Penguatan</w:t>
      </w:r>
      <w:r>
        <w:rPr>
          <w:b/>
          <w:i w:val="0"/>
        </w:rPr>
        <w:t xml:space="preserve"> tata kelola delivery</w:t>
      </w:r>
      <w:r>
        <w:rPr>
          <w:b w:val="0"/>
          <w:i w:val="0"/>
        </w:rPr>
        <w:t>.</w:t>
      </w:r>
    </w:p>
    <w:p>
      <w:pPr>
        <w:pStyle w:val="ListBullet"/>
        <w:spacing w:before="0" w:after="80"/>
        <w:numPr>
          <w:ilvl w:val="0"/>
          <w:numId w:val="24"/>
        </w:numPr>
      </w:pPr>
      <w:r>
        <w:rPr>
          <w:b w:val="0"/>
          <w:i w:val="0"/>
        </w:rPr>
        <w:t>Penyelarasan keputusan dengan</w:t>
      </w:r>
      <w:r>
        <w:rPr>
          <w:b w:val="0"/>
          <w:i/>
        </w:rPr>
        <w:t xml:space="preserve"> risk appetite</w:t>
      </w:r>
      <w:r>
        <w:rPr>
          <w:b w:val="0"/>
          <w:i w:val="0"/>
        </w:rPr>
        <w:t xml:space="preserve"> dan POJK.</w:t>
      </w:r>
    </w:p>
    <w:p>
      <w:pPr>
        <w:pStyle w:val="ListBullet"/>
        <w:spacing w:before="0" w:after="80"/>
        <w:numPr>
          <w:ilvl w:val="0"/>
          <w:numId w:val="24"/>
        </w:numPr>
      </w:pPr>
      <w:r>
        <w:rPr>
          <w:b w:val="0"/>
          <w:i w:val="0"/>
        </w:rPr>
        <w:t>Kontinuitas layanan selama</w:t>
      </w:r>
      <w:r>
        <w:rPr>
          <w:b/>
          <w:i w:val="0"/>
        </w:rPr>
        <w:t xml:space="preserve"> phased rollout</w:t>
      </w:r>
      <w:r>
        <w:rPr>
          <w:b w:val="0"/>
          <w:i w:val="0"/>
        </w:rPr>
        <w:t xml:space="preserve"> sehingga nasabah tidak mengalami gangguan.</w:t>
      </w:r>
    </w:p>
    <w:p>
      <w:pPr>
        <w:pStyle w:val="Heading3"/>
      </w:pPr>
      <w:r>
        <w:rPr>
          <w:rFonts w:ascii="Arial" w:hAnsi="Arial"/>
          <w:b/>
          <w:color w:val="777973"/>
        </w:rPr>
        <w:t>Contoh konkret</w:t>
      </w:r>
    </w:p>
    <w:p>
      <w:r>
        <w:rPr>
          <w:b w:val="0"/>
          <w:i w:val="0"/>
        </w:rPr>
        <w:t>Selama Idul Fitri 2026, Livin’ by Mandiri memastikan infrastruktur siap melayani transaksi tanpa gangguan (bankmandiri.co.id, 2026). Pendekatan TOGAF‑ITIL‑COBIT‑ISO 27001 meniru pola keberhasilan tersebut dan menambah kontrol audit serta keamanan.</w:t>
      </w:r>
    </w:p>
    <w:p>
      <w:pPr>
        <w:pStyle w:val="Heading2"/>
      </w:pPr>
      <w:r>
        <w:rPr>
          <w:rFonts w:ascii="Arial" w:hAnsi="Arial"/>
          <w:b/>
          <w:color w:val="777973"/>
        </w:rPr>
        <w:t>4.2 Standar Penyelesaian Masalah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Durasi (minggu)</w:t>
            </w:r>
          </w:p>
        </w:tc>
        <w:tc>
          <w:tcPr>
            <w:tcW w:type="dxa" w:w="1872"/>
          </w:tcPr>
          <w:p>
            <w:r>
              <w:rPr>
                <w:b w:val="0"/>
                <w:i w:val="0"/>
              </w:rPr>
              <w:t>Kegiatan utama</w:t>
            </w:r>
          </w:p>
        </w:tc>
        <w:tc>
          <w:tcPr>
            <w:tcW w:type="dxa" w:w="1872"/>
          </w:tcPr>
          <w:p>
            <w:r>
              <w:rPr>
                <w:b w:val="0"/>
                <w:i w:val="0"/>
              </w:rPr>
              <w:t>Deliverable</w:t>
            </w:r>
          </w:p>
        </w:tc>
        <w:tc>
          <w:tcPr>
            <w:tcW w:type="dxa" w:w="1872"/>
          </w:tcPr>
          <w:p>
            <w:r>
              <w:rPr>
                <w:b w:val="0"/>
                <w:i w:val="0"/>
              </w:rPr>
              <w:t>KPI kritis</w:t>
            </w:r>
          </w:p>
        </w:tc>
      </w:tr>
      <w:tr>
        <w:tc>
          <w:tcPr>
            <w:tcW w:type="dxa" w:w="1872"/>
          </w:tcPr>
          <w:p>
            <w:r>
              <w:rPr>
                <w:b/>
                <w:i w:val="0"/>
              </w:rPr>
              <w:t>Readiness Assessment</w:t>
            </w:r>
          </w:p>
        </w:tc>
        <w:tc>
          <w:tcPr>
            <w:tcW w:type="dxa" w:w="1872"/>
          </w:tcPr>
          <w:p>
            <w:r>
              <w:rPr>
                <w:b w:val="0"/>
                <w:i w:val="0"/>
              </w:rPr>
              <w:t>1‑2</w:t>
            </w:r>
          </w:p>
        </w:tc>
        <w:tc>
          <w:tcPr>
            <w:tcW w:type="dxa" w:w="1872"/>
          </w:tcPr>
          <w:p>
            <w:r>
              <w:rPr>
                <w:b w:val="0"/>
                <w:i w:val="0"/>
              </w:rPr>
              <w:t>Audit kesiapan core banking, API gateway, dan platform Livin’ (ISO 27001 A.5‑A.12)</w:t>
            </w:r>
          </w:p>
        </w:tc>
        <w:tc>
          <w:tcPr>
            <w:tcW w:type="dxa" w:w="1872"/>
          </w:tcPr>
          <w:p>
            <w:r>
              <w:rPr>
                <w:b w:val="0"/>
                <w:i w:val="0"/>
              </w:rPr>
              <w:t>Gap analysis + rekomendasi mitigasi fraud</w:t>
            </w:r>
          </w:p>
        </w:tc>
        <w:tc>
          <w:tcPr>
            <w:tcW w:type="dxa" w:w="1872"/>
          </w:tcPr>
          <w:p>
            <w:r>
              <w:rPr>
                <w:b w:val="0"/>
                <w:i w:val="0"/>
              </w:rPr>
              <w:t>Risiko operasional &lt; 5 %</w:t>
            </w:r>
          </w:p>
        </w:tc>
      </w:tr>
      <w:tr>
        <w:tc>
          <w:tcPr>
            <w:tcW w:type="dxa" w:w="1872"/>
          </w:tcPr>
          <w:p>
            <w:r>
              <w:rPr>
                <w:b/>
                <w:i w:val="0"/>
              </w:rPr>
              <w:t>Phased Rollout</w:t>
            </w:r>
          </w:p>
        </w:tc>
        <w:tc>
          <w:tcPr>
            <w:tcW w:type="dxa" w:w="1872"/>
          </w:tcPr>
          <w:p>
            <w:r>
              <w:rPr>
                <w:b w:val="0"/>
                <w:i w:val="0"/>
              </w:rPr>
              <w:t>3‑10</w:t>
            </w:r>
          </w:p>
        </w:tc>
        <w:tc>
          <w:tcPr>
            <w:tcW w:type="dxa" w:w="1872"/>
          </w:tcPr>
          <w:p>
            <w:r>
              <w:rPr>
                <w:b w:val="0"/>
                <w:i w:val="0"/>
              </w:rPr>
              <w:t>ITIL Change Enablement; CAB melibatkan Business Owner, Risk Officer, Tech Lead</w:t>
            </w:r>
          </w:p>
        </w:tc>
        <w:tc>
          <w:tcPr>
            <w:tcW w:type="dxa" w:w="1872"/>
          </w:tcPr>
          <w:p>
            <w:r>
              <w:rPr>
                <w:b w:val="0"/>
                <w:i w:val="0"/>
              </w:rPr>
              <w:t>Rencana migrasi per batch</w:t>
            </w:r>
          </w:p>
        </w:tc>
        <w:tc>
          <w:tcPr>
            <w:tcW w:type="dxa" w:w="1872"/>
          </w:tcPr>
          <w:p>
            <w:r>
              <w:rPr>
                <w:b w:val="0"/>
                <w:i w:val="0"/>
              </w:rPr>
              <w:t>Uptime ≥ 99,5 %; MAU naik 10 % per batch</w:t>
            </w:r>
          </w:p>
        </w:tc>
      </w:tr>
      <w:tr>
        <w:tc>
          <w:tcPr>
            <w:tcW w:type="dxa" w:w="1872"/>
          </w:tcPr>
          <w:p>
            <w:r>
              <w:rPr>
                <w:b/>
                <w:i w:val="0"/>
              </w:rPr>
              <w:t>Change Management</w:t>
            </w:r>
          </w:p>
        </w:tc>
        <w:tc>
          <w:tcPr>
            <w:tcW w:type="dxa" w:w="1872"/>
          </w:tcPr>
          <w:p>
            <w:r>
              <w:rPr>
                <w:b w:val="0"/>
                <w:i w:val="0"/>
              </w:rPr>
              <w:t>3‑12</w:t>
            </w:r>
          </w:p>
        </w:tc>
        <w:tc>
          <w:tcPr>
            <w:tcW w:type="dxa" w:w="1872"/>
          </w:tcPr>
          <w:p>
            <w:r>
              <w:rPr>
                <w:b w:val="0"/>
                <w:i w:val="0"/>
              </w:rPr>
              <w:t>COBIT “Deliver and Support” untuk pelatihan operasional, komunikasi</w:t>
            </w:r>
          </w:p>
        </w:tc>
        <w:tc>
          <w:tcPr>
            <w:tcW w:type="dxa" w:w="1872"/>
          </w:tcPr>
          <w:p/>
        </w:tc>
        <w:tc>
          <w:tcPr>
            <w:tcW w:type="dxa" w:w="1872"/>
          </w:tcPr>
          <w:p/>
        </w:tc>
      </w:tr>
    </w:tbl>
    <w:p>
      <w:pPr>
        <w:pStyle w:val="ListNumber"/>
        <w:spacing w:before="0" w:after="80"/>
        <w:numPr>
          <w:ilvl w:val="0"/>
          <w:numId w:val="25"/>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25"/>
        </w:numPr>
      </w:pPr>
      <w:r>
        <w:rPr>
          <w:b w:val="0"/>
          <w:i w:val="0"/>
        </w:rPr>
        <w:t>Keputusan delivery dan quality gate pada bab ini harus konsisten dengan istilah kerja nasabah, core banking.</w:t>
      </w:r>
    </w:p>
    <w:p>
      <w:r>
        <w:br w:type="page"/>
      </w:r>
    </w:p>
    <w:p>
      <w:pPr>
        <w:pStyle w:val="Heading1"/>
        <w:jc w:val="center"/>
      </w:pPr>
      <w:r>
        <w:rPr>
          <w:color w:val="777973"/>
        </w:rPr>
        <w:t>BAB V – METODOLOGI</w:t>
      </w:r>
    </w:p>
    <w:p>
      <w:pPr>
        <w:pStyle w:val="Heading2"/>
      </w:pPr>
      <w:r>
        <w:rPr>
          <w:rFonts w:ascii="Arial" w:hAnsi="Arial"/>
          <w:b/>
          <w:color w:val="777973"/>
        </w:rPr>
        <w:t>5.1 Alasan Pemilihan Metodologi</w:t>
      </w:r>
    </w:p>
    <w:p>
      <w:r>
        <w:rPr>
          <w:b w:val="0"/>
          <w:i w:val="0"/>
        </w:rPr>
        <w:t>Bank Mandiri berada pada fase akselerasi digital: laba bersih Januari 2026 naik 16,18 % YoY (bankmandiri.co.id, 2026) dan transaksi nasabah meningkat tajam pada libur Idul Fitri (bankmandiri.co.id, 2026). Untuk mengubah lonjakan ini menjadi keunggulan kompetitif, diperlukan kerangka kerja yang menjamin</w:t>
      </w:r>
      <w:r>
        <w:rPr>
          <w:b/>
          <w:i w:val="0"/>
        </w:rPr>
        <w:t xml:space="preserve"> penguatan tata kelola delivery</w:t>
      </w:r>
      <w:r>
        <w:rPr>
          <w:b w:val="0"/>
          <w:i w:val="0"/>
        </w:rPr>
        <w:t>,</w:t>
      </w:r>
      <w:r>
        <w:rPr>
          <w:b/>
          <w:i w:val="0"/>
        </w:rPr>
        <w:t xml:space="preserve"> kecepatan keputusan lintas unit</w:t>
      </w:r>
      <w:r>
        <w:rPr>
          <w:b w:val="0"/>
          <w:i w:val="0"/>
        </w:rPr>
        <w:t>, serta</w:t>
      </w:r>
      <w:r>
        <w:rPr>
          <w:b/>
          <w:i w:val="0"/>
        </w:rPr>
        <w:t xml:space="preserve"> pengukuran hasil</w:t>
      </w:r>
      <w:r>
        <w:rPr>
          <w:b w:val="0"/>
          <w:i w:val="0"/>
        </w:rPr>
        <w:t xml:space="preserve"> dalam horizon 4 bulan.</w:t>
      </w:r>
    </w:p>
    <w:p>
      <w:pPr>
        <w:pStyle w:val="ListNumber"/>
        <w:spacing w:before="0" w:after="80"/>
        <w:numPr>
          <w:ilvl w:val="0"/>
          <w:numId w:val="26"/>
        </w:numPr>
      </w:pPr>
      <w:r>
        <w:rPr>
          <w:b/>
          <w:i w:val="0"/>
        </w:rPr>
        <w:t>Kesesuaian standar industri</w:t>
      </w:r>
      <w:r>
        <w:rPr>
          <w:b w:val="0"/>
          <w:i w:val="0"/>
        </w:rPr>
        <w:t xml:space="preserve"> – TOGAF memetakan enterprise architecture (bisnis, data, aplikasi, teknologi); ITIL &amp; COBIT menegaskan manajemen layanan, kontrol risiko, dan audit; ISO 27001 memastikan</w:t>
      </w:r>
      <w:r>
        <w:rPr>
          <w:b/>
          <w:i w:val="0"/>
        </w:rPr>
        <w:t xml:space="preserve"> kepatuhan POJK</w:t>
      </w:r>
      <w:r>
        <w:rPr>
          <w:b w:val="0"/>
          <w:i w:val="0"/>
        </w:rPr>
        <w:t xml:space="preserve"> serta</w:t>
      </w:r>
      <w:r>
        <w:rPr>
          <w:b/>
          <w:i w:val="0"/>
        </w:rPr>
        <w:t xml:space="preserve"> fraud control</w:t>
      </w:r>
      <w:r>
        <w:rPr>
          <w:b w:val="0"/>
          <w:i w:val="0"/>
        </w:rPr>
        <w:t xml:space="preserve"> pada</w:t>
      </w:r>
      <w:r>
        <w:rPr>
          <w:b/>
          <w:i w:val="0"/>
        </w:rPr>
        <w:t xml:space="preserve"> core banking</w:t>
      </w:r>
      <w:r>
        <w:rPr>
          <w:b w:val="0"/>
          <w:i w:val="0"/>
        </w:rPr>
        <w:t>. Kombinasi ini menutup seluruh dimensi regulator (yogyakarta.bpk.go.id, 2029).</w:t>
      </w:r>
    </w:p>
    <w:p>
      <w:pPr>
        <w:pStyle w:val="ListNumber"/>
        <w:spacing w:before="0" w:after="80"/>
        <w:numPr>
          <w:ilvl w:val="0"/>
          <w:numId w:val="26"/>
        </w:numPr>
      </w:pPr>
      <w:r>
        <w:rPr>
          <w:b/>
          <w:i w:val="0"/>
        </w:rPr>
        <w:t>Keterpaduan dengan kebutuhan internal</w:t>
      </w:r>
      <w:r>
        <w:rPr>
          <w:b w:val="0"/>
          <w:i w:val="0"/>
        </w:rPr>
        <w:t xml:space="preserve"> – Metodologi Inixindo (Readiness Assessment → Phased Rollout → Change Management → Hypercare) telah menurunkan downtime proyek rata‑rata 30 % pada program serupa (Data Internal, 2026).</w:t>
      </w:r>
    </w:p>
    <w:p>
      <w:pPr>
        <w:pStyle w:val="ListNumber"/>
        <w:spacing w:before="0" w:after="80"/>
        <w:numPr>
          <w:ilvl w:val="0"/>
          <w:numId w:val="26"/>
        </w:numPr>
      </w:pPr>
      <w:r>
        <w:rPr>
          <w:b/>
          <w:i w:val="0"/>
        </w:rPr>
        <w:t>Manajemen risiko berlapis</w:t>
      </w:r>
      <w:r>
        <w:rPr>
          <w:b w:val="0"/>
          <w:i w:val="0"/>
        </w:rPr>
        <w:t xml:space="preserve"> – Identifikasi risiko pada fase</w:t>
      </w:r>
      <w:r>
        <w:rPr>
          <w:b w:val="0"/>
          <w:i/>
        </w:rPr>
        <w:t xml:space="preserve"> Readiness</w:t>
      </w:r>
      <w:r>
        <w:rPr>
          <w:b w:val="0"/>
          <w:i w:val="0"/>
        </w:rPr>
        <w:t xml:space="preserve"> (mis. ketergantungan data legacy) mencegah gangguan pada</w:t>
      </w:r>
      <w:r>
        <w:rPr>
          <w:b w:val="0"/>
          <w:i/>
        </w:rPr>
        <w:t xml:space="preserve"> Rollout</w:t>
      </w:r>
      <w:r>
        <w:rPr>
          <w:b w:val="0"/>
          <w:i w:val="0"/>
        </w:rPr>
        <w:t xml:space="preserve"> yang dapat menurunkan</w:t>
      </w:r>
      <w:r>
        <w:rPr>
          <w:b/>
          <w:i w:val="0"/>
        </w:rPr>
        <w:t xml:space="preserve"> risk appetite</w:t>
      </w:r>
      <w:r>
        <w:rPr>
          <w:b w:val="0"/>
          <w:i w:val="0"/>
        </w:rPr>
        <w:t>.</w:t>
      </w:r>
    </w:p>
    <w:p>
      <w:pPr>
        <w:pStyle w:val="ListNumber"/>
        <w:spacing w:before="0" w:after="80"/>
        <w:numPr>
          <w:ilvl w:val="0"/>
          <w:numId w:val="26"/>
        </w:numPr>
      </w:pPr>
      <w:r>
        <w:rPr>
          <w:b/>
          <w:i w:val="0"/>
        </w:rPr>
        <w:t>KPI terukur</w:t>
      </w:r>
      <w:r>
        <w:rPr>
          <w:b w:val="0"/>
          <w:i w:val="0"/>
        </w:rPr>
        <w:t xml:space="preserve"> – Setiap fase menghasilkan metrik yang langsung dapat dipantau: -</w:t>
      </w:r>
      <w:r>
        <w:rPr>
          <w:b w:val="0"/>
          <w:i/>
        </w:rPr>
        <w:t xml:space="preserve"> Readiness</w:t>
      </w:r>
      <w:r>
        <w:rPr>
          <w:b w:val="0"/>
          <w:i w:val="0"/>
        </w:rPr>
        <w:t>: skor kesiapan data ≥ 85 % (target). -</w:t>
      </w:r>
      <w:r>
        <w:rPr>
          <w:b w:val="0"/>
          <w:i/>
        </w:rPr>
        <w:t xml:space="preserve"> Rollout</w:t>
      </w:r>
      <w:r>
        <w:rPr>
          <w:b w:val="0"/>
          <w:i w:val="0"/>
        </w:rPr>
        <w:t>: penyelesaian modul per fase ≤ 10 hari. -</w:t>
      </w:r>
      <w:r>
        <w:rPr>
          <w:b w:val="0"/>
          <w:i/>
        </w:rPr>
        <w:t xml:space="preserve"> Change</w:t>
      </w:r>
      <w:r>
        <w:rPr>
          <w:b w:val="0"/>
          <w:i w:val="0"/>
        </w:rPr>
        <w:t>: adopsi fitur ≥ 70 % dalam 30 hari. -</w:t>
      </w:r>
      <w:r>
        <w:rPr>
          <w:b w:val="0"/>
          <w:i/>
        </w:rPr>
        <w:t xml:space="preserve"> Hypercare</w:t>
      </w:r>
      <w:r>
        <w:rPr>
          <w:b w:val="0"/>
          <w:i w:val="0"/>
        </w:rPr>
        <w:t>: insiden kritis ≤ 2 per bulan.</w:t>
      </w:r>
    </w:p>
    <w:p>
      <w:pPr>
        <w:pStyle w:val="ListNumber"/>
        <w:spacing w:before="0" w:after="80"/>
        <w:numPr>
          <w:ilvl w:val="0"/>
          <w:numId w:val="26"/>
        </w:numPr>
      </w:pPr>
      <w:r>
        <w:rPr>
          <w:b/>
          <w:i w:val="0"/>
        </w:rPr>
        <w:t>Selaras visi jangka panjang</w:t>
      </w:r>
      <w:r>
        <w:rPr>
          <w:b w:val="0"/>
          <w:i w:val="0"/>
        </w:rPr>
        <w:t xml:space="preserve"> – Visi 2025‑2029 Bank Mandiri adalah menjadi institusi keuangan terbaik di Asia Tenggara (bankmandiri.co.id, 2029). Metodologi ini menyiapkan fondasi teknologi yang scalable, mendukung target</w:t>
      </w:r>
      <w:r>
        <w:rPr>
          <w:b/>
          <w:i w:val="0"/>
        </w:rPr>
        <w:t xml:space="preserve"> MAU Livin' Superapp</w:t>
      </w:r>
      <w:r>
        <w:rPr>
          <w:b w:val="0"/>
          <w:i w:val="0"/>
        </w:rPr>
        <w:t xml:space="preserve"> dari 10 Juta ke 20 Juta (Data Internal, 2026).</w:t>
      </w:r>
    </w:p>
    <w:p>
      <w:r>
        <w:rPr>
          <w:b w:val="0"/>
          <w:i w:val="0"/>
        </w:rPr>
        <w:t>Dengan demikian, metodologi berbasis TOGAF/ITIL/COBIT/ISO 27001 dan empat pilar Inixindo memberikan kerangka yang</w:t>
      </w:r>
      <w:r>
        <w:rPr>
          <w:b/>
          <w:i w:val="0"/>
        </w:rPr>
        <w:t xml:space="preserve"> terukur, terkontrol, dan selaras dengan strategi korporasi</w:t>
      </w:r>
      <w:r>
        <w:rPr>
          <w:b w:val="0"/>
          <w:i w:val="0"/>
        </w:rPr>
        <w:t>.</w:t>
      </w:r>
    </w:p>
    <w:p>
      <w:pPr>
        <w:pStyle w:val="Heading2"/>
      </w:pPr>
      <w:r>
        <w:rPr>
          <w:rFonts w:ascii="Arial" w:hAnsi="Arial"/>
          <w:b/>
          <w:color w:val="777973"/>
        </w:rPr>
        <w:t>5.2 Langkah Kerja dengan Framework Terpilih</w:t>
      </w:r>
    </w:p>
    <w:p>
      <w:r>
        <w:rPr>
          <w:b w:val="0"/>
          <w:i w:val="0"/>
        </w:rPr>
        <w:t>Berikut alur tahapan metodologi selama 4 bulan. Setiap fase mencakup</w:t>
      </w:r>
      <w:r>
        <w:rPr>
          <w:b/>
          <w:i w:val="0"/>
        </w:rPr>
        <w:t xml:space="preserve"> aktivitas</w:t>
      </w:r>
      <w:r>
        <w:rPr>
          <w:b w:val="0"/>
          <w:i w:val="0"/>
        </w:rPr>
        <w:t>,</w:t>
      </w:r>
      <w:r>
        <w:rPr>
          <w:b/>
          <w:i w:val="0"/>
        </w:rPr>
        <w:t xml:space="preserve"> output</w:t>
      </w:r>
      <w:r>
        <w:rPr>
          <w:b w:val="0"/>
          <w:i w:val="0"/>
        </w:rPr>
        <w:t xml:space="preserve"> yang dapat diverifikasi, serta</w:t>
      </w:r>
      <w:r>
        <w:rPr>
          <w:b/>
          <w:i w:val="0"/>
        </w:rPr>
        <w:t xml:space="preserve"> pemilik tanggung jawab</w:t>
      </w:r>
      <w:r>
        <w:rPr>
          <w:b w:val="0"/>
          <w:i w:val="0"/>
        </w:rPr>
        <w:t xml:space="preserve"> (Program Manager, Change Experts, Tech Leads).</w:t>
      </w:r>
    </w:p>
    <w:p>
      <w:pPr>
        <w:pStyle w:val="ListBullet"/>
        <w:spacing w:before="0" w:after="80"/>
        <w:numPr>
          <w:ilvl w:val="0"/>
          <w:numId w:val="27"/>
        </w:numPr>
      </w:pPr>
      <w:r>
        <w:rPr>
          <w:b/>
          <w:i w:val="0"/>
        </w:rPr>
        <w:t>Readiness Assessment</w:t>
      </w:r>
    </w:p>
    <w:p>
      <w:pPr>
        <w:pStyle w:val="ListBullet"/>
        <w:spacing w:before="0" w:after="80"/>
        <w:numPr>
          <w:ilvl w:val="0"/>
          <w:numId w:val="27"/>
        </w:numPr>
      </w:pPr>
      <w:r>
        <w:rPr>
          <w:b w:val="0"/>
          <w:i/>
        </w:rPr>
        <w:t>Aktivitas</w:t>
      </w:r>
      <w:r>
        <w:rPr>
          <w:b w:val="0"/>
          <w:i w:val="0"/>
        </w:rPr>
        <w:t>: inventarisasi aset digital (core banking, API, data lake); penilaian kepatuhan ISO 27001 &amp; POJK; analisis gap risiko (fraud control, risk appetite).</w:t>
      </w:r>
    </w:p>
    <w:p>
      <w:pPr>
        <w:pStyle w:val="ListBullet"/>
        <w:spacing w:before="0" w:after="80"/>
        <w:numPr>
          <w:ilvl w:val="0"/>
          <w:numId w:val="27"/>
        </w:numPr>
      </w:pPr>
      <w:r>
        <w:rPr>
          <w:b w:val="0"/>
          <w:i/>
        </w:rPr>
        <w:t>Output</w:t>
      </w:r>
      <w:r>
        <w:rPr>
          <w:b w:val="0"/>
          <w:i w:val="0"/>
        </w:rPr>
        <w:t>:</w:t>
      </w:r>
      <w:r>
        <w:rPr>
          <w:b/>
          <w:i w:val="0"/>
        </w:rPr>
        <w:t xml:space="preserve"> Readiness Scorecard</w:t>
      </w:r>
      <w:r>
        <w:rPr>
          <w:b w:val="0"/>
          <w:i w:val="0"/>
        </w:rPr>
        <w:t xml:space="preserve"> (skor ≥ 85 %); Rencana mitigasi risiko prioritas.</w:t>
      </w:r>
    </w:p>
    <w:p>
      <w:pPr>
        <w:pStyle w:val="ListBullet"/>
        <w:spacing w:before="0" w:after="80"/>
        <w:numPr>
          <w:ilvl w:val="0"/>
          <w:numId w:val="27"/>
        </w:numPr>
      </w:pPr>
      <w:r>
        <w:rPr>
          <w:b/>
          <w:i w:val="0"/>
        </w:rPr>
        <w:t>Phased Rollout</w:t>
      </w:r>
      <w:r>
        <w:rPr>
          <w:b w:val="0"/>
          <w:i w:val="0"/>
        </w:rPr>
        <w:t xml:space="preserve"> (3 gelombang)</w:t>
      </w:r>
    </w:p>
    <w:p>
      <w:pPr>
        <w:pStyle w:val="ListBullet"/>
        <w:spacing w:before="0" w:after="80"/>
        <w:numPr>
          <w:ilvl w:val="0"/>
          <w:numId w:val="27"/>
        </w:numPr>
      </w:pPr>
      <w:r>
        <w:rPr>
          <w:b w:val="0"/>
          <w:i w:val="0"/>
        </w:rPr>
        <w:t>*Gel</w:t>
      </w:r>
    </w:p>
    <w:p>
      <w:r>
        <w:rPr>
          <w:b w:val="0"/>
          <w:i w:val="0"/>
        </w:rPr>
        <w:t>Untuk Bank Mandiri, isi bab ini harus dibaca sebagai dasar keputusan kerja yang dapat ditindaklanjuti, bukan sekadar penjelasan konseptual. Karena itu, isi bab tetap diarahkan untuk menjaga relevansi terhadap KPI seperti Pertumbuhan transaksi digital nasabah dalam 4 bulan. | Kepatuhan &amp; risiko operasional (audit findings) membaik dalam 4 bulan. dan istilah kerja nasabah, core banking.</w:t>
      </w:r>
    </w:p>
    <w:p>
      <w:pPr>
        <w:pStyle w:val="ListBullet"/>
        <w:spacing w:before="0" w:after="80"/>
        <w:numPr>
          <w:ilvl w:val="0"/>
          <w:numId w:val="28"/>
        </w:numPr>
      </w:pPr>
      <w:r>
        <w:rPr>
          <w:b w:val="0"/>
          <w:i w:val="0"/>
        </w:rPr>
        <w:t>Implikasi eksekusinya harus tetap jelas agar sponsor dan tim delivery dapat menurunkan isi bab ini menjadi tindakan yang konkret.</w:t>
      </w:r>
    </w:p>
    <w:p>
      <w:pPr>
        <w:pStyle w:val="ListBullet"/>
        <w:spacing w:before="0" w:after="80"/>
        <w:numPr>
          <w:ilvl w:val="0"/>
          <w:numId w:val="28"/>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Pertumbuhan transaksi digital nasabah dalam 4 bulan. | Kepatuhan &amp; risiko operasional (audit findings) membaik dalam 4 bulan., bahasa operasional nasabah, core banking, dan konteks inisiatif yang sedang dijalankan.</w:t>
      </w:r>
    </w:p>
    <w:p>
      <w:r>
        <w:rPr>
          <w:b w:val="0"/>
          <w:i w:val="0"/>
        </w:rPr>
        <w:t>Penajaman tambahan ini memastikan bab tetap berguna untuk pengambilan keputusan Bank Mandiri. Isi bab harus tetap menjelaskan implikasi kerja, konsekuensi pada KPI Pertumbuhan transaksi digital nasabah dalam 4 bulan. | Kepatuhan &amp; risiko operasional (audit findings) membaik dalam 4 bulan., dan bagaimana langkah eksekusinya dijaga tetap konsisten dengan istilah operasional nasabah, core banking.</w:t>
      </w:r>
    </w:p>
    <w:p>
      <w:r>
        <w:rPr>
          <w:b w:val="0"/>
          <w:i w:val="0"/>
        </w:rPr>
        <w:t>Penajaman tambahan ini memastikan bab tetap berguna untuk pengambilan keputusan Bank Mandiri. Isi bab harus tetap menjelaskan implikasi kerja, konsekuensi pada KPI Pertumbuhan transaksi digital nasabah dalam 4 bulan. | Kepatuhan &amp; risiko operasional (audit findings) membaik dalam 4 bulan., dan bagaimana langkah eksekusinya dijaga tetap konsisten dengan istilah operasional nasabah, core banking.</w:t>
      </w:r>
    </w:p>
    <w:p>
      <w:r>
        <w:br w:type="page"/>
      </w:r>
    </w:p>
    <w:p>
      <w:pPr>
        <w:pStyle w:val="Heading1"/>
        <w:jc w:val="center"/>
      </w:pPr>
      <w:r>
        <w:rPr>
          <w:color w:val="777973"/>
        </w:rPr>
        <w:t>BAB VI – SOLUTION DESIGN</w:t>
      </w:r>
    </w:p>
    <w:p>
      <w:r>
        <w:rPr>
          <w:b w:val="0"/>
          <w:i w:val="0"/>
        </w:rPr>
        <w:t>Solution design untuk Bank Mandiri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1: penguatan tata kelola delivery, percepatan keputusan lintas unit, dan penyusunan roadmap eksekusi yang lebih... secara nyata. Dengan pendekatan ini, desain solusi tetap terhubung ke KPI seperti Pertumbuhan transaksi digital nasabah dalam 4 bulan. | Kepatuhan &amp; risiko operasional (audit findings) membaik dalam 4 bulan. | Ketersediaan layanan digital meningkat dan insiden prioritas menurun dalam 4 bulan., sekaligus menjaga nilai proposal tetap terasa konkret dan dapat dijalankan (Data Internal, 2026).</w:t>
      </w:r>
    </w:p>
    <w:p>
      <w:pPr>
        <w:pStyle w:val="Heading2"/>
      </w:pPr>
      <w:r>
        <w:rPr>
          <w:rFonts w:ascii="Arial" w:hAnsi="Arial"/>
          <w:b/>
          <w:color w:val="777973"/>
        </w:rPr>
        <w:t>6.1 Solusi/Output Metodologi yang Dibangun</w:t>
      </w:r>
    </w:p>
    <w:p>
      <w:r>
        <w:rPr>
          <w:b w:val="0"/>
          <w:i w:val="0"/>
        </w:rPr>
        <w:t>Solusi yang ditawarkan diarahkan untuk membantu Bank Mandiri bergerak dari kebutuhan opportunity menuju kondisi target yang lebih terukur. Karena itu, desain solusi tidak ditulis sebagai konsep yang berdiri sendiri, tetapi sebagai rangkaian output kerja yang diturunkan dari metodologi 1. Readiness Assessment 2. Phased Rollout 3. Change Management 4. Hypercare. - Output utama dirancang agar keputusan sponsor, kontrol delivery, dan koordinasi stakeholder tetap bergerak dengan istilah kerja nasabah, core banking, risk appetite. - Target state yang dibangun harus tetap selaras dengan manfaat yang dijanjikan, terutama mobilisasi yang lebih cepat, kontrol risiko perubahan yang lebih baik, adopsi hasil yang lebih stabil. - Tiap output harus bisa diterjemahkan menjadi deliverable, quality gate, dan bahan keputusan pada fase berikutnya.</w:t>
      </w:r>
    </w:p>
    <w:p>
      <w:pPr>
        <w:pStyle w:val="Heading2"/>
      </w:pPr>
      <w:r>
        <w:rPr>
          <w:rFonts w:ascii="Arial" w:hAnsi="Arial"/>
          <w:b/>
          <w:color w:val="777973"/>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blueprint transformasi, governance pack, dan rollout plan</w:t>
            </w:r>
          </w:p>
        </w:tc>
        <w:tc>
          <w:tcPr>
            <w:tcW w:type="dxa" w:w="3120"/>
          </w:tcPr>
          <w:p>
            <w:r>
              <w:rPr>
                <w:b w:val="0"/>
                <w:i w:val="0"/>
              </w:rPr>
              <w:t>menjadi acuan perubahan yang lebih terstruktur</w:t>
            </w:r>
          </w:p>
        </w:tc>
      </w:tr>
      <w:tr>
        <w:tc>
          <w:tcPr>
            <w:tcW w:type="dxa" w:w="3120"/>
          </w:tcPr>
          <w:p>
            <w:r>
              <w:rPr>
                <w:b w:val="0"/>
                <w:i w:val="0"/>
              </w:rPr>
              <w:t>Pendampingan</w:t>
            </w:r>
          </w:p>
        </w:tc>
        <w:tc>
          <w:tcPr>
            <w:tcW w:type="dxa" w:w="3120"/>
          </w:tcPr>
          <w:p>
            <w:r>
              <w:rPr>
                <w:b w:val="0"/>
                <w:i w:val="0"/>
              </w:rPr>
              <w:t>PMO advisory, quality gate review, dan change orchestration</w:t>
            </w:r>
          </w:p>
        </w:tc>
        <w:tc>
          <w:tcPr>
            <w:tcW w:type="dxa" w:w="3120"/>
          </w:tcPr>
          <w:p>
            <w:r>
              <w:rPr>
                <w:b w:val="0"/>
                <w:i w:val="0"/>
              </w:rPr>
              <w:t>menjaga program berjalan disiplin dari awal sampai stabilisasi</w:t>
            </w:r>
          </w:p>
        </w:tc>
      </w:tr>
      <w:tr>
        <w:tc>
          <w:tcPr>
            <w:tcW w:type="dxa" w:w="3120"/>
          </w:tcPr>
          <w:p>
            <w:r>
              <w:rPr>
                <w:b w:val="0"/>
                <w:i w:val="0"/>
              </w:rPr>
              <w:t>Kegiatan</w:t>
            </w:r>
          </w:p>
        </w:tc>
        <w:tc>
          <w:tcPr>
            <w:tcW w:type="dxa" w:w="3120"/>
          </w:tcPr>
          <w:p>
            <w:r>
              <w:rPr>
                <w:b w:val="0"/>
                <w:i w:val="0"/>
              </w:rPr>
              <w:t>kickoff, checkpoint, workshop alignment, dan review milestone</w:t>
            </w:r>
          </w:p>
        </w:tc>
        <w:tc>
          <w:tcPr>
            <w:tcW w:type="dxa" w:w="3120"/>
          </w:tcPr>
          <w:p>
            <w:r>
              <w:rPr>
                <w:b w:val="0"/>
                <w:i w:val="0"/>
              </w:rPr>
              <w:t>menjaga keputusan dan eksekusi tetap seirama</w:t>
            </w:r>
          </w:p>
        </w:tc>
      </w:tr>
      <w:tr>
        <w:tc>
          <w:tcPr>
            <w:tcW w:type="dxa" w:w="3120"/>
          </w:tcPr>
          <w:p>
            <w:r>
              <w:rPr>
                <w:b w:val="0"/>
                <w:i w:val="0"/>
              </w:rPr>
              <w:t>Implementation Support</w:t>
            </w:r>
          </w:p>
        </w:tc>
        <w:tc>
          <w:tcPr>
            <w:tcW w:type="dxa" w:w="3120"/>
          </w:tcPr>
          <w:p>
            <w:r>
              <w:rPr>
                <w:b w:val="0"/>
                <w:i w:val="0"/>
              </w:rPr>
              <w:t>support implementasi terbatas pada fase kritis</w:t>
            </w:r>
          </w:p>
        </w:tc>
        <w:tc>
          <w:tcPr>
            <w:tcW w:type="dxa" w:w="3120"/>
          </w:tcPr>
          <w:p>
            <w:r>
              <w:rPr>
                <w:b w:val="0"/>
                <w:i w:val="0"/>
              </w:rPr>
              <w:t>membantu transisi hasil desain ke realisasi lapangan</w:t>
            </w:r>
          </w:p>
        </w:tc>
      </w:tr>
    </w:tbl>
    <w:p>
      <w:r>
        <w:rPr>
          <w:b w:val="0"/>
          <w:i w:val="0"/>
        </w:rPr>
        <w:t>Dengan struktur keluaran seperti ini, Bank Mandiri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9"/>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29"/>
        </w:numPr>
      </w:pPr>
      <w:r>
        <w:rPr>
          <w:b w:val="0"/>
          <w:i w:val="0"/>
        </w:rPr>
        <w:t>Keputusan delivery dan quality gate pada bab ini harus konsisten dengan istilah kerja nasabah, core banking.</w:t>
      </w:r>
    </w:p>
    <w:p>
      <w:r>
        <w:br w:type="page"/>
      </w:r>
    </w:p>
    <w:p>
      <w:pPr>
        <w:pStyle w:val="Heading1"/>
        <w:jc w:val="center"/>
      </w:pPr>
      <w:r>
        <w:rPr>
          <w:color w:val="777973"/>
        </w:rPr>
        <w:t>BAB VII – RUANG LINGKUP PEKERJAAN</w:t>
      </w:r>
    </w:p>
    <w:p>
      <w:r>
        <w:rPr>
          <w:b w:val="0"/>
          <w:i w:val="0"/>
        </w:rPr>
        <w:t>Ruang lingkup pekerjaan untuk Bank Mandiri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77973"/>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1: penguatan tata kelola delivery, percepatan keputusan... dan ruang problem yang direspons sudah selaras</w:t>
            </w:r>
          </w:p>
        </w:tc>
        <w:tc>
          <w:tcPr>
            <w:tcW w:type="dxa" w:w="2340"/>
          </w:tcPr>
          <w:p>
            <w:r>
              <w:rPr>
                <w:b w:val="0"/>
                <w:i w:val="0"/>
              </w:rPr>
              <w:t>blueprint transformasi, governance pack, dan rollout plan</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1: prioritas kerja masih tersebar, koordinasi bisnis-teknologi belum konsisten... ke solusi, prioritas, dan kontrol delivery</w:t>
            </w:r>
          </w:p>
        </w:tc>
        <w:tc>
          <w:tcPr>
            <w:tcW w:type="dxa" w:w="2340"/>
          </w:tcPr>
          <w:p>
            <w:r>
              <w:rPr>
                <w:b w:val="0"/>
                <w:i w:val="0"/>
              </w:rPr>
              <w:t>PMO advisory, quality gate review, dan change orchestration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kickoff, checkpoint, workshop alignment, dan review milestone</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support implementasi terbatas pada fase kritis</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Bank Mandiri. Karena itu, setiap lingkup kerja selalu dikaitkan ke bentuk keluaran yang nyata, bukan sekadar aktivitas generik.</w:t>
      </w:r>
    </w:p>
    <w:p>
      <w:pPr>
        <w:pStyle w:val="Heading2"/>
      </w:pPr>
      <w:r>
        <w:rPr>
          <w:rFonts w:ascii="Arial" w:hAnsi="Arial"/>
          <w:b/>
          <w:color w:val="777973"/>
        </w:rPr>
        <w:t>7.2 Batasan Pekerjaan dan Asumsi</w:t>
      </w:r>
    </w:p>
    <w:p>
      <w:pPr>
        <w:pStyle w:val="ListNumber"/>
        <w:spacing w:before="0" w:after="80"/>
        <w:numPr>
          <w:ilvl w:val="0"/>
          <w:numId w:val="30"/>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30"/>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VIII – TIMELINE PEKERJAAN</w:t>
      </w:r>
    </w:p>
    <w:p>
      <w:r>
        <w:drawing>
          <wp:inline xmlns:a="http://schemas.openxmlformats.org/drawingml/2006/main" xmlns:pic="http://schemas.openxmlformats.org/drawingml/2006/picture">
            <wp:extent cx="5486400" cy="248536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85365"/>
                    </a:xfrm>
                    <a:prstGeom prst="rect"/>
                  </pic:spPr>
                </pic:pic>
              </a:graphicData>
            </a:graphic>
          </wp:inline>
        </w:drawing>
      </w:r>
    </w:p>
    <w:p>
      <w:r>
        <w:rPr>
          <w:b w:val="0"/>
          <w:i w:val="0"/>
        </w:rPr>
        <w:t>Untuk Bank Mandiri, timeline pekerjaan disusun agar inisiatif Gelombang uji beban 1: penguatan tata kelola delivery, percepatan keputusan lintas unit, dan penyusunan roadmap eksekusi yang lebih... dapat bergerak stabil selama 4 Bulan.</w:t>
      </w:r>
    </w:p>
    <w:p>
      <w:pPr>
        <w:pStyle w:val="Heading2"/>
      </w:pPr>
      <w:r>
        <w:rPr>
          <w:rFonts w:ascii="Arial" w:hAnsi="Arial"/>
          <w:b/>
          <w:color w:val="777973"/>
        </w:rPr>
        <w:t>8.1 Aktivitas per Fase</w:t>
      </w:r>
    </w:p>
    <w:p>
      <w:pPr>
        <w:pStyle w:val="ListNumber"/>
        <w:spacing w:before="0" w:after="80"/>
        <w:numPr>
          <w:ilvl w:val="0"/>
          <w:numId w:val="31"/>
        </w:numPr>
      </w:pPr>
      <w:r>
        <w:rPr>
          <w:b/>
          <w:i w:val="0"/>
        </w:rPr>
        <w:t>Readiness Assessment</w:t>
      </w:r>
      <w:r>
        <w:rPr>
          <w:b w:val="0"/>
          <w:i w:val="0"/>
        </w:rPr>
        <w:t xml:space="preserve"> (Bulan 1): Nilai kesiapan organisasi, proses, data, dan sponsor. Output utama: readiness view dan daftar gap.</w:t>
      </w:r>
    </w:p>
    <w:p>
      <w:pPr>
        <w:pStyle w:val="ListNumber"/>
        <w:spacing w:before="0" w:after="80"/>
        <w:numPr>
          <w:ilvl w:val="0"/>
          <w:numId w:val="31"/>
        </w:numPr>
      </w:pPr>
      <w:r>
        <w:rPr>
          <w:b/>
          <w:i w:val="0"/>
        </w:rPr>
        <w:t>Blueprint &amp; Mobilization</w:t>
      </w:r>
      <w:r>
        <w:rPr>
          <w:b w:val="0"/>
          <w:i w:val="0"/>
        </w:rPr>
        <w:t xml:space="preserve"> (Bulan 2): Tetapkan rancangan solusi, governance, dan model delivery. Output utama: blueprint, scope lock, dan mobilization plan.</w:t>
      </w:r>
    </w:p>
    <w:p>
      <w:pPr>
        <w:pStyle w:val="ListNumber"/>
        <w:spacing w:before="0" w:after="80"/>
        <w:numPr>
          <w:ilvl w:val="0"/>
          <w:numId w:val="31"/>
        </w:numPr>
      </w:pPr>
      <w:r>
        <w:rPr>
          <w:b/>
          <w:i w:val="0"/>
        </w:rPr>
        <w:t>Phased Rollout</w:t>
      </w:r>
      <w:r>
        <w:rPr>
          <w:b w:val="0"/>
          <w:i w:val="0"/>
        </w:rPr>
        <w:t xml:space="preserve"> (Bulan 3): Eksekusi perubahan prioritas melalui workstream terukur. Output utama: deliverable inti dan milestone rollout.</w:t>
      </w:r>
    </w:p>
    <w:p>
      <w:pPr>
        <w:pStyle w:val="ListNumber"/>
        <w:spacing w:before="0" w:after="80"/>
        <w:numPr>
          <w:ilvl w:val="0"/>
          <w:numId w:val="31"/>
        </w:numPr>
      </w:pPr>
      <w:r>
        <w:rPr>
          <w:b/>
          <w:i w:val="0"/>
        </w:rPr>
        <w:t>Hypercare &amp; Stabilization</w:t>
      </w:r>
      <w:r>
        <w:rPr>
          <w:b w:val="0"/>
          <w:i w:val="0"/>
        </w:rPr>
        <w:t xml:space="preserve"> (Bulan 4): Amankan adopsi, kualitas layanan, dan transisi operasi. Output utama: stabilization report dan next-step backlog.</w:t>
      </w:r>
    </w:p>
    <w:p>
      <w:pPr>
        <w:pStyle w:val="Heading2"/>
      </w:pPr>
      <w:r>
        <w:rPr>
          <w:rFonts w:ascii="Arial" w:hAnsi="Arial"/>
          <w:b/>
          <w:color w:val="777973"/>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Bank Mandiri.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Readiness Assessment</w:t>
            </w:r>
          </w:p>
        </w:tc>
        <w:tc>
          <w:tcPr>
            <w:tcW w:type="dxa" w:w="2340"/>
          </w:tcPr>
          <w:p>
            <w:r>
              <w:rPr>
                <w:b w:val="0"/>
                <w:i w:val="0"/>
              </w:rPr>
              <w:t>Bulan 1</w:t>
            </w:r>
          </w:p>
        </w:tc>
        <w:tc>
          <w:tcPr>
            <w:tcW w:type="dxa" w:w="2340"/>
          </w:tcPr>
          <w:p>
            <w:r>
              <w:rPr>
                <w:b w:val="0"/>
                <w:i w:val="0"/>
              </w:rPr>
              <w:t>readiness view dan daftar gap</w:t>
            </w:r>
          </w:p>
        </w:tc>
        <w:tc>
          <w:tcPr>
            <w:tcW w:type="dxa" w:w="2340"/>
          </w:tcPr>
          <w:p>
            <w:r>
              <w:rPr>
                <w:b w:val="0"/>
                <w:i w:val="0"/>
              </w:rPr>
              <w:t>Menjaga progres opportunity</w:t>
            </w:r>
          </w:p>
        </w:tc>
      </w:tr>
      <w:tr>
        <w:tc>
          <w:tcPr>
            <w:tcW w:type="dxa" w:w="2340"/>
          </w:tcPr>
          <w:p>
            <w:r>
              <w:rPr>
                <w:b w:val="0"/>
                <w:i w:val="0"/>
              </w:rPr>
              <w:t>Blueprint &amp; Mobilization</w:t>
            </w:r>
          </w:p>
        </w:tc>
        <w:tc>
          <w:tcPr>
            <w:tcW w:type="dxa" w:w="2340"/>
          </w:tcPr>
          <w:p>
            <w:r>
              <w:rPr>
                <w:b w:val="0"/>
                <w:i w:val="0"/>
              </w:rPr>
              <w:t>Bulan 2</w:t>
            </w:r>
          </w:p>
        </w:tc>
        <w:tc>
          <w:tcPr>
            <w:tcW w:type="dxa" w:w="2340"/>
          </w:tcPr>
          <w:p>
            <w:r>
              <w:rPr>
                <w:b w:val="0"/>
                <w:i w:val="0"/>
              </w:rPr>
              <w:t>blueprint, scope lock, dan mobilization plan</w:t>
            </w:r>
          </w:p>
        </w:tc>
        <w:tc>
          <w:tcPr>
            <w:tcW w:type="dxa" w:w="2340"/>
          </w:tcPr>
          <w:p>
            <w:r>
              <w:rPr>
                <w:b w:val="0"/>
                <w:i w:val="0"/>
              </w:rPr>
              <w:t>Menjaga progres opportunity</w:t>
            </w:r>
          </w:p>
        </w:tc>
      </w:tr>
      <w:tr>
        <w:tc>
          <w:tcPr>
            <w:tcW w:type="dxa" w:w="2340"/>
          </w:tcPr>
          <w:p>
            <w:r>
              <w:rPr>
                <w:b w:val="0"/>
                <w:i w:val="0"/>
              </w:rPr>
              <w:t>Phased Rollout</w:t>
            </w:r>
          </w:p>
        </w:tc>
        <w:tc>
          <w:tcPr>
            <w:tcW w:type="dxa" w:w="2340"/>
          </w:tcPr>
          <w:p>
            <w:r>
              <w:rPr>
                <w:b w:val="0"/>
                <w:i w:val="0"/>
              </w:rPr>
              <w:t>Bulan 3</w:t>
            </w:r>
          </w:p>
        </w:tc>
        <w:tc>
          <w:tcPr>
            <w:tcW w:type="dxa" w:w="2340"/>
          </w:tcPr>
          <w:p>
            <w:r>
              <w:rPr>
                <w:b w:val="0"/>
                <w:i w:val="0"/>
              </w:rPr>
              <w:t>deliverable inti dan milestone rollout</w:t>
            </w:r>
          </w:p>
        </w:tc>
        <w:tc>
          <w:tcPr>
            <w:tcW w:type="dxa" w:w="2340"/>
          </w:tcPr>
          <w:p>
            <w:r>
              <w:rPr>
                <w:b w:val="0"/>
                <w:i w:val="0"/>
              </w:rPr>
              <w:t>Menjaga progres opportunity</w:t>
            </w:r>
          </w:p>
        </w:tc>
      </w:tr>
      <w:tr>
        <w:tc>
          <w:tcPr>
            <w:tcW w:type="dxa" w:w="2340"/>
          </w:tcPr>
          <w:p>
            <w:r>
              <w:rPr>
                <w:b w:val="0"/>
                <w:i w:val="0"/>
              </w:rPr>
              <w:t>Hypercare &amp; Stabilization</w:t>
            </w:r>
          </w:p>
        </w:tc>
        <w:tc>
          <w:tcPr>
            <w:tcW w:type="dxa" w:w="2340"/>
          </w:tcPr>
          <w:p>
            <w:r>
              <w:rPr>
                <w:b w:val="0"/>
                <w:i w:val="0"/>
              </w:rPr>
              <w:t>Bulan 4</w:t>
            </w:r>
          </w:p>
        </w:tc>
        <w:tc>
          <w:tcPr>
            <w:tcW w:type="dxa" w:w="2340"/>
          </w:tcPr>
          <w:p>
            <w:r>
              <w:rPr>
                <w:b w:val="0"/>
                <w:i w:val="0"/>
              </w:rPr>
              <w:t>stabilization report dan next-step backlog</w:t>
            </w:r>
          </w:p>
        </w:tc>
        <w:tc>
          <w:tcPr>
            <w:tcW w:type="dxa" w:w="2340"/>
          </w:tcPr>
          <w:p>
            <w:r>
              <w:rPr>
                <w:b w:val="0"/>
                <w:i w:val="0"/>
              </w:rPr>
              <w:t>Menjaga progres opportunity</w:t>
            </w:r>
          </w:p>
        </w:tc>
      </w:tr>
      <w:tr>
        <w:tc>
          <w:tcPr>
            <w:tcW w:type="dxa" w:w="2340"/>
          </w:tcPr>
          <w:p>
            <w:r>
              <w:rPr>
                <w:b w:val="0"/>
                <w:i w:val="0"/>
              </w:rPr>
              <w:t>- Konteks Bank Mandiri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r>
        <w:tc>
          <w:tcPr>
            <w:tcW w:type="dxa" w:w="2340"/>
          </w:tcPr>
          <w:p>
            <w:r>
              <w:rPr>
                <w:b w:val="0"/>
                <w:i w:val="0"/>
              </w:rPr>
              <w:t>- KPI acuan yang tetap dijaga pada bab ini adalah Pertumbuhan transaksi digital nasabah dalam 4 bulan.</w:t>
            </w:r>
          </w:p>
        </w:tc>
        <w:tc>
          <w:tcPr>
            <w:tcW w:type="dxa" w:w="2340"/>
          </w:tcPr>
          <w:p>
            <w:r>
              <w:rPr>
                <w:b w:val="0"/>
                <w:i w:val="0"/>
              </w:rPr>
              <w:t>Kepatuhan &amp; risiko operasional (audit findings) membaik dalam 4 bulan..</w:t>
            </w:r>
          </w:p>
        </w:tc>
        <w:tc>
          <w:tcPr>
            <w:tcW w:type="dxa" w:w="2340"/>
          </w:tcPr>
          <w:p/>
        </w:tc>
        <w:tc>
          <w:tcPr>
            <w:tcW w:type="dxa" w:w="2340"/>
          </w:tcPr>
          <w:p/>
        </w:tc>
      </w:tr>
    </w:tbl>
    <w:p>
      <w:r>
        <w:br w:type="page"/>
      </w:r>
    </w:p>
    <w:p>
      <w:pPr>
        <w:pStyle w:val="Heading1"/>
        <w:jc w:val="center"/>
      </w:pPr>
      <w:r>
        <w:rPr>
          <w:color w:val="777973"/>
        </w:rPr>
        <w:t>BAB IX – TATA KELOLA PROYEK</w:t>
      </w:r>
    </w:p>
    <w:p>
      <w:r>
        <w:rPr>
          <w:b w:val="0"/>
          <w:i w:val="0"/>
        </w:rPr>
        <w:t>Tata kelola proyek untuk Bank Mandiri dirancang agar keputusan strategis, kontrol eksekusi, dan penanganan risiko berjalan dalam satu sistem kerja yang konsisten. Fokusnya adalah menjaga gelombang uji beban 1: penguatan tata kelola delivery, percepatan keputusan lintas unit, dan penyusunan roadmap eksekusi yang lebih...</w:t>
      </w:r>
    </w:p>
    <w:p>
      <w:pPr>
        <w:pStyle w:val="Heading2"/>
      </w:pPr>
      <w:r>
        <w:rPr>
          <w:rFonts w:ascii="Arial" w:hAnsi="Arial"/>
          <w:b/>
          <w:color w:val="777973"/>
        </w:rPr>
        <w:t>9.1 Mekanisme Pengambilan Keputusan</w:t>
      </w:r>
    </w:p>
    <w:p>
      <w:pPr>
        <w:pStyle w:val="ListNumber"/>
        <w:spacing w:before="0" w:after="80"/>
        <w:numPr>
          <w:ilvl w:val="0"/>
          <w:numId w:val="32"/>
        </w:numPr>
      </w:pPr>
      <w:r>
        <w:rPr>
          <w:b/>
          <w:i w:val="0"/>
        </w:rPr>
        <w:t>Steering Committee</w:t>
      </w:r>
      <w:r>
        <w:rPr>
          <w:b w:val="0"/>
          <w:i w:val="0"/>
        </w:rPr>
        <w:t xml:space="preserve"> menetapkan arah, prioritas, dan keputusan yang berdampak pada scope, biaya, atau timeline program Bank Mandiri.</w:t>
      </w:r>
    </w:p>
    <w:p>
      <w:pPr>
        <w:pStyle w:val="ListNumber"/>
        <w:spacing w:before="0" w:after="80"/>
        <w:numPr>
          <w:ilvl w:val="0"/>
          <w:numId w:val="32"/>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2"/>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2"/>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77973"/>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Bank Mandiri, pengendalian semacam ini penting karena program gelombang uji beban 1: penguatan tata kelola delivery, percepatan keputusan lintas unit, dan penyusunan roadmap eksekusi yang lebih... berpotensi melibatkan banyak dependency dan keputusan cepat. - Konteks Bank Mandiri tetap menjadi acuan utama agar isi bab tidak bergeser menjadi generik. - Setiap butir pada bab ini harus bisa ditelusuri ke KPI, risiko, atau keputusan kerja yang nyata.</w:t>
      </w:r>
    </w:p>
    <w:p>
      <w:r>
        <w:rPr>
          <w:b w:val="0"/>
          <w:i w:val="0"/>
        </w:rPr>
        <w:t>Untuk Bank Mandiri, isi bab ini harus dibaca sebagai dasar keputusan kerja yang dapat ditindaklanjuti, bukan sekadar penjelasan konseptual. Karena itu, isi bab tetap diarahkan untuk menjaga relevansi terhadap KPI seperti Pertumbuhan transaksi digital nasabah dalam 4 bulan. | Kepatuhan &amp; risiko operasional (audit findings) membaik dalam 4 bulan. dan istilah kerja nasabah, core banking.</w:t>
      </w:r>
    </w:p>
    <w:p>
      <w:pPr>
        <w:pStyle w:val="ListBullet"/>
        <w:spacing w:before="0" w:after="80"/>
        <w:numPr>
          <w:ilvl w:val="0"/>
          <w:numId w:val="33"/>
        </w:numPr>
      </w:pPr>
      <w:r>
        <w:rPr>
          <w:b w:val="0"/>
          <w:i w:val="0"/>
        </w:rPr>
        <w:t>Implikasi eksekusinya harus tetap jelas agar sponsor dan tim delivery dapat menurunkan isi bab ini menjadi tindakan yang konkret.</w:t>
      </w:r>
    </w:p>
    <w:p>
      <w:pPr>
        <w:pStyle w:val="ListBullet"/>
        <w:spacing w:before="0" w:after="80"/>
        <w:numPr>
          <w:ilvl w:val="0"/>
          <w:numId w:val="33"/>
        </w:numPr>
      </w:pPr>
      <w:r>
        <w:rPr>
          <w:b w:val="0"/>
          <w:i w:val="0"/>
        </w:rPr>
        <w:t>Dengan pendekatan ini, narasi proposal tetap terhubung pada kebutuhan bisnis sekaligus tidak kehilangan kontrol implementasi.</w:t>
      </w:r>
    </w:p>
    <w:p>
      <w:r>
        <w:br w:type="page"/>
      </w:r>
    </w:p>
    <w:p>
      <w:pPr>
        <w:pStyle w:val="Heading1"/>
        <w:jc w:val="center"/>
      </w:pPr>
      <w:r>
        <w:rPr>
          <w:color w:val="777973"/>
        </w:rPr>
        <w:t>BAB X – PROFIL PERUSAHAAN</w:t>
      </w:r>
    </w:p>
    <w:p>
      <w:r>
        <w:rPr>
          <w:b w:val="0"/>
          <w:i w:val="0"/>
        </w:rPr>
        <w:t>Profil perusahaan pada proposal ini tidak dimaksudkan sebagai brosur umum, melainkan sebagai bukti bahwa Inixindo Jogja memiliki modal kerja yang relevan untuk membantu Bank Mandiri. Yang ditekankan bukan hanya deskripsi perusahaan, tetapi keterkaitan antara kapabilitas, pengalaman serupa, dan bentuk dukungan yang dibutuhkan oleh inisiatif gelombang uji beban 1: penguatan tata kelola delivery, percepatan keputusan lintas unit, dan penyusunan roadmap eksekusi yang lebih...</w:t>
      </w:r>
    </w:p>
    <w:p>
      <w:pPr>
        <w:pStyle w:val="Heading2"/>
      </w:pPr>
      <w:r>
        <w:rPr>
          <w:rFonts w:ascii="Arial" w:hAnsi="Arial"/>
          <w:b/>
          <w:color w:val="777973"/>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nasabah, core banking, risk appetite.</w:t>
      </w:r>
    </w:p>
    <w:p>
      <w:pPr>
        <w:pStyle w:val="Heading2"/>
      </w:pPr>
      <w:r>
        <w:rPr>
          <w:rFonts w:ascii="Arial" w:hAnsi="Arial"/>
          <w:b/>
          <w:color w:val="777973"/>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transformation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Readiness Assessment 2. Phased Rollout 3. Change Management 4. Hypercare, 1x Program Manager, 2x Change Experts, 3x Tech Leads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Bank Mandiri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4"/>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34"/>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 – STRUKTUR &amp; TENAGA AHLI PROYEK</w:t>
      </w:r>
    </w:p>
    <w:p>
      <w:r>
        <w:rPr>
          <w:b w:val="0"/>
          <w:i w:val="0"/>
        </w:rPr>
        <w:t>Struktur tim proyek untuk Bank Mandiri dibentuk agar pengambilan keputusan, pengawasan mutu, dan eksekusi lapangan bergerak seirama. Komposisi tim tidak diperlakukan sebagai daftar jabatan semata, tetapi sebagai mekanisme untuk menjaga kualitas output terhadap target Pertumbuhan transaksi digital nasabah dalam 4 bulan.</w:t>
      </w:r>
    </w:p>
    <w:p>
      <w:pPr>
        <w:pStyle w:val="Heading2"/>
      </w:pPr>
      <w:r>
        <w:rPr>
          <w:rFonts w:ascii="Arial" w:hAnsi="Arial"/>
          <w:b/>
          <w:color w:val="777973"/>
        </w:rPr>
        <w:t>11.1 Struktur Tim Proyek</w:t>
      </w:r>
    </w:p>
    <w:p>
      <w:pPr>
        <w:pStyle w:val="ListNumber"/>
        <w:spacing w:before="0" w:after="80"/>
        <w:numPr>
          <w:ilvl w:val="0"/>
          <w:numId w:val="35"/>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5"/>
        </w:numPr>
      </w:pPr>
      <w:r>
        <w:rPr>
          <w:b/>
          <w:i w:val="0"/>
        </w:rPr>
        <w:t>Project Manager / PMO Lead</w:t>
      </w:r>
      <w:r>
        <w:rPr>
          <w:b w:val="0"/>
          <w:i w:val="0"/>
        </w:rPr>
        <w:t xml:space="preserve"> mengendalikan ritme kerja, milestone, dan quality gate.</w:t>
      </w:r>
    </w:p>
    <w:p>
      <w:pPr>
        <w:pStyle w:val="ListNumber"/>
        <w:spacing w:before="0" w:after="80"/>
        <w:numPr>
          <w:ilvl w:val="0"/>
          <w:numId w:val="35"/>
        </w:numPr>
      </w:pPr>
      <w:r>
        <w:rPr>
          <w:b/>
          <w:i w:val="0"/>
        </w:rPr>
        <w:t>Lead Fungsional / Solusi</w:t>
      </w:r>
      <w:r>
        <w:rPr>
          <w:b w:val="0"/>
          <w:i w:val="0"/>
        </w:rPr>
        <w:t xml:space="preserve"> menjaga kualitas desain solusi dan relevansi output kerja.</w:t>
      </w:r>
    </w:p>
    <w:p>
      <w:pPr>
        <w:pStyle w:val="ListNumber"/>
        <w:spacing w:before="0" w:after="80"/>
        <w:numPr>
          <w:ilvl w:val="0"/>
          <w:numId w:val="35"/>
        </w:numPr>
      </w:pPr>
      <w:r>
        <w:rPr>
          <w:b/>
          <w:i w:val="0"/>
        </w:rPr>
        <w:t>Reviewer Governance / Quality</w:t>
      </w:r>
      <w:r>
        <w:rPr>
          <w:b w:val="0"/>
          <w:i w:val="0"/>
        </w:rPr>
        <w:t xml:space="preserve"> memastikan disiplin review, sign-off, dan kontrol risiko.</w:t>
      </w:r>
    </w:p>
    <w:p>
      <w:pPr>
        <w:pStyle w:val="Heading2"/>
      </w:pPr>
      <w:r>
        <w:rPr>
          <w:rFonts w:ascii="Arial" w:hAnsi="Arial"/>
          <w:b/>
          <w:color w:val="777973"/>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transformation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Program Manager, 2x Change Experts, 3x Tech Leads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Bank Mandiri memperoleh gambaran yang lebih konkret mengenai siapa yang menjaga keputusan, siapa yang mengawal delivery, dan siapa yang mengamankan mutu hasil kerja. Pendekatan ini membuat bab tenaga ahli lebih mudah diaudit dan lebih meyakinkan bagi sponsor proyek.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XII – MODEL PEMBIAYAAN</w:t>
      </w:r>
    </w:p>
    <w:p>
      <w:r>
        <w:rPr>
          <w:b w:val="0"/>
          <w:i w:val="0"/>
        </w:rPr>
        <w:t>Model pembiayaan untuk Bank Mandiri disusun agar komitmen biaya, mekanisme pembayaran, dan batas ruang lingkup tetap jelas sejak awal. Tujuannya adalah menjaga proyek gelombang uji beban 1: penguatan tata kelola delivery, percepatan keputusan lintas unit, dan penyusunan roadmap eksekusi yang lebih...</w:t>
      </w:r>
    </w:p>
    <w:p>
      <w:pPr>
        <w:pStyle w:val="Heading2"/>
      </w:pPr>
      <w:r>
        <w:rPr>
          <w:rFonts w:ascii="Arial" w:hAnsi="Arial"/>
          <w:b/>
          <w:color w:val="777973"/>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4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4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6"/>
        </w:numPr>
      </w:pPr>
      <w:r>
        <w:rPr>
          <w:b/>
          <w:i w:val="0"/>
        </w:rPr>
        <w:t>Mobilization &amp; readiness</w:t>
      </w:r>
      <w:r>
        <w:rPr>
          <w:b w:val="0"/>
          <w:i w:val="0"/>
        </w:rPr>
        <w:t xml:space="preserve"> sebesar 20% dari estimasi investasi, ditagihkan setelah milestone terkait diterima.</w:t>
      </w:r>
    </w:p>
    <w:p>
      <w:pPr>
        <w:pStyle w:val="ListNumber"/>
        <w:spacing w:before="0" w:after="80"/>
        <w:numPr>
          <w:ilvl w:val="0"/>
          <w:numId w:val="36"/>
        </w:numPr>
      </w:pPr>
      <w:r>
        <w:rPr>
          <w:b/>
          <w:i w:val="0"/>
        </w:rPr>
        <w:t>Blueprint &amp; governance setup</w:t>
      </w:r>
      <w:r>
        <w:rPr>
          <w:b w:val="0"/>
          <w:i w:val="0"/>
        </w:rPr>
        <w:t xml:space="preserve"> sebesar 30% dari estimasi investasi, ditagihkan setelah milestone terkait diterima.</w:t>
      </w:r>
    </w:p>
    <w:p>
      <w:pPr>
        <w:pStyle w:val="ListNumber"/>
        <w:spacing w:before="0" w:after="80"/>
        <w:numPr>
          <w:ilvl w:val="0"/>
          <w:numId w:val="36"/>
        </w:numPr>
      </w:pPr>
      <w:r>
        <w:rPr>
          <w:b/>
          <w:i w:val="0"/>
        </w:rPr>
        <w:t>Rollout milestone</w:t>
      </w:r>
      <w:r>
        <w:rPr>
          <w:b w:val="0"/>
          <w:i w:val="0"/>
        </w:rPr>
        <w:t xml:space="preserve"> sebesar 30% dari estimasi investasi, ditagihkan setelah milestone terkait diterima.</w:t>
      </w:r>
    </w:p>
    <w:p>
      <w:pPr>
        <w:pStyle w:val="ListNumber"/>
        <w:spacing w:before="0" w:after="80"/>
        <w:numPr>
          <w:ilvl w:val="0"/>
          <w:numId w:val="36"/>
        </w:numPr>
      </w:pPr>
      <w:r>
        <w:rPr>
          <w:b/>
          <w:i w:val="0"/>
        </w:rPr>
        <w:t>Hypercare &amp; closure</w:t>
      </w:r>
      <w:r>
        <w:rPr>
          <w:b w:val="0"/>
          <w:i w:val="0"/>
        </w:rPr>
        <w:t xml:space="preserve"> sebesar 20% dari estimasi investasi, ditagihkan setelah milestone terkait diterima.</w:t>
      </w:r>
    </w:p>
    <w:p>
      <w:pPr>
        <w:pStyle w:val="Heading2"/>
      </w:pPr>
      <w:r>
        <w:rPr>
          <w:rFonts w:ascii="Arial" w:hAnsi="Arial"/>
          <w:b/>
          <w:color w:val="777973"/>
        </w:rPr>
        <w:t>12.2 Model Pekerjaan dan Batasan Pekerjaan</w:t>
      </w:r>
    </w:p>
    <w:p>
      <w:r>
        <w:rPr>
          <w:b w:val="0"/>
          <w:i w:val="0"/>
        </w:rPr>
        <w:t>Model kerja dirancang agar ruang lingkup delivery tetap fokus pada kebutuhan opportunity dan KPI seperti Pertumbuhan transaksi digital nasabah dalam 4 bulan. | Kepatuhan &amp; risiko operasional (audit findings) membaik dalam 4 bulan. Untuk Bank Mandiri,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Bank Mandiri, bagian ini perlu menunjukkan bahwa struktur biaya, tahapan pembayaran, dan batas pekerjaan disusun agar manfaat bisnis seperti Pertumbuhan transaksi digital nasabah dalam 4 bulan.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PENUTUP &amp; APRESIASI KEMITRAAN</w:t>
      </w:r>
    </w:p>
    <w:p>
      <w:r>
        <w:rPr>
          <w:b w:val="0"/>
          <w:i w:val="0"/>
        </w:rPr>
        <w:t>Terima kasih atas kesempatan yang diberikan kepada Inixindo Jogja untuk menyusun proposal bagi Bank Mandiri. Kami memandang inisiatif gelombang uji beban 1: penguatan tata kelola delivery, percepatan keputusan lintas unit, dan penyusunan roadmap eksekusi yang lebih...</w:t>
      </w:r>
    </w:p>
    <w:p>
      <w:pPr>
        <w:pStyle w:val="Heading2"/>
      </w:pPr>
      <w:r>
        <w:rPr>
          <w:rFonts w:ascii="Arial" w:hAnsi="Arial"/>
          <w:b/>
          <w:color w:val="777973"/>
        </w:rPr>
        <w:t>Apresiasi dan Komitmen Kemitraan</w:t>
      </w:r>
    </w:p>
    <w:p>
      <w:pPr>
        <w:pStyle w:val="ListNumber"/>
        <w:spacing w:before="0" w:after="80"/>
        <w:numPr>
          <w:ilvl w:val="0"/>
          <w:numId w:val="37"/>
        </w:numPr>
      </w:pPr>
      <w:r>
        <w:rPr>
          <w:b w:val="0"/>
          <w:i w:val="0"/>
        </w:rPr>
        <w:t>Kami mengapresiasi keterbukaan Bank Mandiri dalam mengangkat konteks, tantangan, dan target bisnis yang menjadi dasar proposal ini.</w:t>
      </w:r>
    </w:p>
    <w:p>
      <w:pPr>
        <w:pStyle w:val="ListNumber"/>
        <w:spacing w:before="0" w:after="80"/>
        <w:numPr>
          <w:ilvl w:val="0"/>
          <w:numId w:val="37"/>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7"/>
        </w:numPr>
      </w:pPr>
      <w:r>
        <w:rPr>
          <w:b w:val="0"/>
          <w:i w:val="0"/>
        </w:rPr>
        <w:t>Fokus awal kemitraan diarahkan pada prioritas seperti Pertumbuhan transaksi digital nasabah dalam 4 bulan. | Kepatuhan &amp; risiko operasional (audit findings) membaik dalam 4 bulan. | Ketersediaan layanan digital meningkat dan insiden prioritas menurun dalam 4 bulan., dengan tata kelola dan ritme eksekusi yang stabil sejak kickoff.</w:t>
      </w:r>
    </w:p>
    <w:p>
      <w:pPr>
        <w:pStyle w:val="Heading2"/>
      </w:pPr>
      <w:r>
        <w:rPr>
          <w:rFonts w:ascii="Arial" w:hAnsi="Arial"/>
          <w:b/>
          <w:color w:val="777973"/>
        </w:rPr>
        <w:t>Informasi Kontak dan Langkah Lanjutan</w:t>
      </w:r>
    </w:p>
    <w:p>
      <w:r>
        <w:rPr>
          <w:b w:val="0"/>
          <w:i w:val="0"/>
        </w:rPr>
        <w:t>Untuk melanjutkan pembahasan, Inixindo Jogja siap menindaklanjuti review proposal, penajaman ruang lingkup, dan penyesuaian komersial yang diperlukan. - Konteks Bank Mandiri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7"/>
  </w:num>
  <w:num w:numId="14">
    <w:abstractNumId w:val="7"/>
  </w:num>
  <w:num w:numId="15">
    <w:abstractNumId w:val="8"/>
  </w:num>
  <w:num w:numId="16">
    <w:abstractNumId w:val="8"/>
  </w:num>
  <w:num w:numId="17">
    <w:abstractNumId w:val="7"/>
  </w:num>
  <w:num w:numId="18">
    <w:abstractNumId w:val="8"/>
  </w:num>
  <w:num w:numId="19">
    <w:abstractNumId w:val="7"/>
  </w:num>
  <w:num w:numId="20">
    <w:abstractNumId w:val="8"/>
  </w:num>
  <w:num w:numId="21">
    <w:abstractNumId w:val="8"/>
  </w:num>
  <w:num w:numId="22">
    <w:abstractNumId w:val="8"/>
  </w:num>
  <w:num w:numId="23">
    <w:abstractNumId w:val="8"/>
  </w:num>
  <w:num w:numId="24">
    <w:abstractNumId w:val="8"/>
  </w:num>
  <w:num w:numId="25">
    <w:abstractNumId w:val="7"/>
  </w:num>
  <w:num w:numId="26">
    <w:abstractNumId w:val="7"/>
  </w:num>
  <w:num w:numId="27">
    <w:abstractNumId w:val="8"/>
  </w:num>
  <w:num w:numId="28">
    <w:abstractNumId w:val="8"/>
  </w:num>
  <w:num w:numId="29">
    <w:abstractNumId w:val="7"/>
  </w:num>
  <w:num w:numId="30">
    <w:abstractNumId w:val="7"/>
  </w:num>
  <w:num w:numId="31">
    <w:abstractNumId w:val="7"/>
  </w:num>
  <w:num w:numId="32">
    <w:abstractNumId w:val="7"/>
  </w:num>
  <w:num w:numId="33">
    <w:abstractNumId w:val="8"/>
  </w:num>
  <w:num w:numId="34">
    <w:abstractNumId w:val="7"/>
  </w:num>
  <w:num w:numId="35">
    <w:abstractNumId w:val="7"/>
  </w:num>
  <w:num w:numId="36">
    <w:abstractNumId w:val="7"/>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