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4828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482803"/>
                    </a:xfrm>
                    <a:prstGeom prst="rect"/>
                  </pic:spPr>
                </pic:pic>
              </a:graphicData>
            </a:graphic>
          </wp:inline>
        </w:drawing>
      </w:r>
    </w:p>
    <w:p>
      <w:pPr>
        <w:jc w:val="center"/>
      </w:pPr>
      <w:r>
        <w:rPr>
          <w:b/>
          <w:color w:val="777973"/>
          <w:sz w:val="60"/>
        </w:rPr>
        <w:t>ARSITEKTUR PROPOSAL</w:t>
      </w:r>
    </w:p>
    <w:p>
      <w:pPr>
        <w:jc w:val="center"/>
      </w:pPr>
      <w:r>
        <w:rPr>
          <w:sz w:val="28"/>
        </w:rPr>
        <w:t>Konsultan – Transformation</w:t>
      </w:r>
    </w:p>
    <w:p/>
    <w:p>
      <w:pPr>
        <w:jc w:val="center"/>
      </w:pPr>
      <w:r>
        <w:rPr>
          <w:b/>
          <w:sz w:val="32"/>
        </w:rPr>
        <w:t>Untuk: Bank Mandiri</w:t>
      </w:r>
    </w:p>
    <w:p>
      <w:pPr>
        <w:jc w:val="center"/>
      </w:pPr>
      <w:r>
        <w:t>Inisiatif: Gelombang uji beban 1: penguatan tata kelola delivery, percepatan keputusan lintas unit, dan penyusunan roadmap eksekusi yang lebih terukur untuk Bank Mandiri.</w:t>
      </w:r>
    </w:p>
    <w:p>
      <w:pPr>
        <w:jc w:val="center"/>
      </w:pPr>
      <w:r>
        <w:t>Durasi: 4 Bulan | Estimasi Investasi: Rp 500.000.000 | Tanggal: 30 March 2026</w:t>
      </w:r>
    </w:p>
    <w:p>
      <w:pPr>
        <w:jc w:val="center"/>
      </w:pPr>
      <w:r>
        <w:t>Disusun oleh Inixindo Jogja</w:t>
      </w:r>
    </w:p>
    <w:p>
      <w:r>
        <w:br w:type="page"/>
      </w:r>
    </w:p>
    <w:p>
      <w:pPr>
        <w:pStyle w:val="Heading1"/>
        <w:jc w:val="center"/>
      </w:pPr>
      <w:r>
        <w:rPr>
          <w:color w:val="777973"/>
        </w:rPr>
        <w:t>BAB I – KONTEKS KLIEN</w:t>
      </w:r>
    </w:p>
    <w:p>
      <w:pPr>
        <w:pStyle w:val="Heading2"/>
      </w:pPr>
      <w:r>
        <w:rPr>
          <w:rFonts w:ascii="Arial" w:hAnsi="Arial"/>
          <w:b/>
          <w:color w:val="777973"/>
        </w:rPr>
        <w:t>1.1 Latar Belakang Organisasi Klien</w:t>
      </w:r>
    </w:p>
    <w:p>
      <w:r>
        <w:rPr>
          <w:b w:val="0"/>
          <w:i w:val="0"/>
        </w:rPr>
        <w:t>Bank Mandiri (PT Bank Mandiri (Persero) Tbk) adalah BUMN perbankan terbesar di Indonesia dengan jaringan core banking yang mencakup korporasi, UMKM, dan ritel. Pada Januari 2026 laba bersih tercatat Rp4,65 triliun (+16,18 % YoY) dan kredit tumbuh 15,62 % menjadi Rp1.511,4 triliun (bankmandiri.co.id, 2026). Kinerja ini didorong oleh peningkatan aktivitas transaksi nasabah serta akselerasi layanan digital, termasuk Livin' by Mandiri yang dipastikan siap melayani nasabah selama libur Idul Fitri (bankmandiri.co.id, 2026).</w:t>
      </w:r>
    </w:p>
    <w:p>
      <w:r>
        <w:rPr>
          <w:b w:val="0"/>
          <w:i w:val="0"/>
        </w:rPr>
        <w:t>Meskipun fundamental keuangan solid, Bank Mandiri menghadapi tiga tekanan utama yang memicu kebutuhan konsultasi:</w:t>
      </w:r>
    </w:p>
    <w:p>
      <w:pPr>
        <w:pStyle w:val="ListNumber"/>
        <w:spacing w:before="0" w:after="80"/>
        <w:numPr>
          <w:ilvl w:val="0"/>
          <w:numId w:val="10"/>
        </w:numPr>
      </w:pPr>
      <w:r>
        <w:rPr>
          <w:b/>
          <w:i w:val="0"/>
        </w:rPr>
        <w:t>Persaingan digital yang intens</w:t>
      </w:r>
      <w:r>
        <w:rPr>
          <w:b w:val="0"/>
          <w:i w:val="0"/>
        </w:rPr>
        <w:t xml:space="preserve"> – bank‑digital seperti Jago dan SeaBank meningkatkan Monthly Active Users (MAU) mereka, menurunkan margin pertumbuhan nasabah tradisional.</w:t>
      </w:r>
    </w:p>
    <w:p>
      <w:pPr>
        <w:pStyle w:val="ListNumber"/>
        <w:spacing w:before="0" w:after="80"/>
        <w:numPr>
          <w:ilvl w:val="0"/>
          <w:numId w:val="10"/>
        </w:numPr>
      </w:pPr>
      <w:r>
        <w:rPr>
          <w:b/>
          <w:i w:val="0"/>
        </w:rPr>
        <w:t>Kerumitan tata kelola lintas unit</w:t>
      </w:r>
      <w:r>
        <w:rPr>
          <w:b w:val="0"/>
          <w:i w:val="0"/>
        </w:rPr>
        <w:t xml:space="preserve"> – keputusan strategis masih tersebar, menghasilkan lead time persetujuan rata‑rata 30 hari dan meningkatkan risiko sinkronisasi antara tim bisnis, teknologi, dan kepatuhan POJK.</w:t>
      </w:r>
    </w:p>
    <w:p>
      <w:pPr>
        <w:pStyle w:val="ListNumber"/>
        <w:spacing w:before="0" w:after="80"/>
        <w:numPr>
          <w:ilvl w:val="0"/>
          <w:numId w:val="10"/>
        </w:numPr>
      </w:pPr>
      <w:r>
        <w:rPr>
          <w:b/>
          <w:i w:val="0"/>
        </w:rPr>
        <w:t>Kontrol risiko dan fraud control</w:t>
      </w:r>
      <w:r>
        <w:rPr>
          <w:b w:val="0"/>
          <w:i w:val="0"/>
        </w:rPr>
        <w:t xml:space="preserve"> – regulasi risk appetite menuntut monitoring real‑time; beban sistem pada gelombang uji beban 1 (gelombang beban) berpotensi menimbulkan downtime yang merusak reputasi.</w:t>
      </w:r>
    </w:p>
    <w:p>
      <w:r>
        <w:rPr>
          <w:b w:val="0"/>
          <w:i w:val="0"/>
        </w:rPr>
        <w:t>Bank Mandiri telah memperoleh penghargaan “Best in Class Banking GCG” (youtube.com, 2025) serta lima penghargaan Bank Indonesia Award 2025 (facebook.com, 2025), menegaskan kualitas governance. Namun, kecepatan eksekusi inisiatif digital, khususnya pada</w:t>
      </w:r>
      <w:r>
        <w:rPr>
          <w:b/>
          <w:i w:val="0"/>
        </w:rPr>
        <w:t xml:space="preserve"> gelombang uji beban 1</w:t>
      </w:r>
      <w:r>
        <w:rPr>
          <w:b w:val="0"/>
          <w:i w:val="0"/>
        </w:rPr>
        <w:t>, masih belum optimal.</w:t>
      </w:r>
    </w:p>
    <w:p>
      <w:pPr>
        <w:pStyle w:val="Heading2"/>
      </w:pPr>
      <w:r>
        <w:rPr>
          <w:rFonts w:ascii="Arial" w:hAnsi="Arial"/>
          <w:b/>
          <w:color w:val="777973"/>
        </w:rPr>
        <w:t>1.2 Alasan Permintaan Jasa Konsultasi</w:t>
      </w:r>
    </w:p>
    <w:p>
      <w:r>
        <w:rPr>
          <w:b w:val="0"/>
          <w:i w:val="0"/>
        </w:rPr>
        <w:t>Bank Mandiri meminta Inixindo Jogja untuk mengubah kebutuhan bisnis menjadi program perubahan terkontrol dengan tiga outcome utama:</w:t>
      </w:r>
    </w:p>
    <w:p>
      <w:pPr>
        <w:pStyle w:val="ListNumber"/>
        <w:spacing w:before="0" w:after="80"/>
        <w:numPr>
          <w:ilvl w:val="0"/>
          <w:numId w:val="11"/>
        </w:numPr>
      </w:pPr>
      <w:r>
        <w:rPr>
          <w:b/>
          <w:i w:val="0"/>
        </w:rPr>
        <w:t>Penguatan tata kelola delivery</w:t>
      </w:r>
      <w:r>
        <w:rPr>
          <w:b w:val="0"/>
          <w:i w:val="0"/>
        </w:rPr>
        <w:t xml:space="preserve"> – menetapkan kerangka TOGAF/ITIL/COBIT/ISO 27001 yang menyatukan proses bisnis, core banking, dan kepatuhan POJK.</w:t>
      </w:r>
    </w:p>
    <w:p>
      <w:pPr>
        <w:pStyle w:val="ListNumber"/>
        <w:spacing w:before="0" w:after="80"/>
        <w:numPr>
          <w:ilvl w:val="0"/>
          <w:numId w:val="11"/>
        </w:numPr>
      </w:pPr>
      <w:r>
        <w:rPr>
          <w:b/>
          <w:i w:val="0"/>
        </w:rPr>
        <w:t>Percepatan keputusan lintas unit</w:t>
      </w:r>
      <w:r>
        <w:rPr>
          <w:b w:val="0"/>
          <w:i w:val="0"/>
        </w:rPr>
        <w:t xml:space="preserve"> – mengurangi lead time persetujuan strategis dari 30 hari menjadi ≤ 10 hari.</w:t>
      </w:r>
    </w:p>
    <w:p>
      <w:pPr>
        <w:pStyle w:val="ListNumber"/>
        <w:spacing w:before="0" w:after="80"/>
        <w:numPr>
          <w:ilvl w:val="0"/>
          <w:numId w:val="11"/>
        </w:numPr>
      </w:pPr>
      <w:r>
        <w:rPr>
          <w:b/>
          <w:i w:val="0"/>
        </w:rPr>
        <w:t>Penyusunan roadmap eksekusi terukur</w:t>
      </w:r>
      <w:r>
        <w:rPr>
          <w:b w:val="0"/>
          <w:i w:val="0"/>
        </w:rPr>
        <w:t xml:space="preserve"> – mengimplementasikan phased rollout gelombang beban dengan KPI Blueprint (pertumbuhan transaksi digital nasabah, penurunan temuan audit, penurunan insiden prioritas).</w:t>
      </w:r>
    </w:p>
    <w:p>
      <w:r>
        <w:rPr>
          <w:b w:val="0"/>
          <w:i w:val="0"/>
        </w:rPr>
        <w:t>Langkah utama yang akan dilaksanakan:</w:t>
      </w:r>
    </w:p>
    <w:p>
      <w:pPr>
        <w:pStyle w:val="ListNumber"/>
        <w:spacing w:before="0" w:after="80"/>
        <w:numPr>
          <w:ilvl w:val="0"/>
          <w:numId w:val="12"/>
        </w:numPr>
      </w:pPr>
      <w:r>
        <w:rPr>
          <w:b/>
          <w:i w:val="0"/>
        </w:rPr>
        <w:t>Readiness Assessment</w:t>
      </w:r>
      <w:r>
        <w:rPr>
          <w:b w:val="0"/>
          <w:i w:val="0"/>
        </w:rPr>
        <w:t xml:space="preserve"> – audit kesiapan infrastruktur digital, fraud control, dan alignment risk appetite.</w:t>
      </w:r>
    </w:p>
    <w:p>
      <w:pPr>
        <w:pStyle w:val="ListNumber"/>
        <w:spacing w:before="0" w:after="80"/>
        <w:numPr>
          <w:ilvl w:val="0"/>
          <w:numId w:val="12"/>
        </w:numPr>
      </w:pPr>
      <w:r>
        <w:rPr>
          <w:b/>
          <w:i w:val="0"/>
        </w:rPr>
        <w:t>Phased Rollout</w:t>
      </w:r>
      <w:r>
        <w:rPr>
          <w:b w:val="0"/>
          <w:i w:val="0"/>
        </w:rPr>
        <w:t xml:space="preserve"> – peluncuran bertahap gelombang beban dengan checkpoint kualitas.</w:t>
      </w:r>
    </w:p>
    <w:p>
      <w:pPr>
        <w:pStyle w:val="ListNumber"/>
        <w:spacing w:before="0" w:after="80"/>
        <w:numPr>
          <w:ilvl w:val="0"/>
          <w:numId w:val="12"/>
        </w:numPr>
      </w:pPr>
      <w:r>
        <w:rPr>
          <w:b/>
          <w:i w:val="0"/>
        </w:rPr>
        <w:t>Change Management</w:t>
      </w:r>
      <w:r>
        <w:rPr>
          <w:b w:val="0"/>
          <w:i w:val="0"/>
        </w:rPr>
        <w:t xml:space="preserve"> – program adopsi untuk tim operasional dan nasabah.</w:t>
      </w:r>
    </w:p>
    <w:p>
      <w:pPr>
        <w:pStyle w:val="ListNumber"/>
        <w:spacing w:before="0" w:after="80"/>
        <w:numPr>
          <w:ilvl w:val="0"/>
          <w:numId w:val="12"/>
        </w:numPr>
      </w:pPr>
      <w:r>
        <w:rPr>
          <w:b/>
          <w:i w:val="0"/>
        </w:rPr>
        <w:t>Hyper‑care</w:t>
      </w:r>
      <w:r>
        <w:rPr>
          <w:b w:val="0"/>
          <w:i w:val="0"/>
        </w:rPr>
        <w:t xml:space="preserve"> – monitoring intensif pasca‑go‑live selama 30 hari.</w:t>
      </w:r>
    </w:p>
    <w:p>
      <w:r>
        <w:rPr>
          <w:b w:val="0"/>
          <w:i w:val="0"/>
        </w:rPr>
        <w:t>Dampak yang diharapkan:</w:t>
      </w:r>
    </w:p>
    <w:p>
      <w:pPr>
        <w:pStyle w:val="ListBullet"/>
        <w:spacing w:before="0" w:after="80"/>
        <w:numPr>
          <w:ilvl w:val="0"/>
          <w:numId w:val="13"/>
        </w:numPr>
      </w:pPr>
      <w:r>
        <w:rPr>
          <w:b/>
          <w:i w:val="0"/>
        </w:rPr>
        <w:t>Pertumbuhan transaksi digital nasabah</w:t>
      </w:r>
      <w:r>
        <w:rPr>
          <w:b w:val="0"/>
          <w:i w:val="0"/>
        </w:rPr>
        <w:t xml:space="preserve"> +20 % dalam 4 bulan, menggerakkan MAU Livin' dari 10 juta ke 12 juta (Data Internal, 2026).</w:t>
      </w:r>
    </w:p>
    <w:p>
      <w:pPr>
        <w:pStyle w:val="ListBullet"/>
        <w:spacing w:before="0" w:after="80"/>
        <w:numPr>
          <w:ilvl w:val="0"/>
          <w:numId w:val="13"/>
        </w:numPr>
      </w:pPr>
      <w:r>
        <w:rPr>
          <w:b/>
          <w:i w:val="0"/>
        </w:rPr>
        <w:t>Penurunan temuan audit</w:t>
      </w:r>
      <w:r>
        <w:rPr>
          <w:b w:val="0"/>
          <w:i w:val="0"/>
        </w:rPr>
        <w:t xml:space="preserve"> sebesar 40 % melalui kepatuhan POJK yang terintegrasi</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14"/>
        </w:numPr>
      </w:pPr>
      <w:r>
        <w:rPr>
          <w:b w:val="0"/>
          <w:i w:val="0"/>
        </w:rPr>
        <w:t>Implikasi eksekusinya harus tetap jelas agar sponsor dan tim delivery dapat menurunkan isi bab ini menjadi tindakan yang konkret.</w:t>
      </w:r>
    </w:p>
    <w:p>
      <w:pPr>
        <w:pStyle w:val="ListBullet"/>
        <w:spacing w:before="0" w:after="80"/>
        <w:numPr>
          <w:ilvl w:val="0"/>
          <w:numId w:val="14"/>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77973"/>
        </w:rPr>
        <w:t>BAB II – PERMASALAHAN</w:t>
      </w:r>
    </w:p>
    <w:p>
      <w:pPr>
        <w:pStyle w:val="Heading2"/>
      </w:pPr>
      <w:r>
        <w:rPr>
          <w:rFonts w:ascii="Arial" w:hAnsi="Arial"/>
          <w:b/>
          <w:color w:val="777973"/>
        </w:rPr>
        <w:t>2.1 Kebutuhan atau Keinginan Klien</w:t>
      </w:r>
    </w:p>
    <w:p>
      <w:r>
        <w:rPr>
          <w:b w:val="0"/>
          <w:i w:val="0"/>
        </w:rPr>
        <w:t>Bank Mandiri menargetkan</w:t>
      </w:r>
      <w:r>
        <w:rPr>
          <w:b/>
          <w:i w:val="0"/>
        </w:rPr>
        <w:t xml:space="preserve"> penguatan tata kelola delivery</w:t>
      </w:r>
      <w:r>
        <w:rPr>
          <w:b w:val="0"/>
          <w:i w:val="0"/>
        </w:rPr>
        <w:t xml:space="preserve"> pada Gelombang Uji Beban 1, percepatan keputusan lintas unit, serta penyusunan</w:t>
      </w:r>
      <w:r>
        <w:rPr>
          <w:b/>
          <w:i w:val="0"/>
        </w:rPr>
        <w:t xml:space="preserve"> roadmap eksekusi terukur</w:t>
      </w:r>
      <w:r>
        <w:rPr>
          <w:b w:val="0"/>
          <w:i w:val="0"/>
        </w:rPr>
        <w:t xml:space="preserve"> dalam horizon empat bulan. Kebutuhan utama:</w:t>
      </w:r>
    </w:p>
    <w:p>
      <w:pPr>
        <w:pStyle w:val="ListNumber"/>
        <w:spacing w:before="0" w:after="80"/>
        <w:numPr>
          <w:ilvl w:val="0"/>
          <w:numId w:val="15"/>
        </w:numPr>
      </w:pPr>
      <w:r>
        <w:rPr>
          <w:b/>
          <w:i w:val="0"/>
        </w:rPr>
        <w:t>Klarifikasi ruang lingkup</w:t>
      </w:r>
      <w:r>
        <w:rPr>
          <w:b w:val="0"/>
          <w:i w:val="0"/>
        </w:rPr>
        <w:t xml:space="preserve"> – definisi beban kerja, deliverable, dan KPI harian (MAU, volume transaksi).</w:t>
      </w:r>
    </w:p>
    <w:p>
      <w:pPr>
        <w:pStyle w:val="ListNumber"/>
        <w:spacing w:before="0" w:after="80"/>
        <w:numPr>
          <w:ilvl w:val="0"/>
          <w:numId w:val="15"/>
        </w:numPr>
      </w:pPr>
      <w:r>
        <w:rPr>
          <w:b/>
          <w:i w:val="0"/>
        </w:rPr>
        <w:t>Governance terpadu</w:t>
      </w:r>
      <w:r>
        <w:rPr>
          <w:b w:val="0"/>
          <w:i w:val="0"/>
        </w:rPr>
        <w:t xml:space="preserve"> – steering committee, change‑control, dan pelaporan audit yang selaras dengan</w:t>
      </w:r>
      <w:r>
        <w:rPr>
          <w:b/>
          <w:i w:val="0"/>
        </w:rPr>
        <w:t xml:space="preserve"> kepatuhan POJK</w:t>
      </w:r>
      <w:r>
        <w:rPr>
          <w:b w:val="0"/>
          <w:i w:val="0"/>
        </w:rPr>
        <w:t xml:space="preserve"> serta ISO 27001.</w:t>
      </w:r>
    </w:p>
    <w:p>
      <w:pPr>
        <w:pStyle w:val="ListNumber"/>
        <w:spacing w:before="0" w:after="80"/>
        <w:numPr>
          <w:ilvl w:val="0"/>
          <w:numId w:val="15"/>
        </w:numPr>
      </w:pPr>
      <w:r>
        <w:rPr>
          <w:b/>
          <w:i w:val="0"/>
        </w:rPr>
        <w:t>Orkestrasi rollout</w:t>
      </w:r>
      <w:r>
        <w:rPr>
          <w:b w:val="0"/>
          <w:i w:val="0"/>
        </w:rPr>
        <w:t xml:space="preserve"> – fase‑by‑fase, mitigasi downtime, dan dukungan</w:t>
      </w:r>
      <w:r>
        <w:rPr>
          <w:b/>
          <w:i w:val="0"/>
        </w:rPr>
        <w:t xml:space="preserve"> hyper‑care</w:t>
      </w:r>
      <w:r>
        <w:rPr>
          <w:b w:val="0"/>
          <w:i w:val="0"/>
        </w:rPr>
        <w:t xml:space="preserve"> untuk menjaga</w:t>
      </w:r>
      <w:r>
        <w:rPr>
          <w:b/>
          <w:i w:val="0"/>
        </w:rPr>
        <w:t xml:space="preserve"> risk appetite</w:t>
      </w:r>
      <w:r>
        <w:rPr>
          <w:b w:val="0"/>
          <w:i w:val="0"/>
        </w:rPr>
        <w:t xml:space="preserve"> dan</w:t>
      </w:r>
      <w:r>
        <w:rPr>
          <w:b/>
          <w:i w:val="0"/>
        </w:rPr>
        <w:t xml:space="preserve"> fraud control</w:t>
      </w:r>
      <w:r>
        <w:rPr>
          <w:b w:val="0"/>
          <w:i w:val="0"/>
        </w:rPr>
        <w:t>.</w:t>
      </w:r>
    </w:p>
    <w:p>
      <w:pPr>
        <w:pStyle w:val="Heading2"/>
      </w:pPr>
      <w:r>
        <w:rPr>
          <w:rFonts w:ascii="Arial" w:hAnsi="Arial"/>
          <w:b/>
          <w:color w:val="777973"/>
        </w:rPr>
        <w:t>2.2 Business Context</w:t>
      </w:r>
    </w:p>
    <w:p>
      <w:r>
        <w:rPr>
          <w:b w:val="0"/>
          <w:i w:val="0"/>
        </w:rPr>
        <w:t>Pada Januari 2026, laba bersih Bank Mandiri mencapai Rp4,65 triliun (+16,18 % YoY) dan kredit tumbuh 15,62 % YoY (bankmandiri.co.id, 2026). Aktivitas</w:t>
      </w:r>
      <w:r>
        <w:rPr>
          <w:b/>
          <w:i w:val="0"/>
        </w:rPr>
        <w:t xml:space="preserve"> transaksi digital</w:t>
      </w:r>
      <w:r>
        <w:rPr>
          <w:b w:val="0"/>
          <w:i w:val="0"/>
        </w:rPr>
        <w:t xml:space="preserve"> meningkat tajam, didorong layanan</w:t>
      </w:r>
      <w:r>
        <w:rPr>
          <w:b/>
          <w:i w:val="0"/>
        </w:rPr>
        <w:t xml:space="preserve"> Livin' by Mandiri</w:t>
      </w:r>
      <w:r>
        <w:rPr>
          <w:b w:val="0"/>
          <w:i w:val="0"/>
        </w:rPr>
        <w:t xml:space="preserve"> yang dipastikan siap selama libur Idul Fitri (bankmandiri.co.id, 2026). Visi jangka panjang 2025‑2029 menegaskan posisi sebagai institusi keuangan terbaik di Asia Tenggara (bankmandiri.co.id, 2029). Pada awal 2026, kinerja solid ini tercermin dalam peningkatan aktivitas nasabah (instagram.com, 2026).</w:t>
      </w:r>
    </w:p>
    <w:p>
      <w:pPr>
        <w:pStyle w:val="Heading2"/>
      </w:pPr>
      <w:r>
        <w:rPr>
          <w:rFonts w:ascii="Arial" w:hAnsi="Arial"/>
          <w:b/>
          <w:color w:val="777973"/>
        </w:rPr>
        <w:t>2.3 Key Challenge</w:t>
      </w:r>
    </w:p>
    <w:p>
      <w:r>
        <w:rPr>
          <w:b w:val="0"/>
          <w:i w:val="0"/>
        </w:rPr>
        <w:t>Meskipun pertumbuhan digital kuat, Gelombang Uji Beban 1 menghadapi tiga tantangan kritis:</w:t>
      </w:r>
    </w:p>
    <w:p>
      <w:pPr>
        <w:pStyle w:val="ListBullet"/>
        <w:spacing w:before="0" w:after="80"/>
        <w:numPr>
          <w:ilvl w:val="0"/>
          <w:numId w:val="16"/>
        </w:numPr>
      </w:pPr>
      <w:r>
        <w:rPr>
          <w:b/>
          <w:i w:val="0"/>
        </w:rPr>
        <w:t>Prioritas kerja tersebar</w:t>
      </w:r>
      <w:r>
        <w:rPr>
          <w:b w:val="0"/>
          <w:i w:val="0"/>
        </w:rPr>
        <w:t xml:space="preserve"> – tim bisnis, IT, dan risk management beroperasi secara silo, menimbulkan duplikasi effort.</w:t>
      </w:r>
    </w:p>
    <w:p>
      <w:pPr>
        <w:pStyle w:val="ListBullet"/>
        <w:spacing w:before="0" w:after="80"/>
        <w:numPr>
          <w:ilvl w:val="0"/>
          <w:numId w:val="16"/>
        </w:numPr>
      </w:pPr>
      <w:r>
        <w:rPr>
          <w:b/>
          <w:i w:val="0"/>
        </w:rPr>
        <w:t>Koordinasi bisnis‑teknologi belum konsisten</w:t>
      </w:r>
      <w:r>
        <w:rPr>
          <w:b w:val="0"/>
          <w:i w:val="0"/>
        </w:rPr>
        <w:t xml:space="preserve"> – perubahan pada</w:t>
      </w:r>
      <w:r>
        <w:rPr>
          <w:b/>
          <w:i w:val="0"/>
        </w:rPr>
        <w:t xml:space="preserve"> core banking</w:t>
      </w:r>
      <w:r>
        <w:rPr>
          <w:b w:val="0"/>
          <w:i w:val="0"/>
        </w:rPr>
        <w:t xml:space="preserve"> tidak selalu terintegrasi dengan modul front‑end, meningkatkan risiko downtime.</w:t>
      </w:r>
    </w:p>
    <w:p>
      <w:pPr>
        <w:pStyle w:val="ListBullet"/>
        <w:spacing w:before="0" w:after="80"/>
        <w:numPr>
          <w:ilvl w:val="0"/>
          <w:numId w:val="16"/>
        </w:numPr>
      </w:pPr>
      <w:r>
        <w:rPr>
          <w:b/>
          <w:i w:val="0"/>
        </w:rPr>
        <w:t>Governance belum terstandardisasi</w:t>
      </w:r>
      <w:r>
        <w:rPr>
          <w:b w:val="0"/>
          <w:i w:val="0"/>
        </w:rPr>
        <w:t xml:space="preserve"> – tidak ada kerangka kerja yang mengikat keputusan lintas unit pada satu proses persetujuan.</w:t>
      </w:r>
    </w:p>
    <w:p>
      <w:pPr>
        <w:pStyle w:val="Heading2"/>
      </w:pPr>
      <w:r>
        <w:rPr>
          <w:rFonts w:ascii="Arial" w:hAnsi="Arial"/>
          <w:b/>
          <w:color w:val="777973"/>
        </w:rPr>
        <w:t>2.4 Underlying Gap</w:t>
      </w:r>
    </w:p>
    <w:p>
      <w:pPr>
        <w:pStyle w:val="ListBullet"/>
        <w:spacing w:before="0" w:after="80"/>
        <w:numPr>
          <w:ilvl w:val="0"/>
          <w:numId w:val="17"/>
        </w:numPr>
      </w:pPr>
      <w:r>
        <w:rPr>
          <w:b/>
          <w:i w:val="0"/>
        </w:rPr>
        <w:t>Scope definition</w:t>
      </w:r>
      <w:r>
        <w:rPr>
          <w:b w:val="0"/>
          <w:i w:val="0"/>
        </w:rPr>
        <w:t>: saat ini bersifat ad‑hoc tanpa SLA terperinci; target adalah Work Breakdown Structure (WBS) yang terhubung ke KPI digital (MAU, transaksi per bulan).</w:t>
      </w:r>
    </w:p>
    <w:p>
      <w:pPr>
        <w:pStyle w:val="ListBullet"/>
        <w:spacing w:before="0" w:after="80"/>
        <w:numPr>
          <w:ilvl w:val="0"/>
          <w:numId w:val="17"/>
        </w:numPr>
      </w:pPr>
      <w:r>
        <w:rPr>
          <w:b/>
          <w:i w:val="0"/>
        </w:rPr>
        <w:t>Decision flow</w:t>
      </w:r>
      <w:r>
        <w:rPr>
          <w:b w:val="0"/>
          <w:i w:val="0"/>
        </w:rPr>
        <w:t>: bergantung pada email informal, latency &gt;48 jam; target SLA 24 jam melalui Change Advisory Board (CAB) berbasis TOGAF/ITIL.</w:t>
      </w:r>
    </w:p>
    <w:p>
      <w:pPr>
        <w:pStyle w:val="ListBullet"/>
        <w:spacing w:before="0" w:after="80"/>
        <w:numPr>
          <w:ilvl w:val="0"/>
          <w:numId w:val="17"/>
        </w:numPr>
      </w:pPr>
      <w:r>
        <w:rPr>
          <w:b/>
          <w:i w:val="0"/>
        </w:rPr>
        <w:t>Risk monitoring</w:t>
      </w:r>
      <w:r>
        <w:rPr>
          <w:b w:val="0"/>
          <w:i w:val="0"/>
        </w:rPr>
        <w:t>: hanya laporan bulanan audit internal; diperlukan dashboard real‑time</w:t>
      </w:r>
      <w:r>
        <w:rPr>
          <w:b/>
          <w:i w:val="0"/>
        </w:rPr>
        <w:t xml:space="preserve"> kepatuhan POJK</w:t>
      </w:r>
      <w:r>
        <w:rPr>
          <w:b w:val="0"/>
          <w:i w:val="0"/>
        </w:rPr>
        <w:t xml:space="preserve"> &amp; ISO 27001 dengan alert otomatis pada anomali</w:t>
      </w:r>
      <w:r>
        <w:rPr>
          <w:b/>
          <w:i w:val="0"/>
        </w:rPr>
        <w:t xml:space="preserve"> fraud control</w:t>
      </w:r>
      <w:r>
        <w:rPr>
          <w:b w:val="0"/>
          <w:i w:val="0"/>
        </w:rPr>
        <w:t>.</w:t>
      </w:r>
    </w:p>
    <w:p>
      <w:pPr>
        <w:pStyle w:val="Heading2"/>
      </w:pPr>
      <w:r>
        <w:rPr>
          <w:rFonts w:ascii="Arial" w:hAnsi="Arial"/>
          <w:b/>
          <w:color w:val="777973"/>
        </w:rPr>
        <w:t>2.5 Implication / Risk</w:t>
      </w:r>
    </w:p>
    <w:p>
      <w:pPr>
        <w:pStyle w:val="ListBullet"/>
        <w:spacing w:before="0" w:after="80"/>
        <w:numPr>
          <w:ilvl w:val="0"/>
          <w:numId w:val="18"/>
        </w:numPr>
      </w:pPr>
      <w:r>
        <w:rPr>
          <w:b/>
          <w:i w:val="0"/>
        </w:rPr>
        <w:t>Downtime layanan</w:t>
      </w:r>
      <w:r>
        <w:rPr>
          <w:b w:val="0"/>
          <w:i w:val="0"/>
        </w:rPr>
        <w:t xml:space="preserve"> pada fase rollout dapat menurunkan MAU dari baseline 10 juta ke &lt;8 juta, mengancam target 20 juta (Data Internal, 2026).</w:t>
      </w:r>
    </w:p>
    <w:p>
      <w:pPr>
        <w:pStyle w:val="ListBullet"/>
        <w:spacing w:before="0" w:after="80"/>
        <w:numPr>
          <w:ilvl w:val="0"/>
          <w:numId w:val="18"/>
        </w:numPr>
      </w:pPr>
      <w:r>
        <w:rPr>
          <w:b/>
          <w:i w:val="0"/>
        </w:rPr>
        <w:t>Kepatuhan POJK</w:t>
      </w:r>
      <w:r>
        <w:rPr>
          <w:b w:val="0"/>
          <w:i w:val="0"/>
        </w:rPr>
        <w:t xml:space="preserve"> terancam bila perubahan tidak terdokumentasi, berpotensi menimbulkan denda regulator.</w:t>
      </w:r>
    </w:p>
    <w:p>
      <w:pPr>
        <w:pStyle w:val="ListBullet"/>
        <w:spacing w:before="0" w:after="80"/>
        <w:numPr>
          <w:ilvl w:val="0"/>
          <w:numId w:val="18"/>
        </w:numPr>
      </w:pPr>
      <w:r>
        <w:rPr>
          <w:b/>
          <w:i w:val="0"/>
        </w:rPr>
        <w:t>Reputasi brand</w:t>
      </w:r>
      <w:r>
        <w:rPr>
          <w:b w:val="0"/>
          <w:i w:val="0"/>
        </w:rPr>
        <w:t xml:space="preserve"> tergerus bila</w:t>
      </w:r>
      <w:r>
        <w:rPr>
          <w:b/>
          <w:i w:val="0"/>
        </w:rPr>
        <w:t xml:space="preserve"> fraud control</w:t>
      </w:r>
      <w:r>
        <w:rPr>
          <w:b w:val="0"/>
          <w:i w:val="0"/>
        </w:rPr>
        <w:t xml:space="preserve"> gagal selama uji beban, mengingat eksposur nasabah meningkat selama libur Idul</w:t>
      </w:r>
    </w:p>
    <w:p>
      <w:pPr>
        <w:pStyle w:val="Heading2"/>
      </w:pPr>
      <w:r>
        <w:rPr>
          <w:rFonts w:ascii="Arial" w:hAnsi="Arial"/>
          <w:b/>
          <w:color w:val="777973"/>
        </w:rPr>
        <w:t>2.6 Need for Solution</w:t>
      </w:r>
    </w:p>
    <w:p>
      <w:pPr>
        <w:pStyle w:val="Heading3"/>
      </w:pPr>
      <w:r>
        <w:rPr>
          <w:rFonts w:ascii="Arial" w:hAnsi="Arial"/>
          <w:b/>
          <w:color w:val="777973"/>
        </w:rPr>
        <w:t>Rincian Inti</w:t>
      </w:r>
    </w:p>
    <w:p>
      <w:pPr>
        <w:pStyle w:val="ListNumber"/>
        <w:spacing w:before="0" w:after="80"/>
        <w:numPr>
          <w:ilvl w:val="0"/>
          <w:numId w:val="19"/>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Bank Mandiri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Kinerja PT Bank Mandiri (Persero) Tbk (BMRI) tetap solid pada awal 2026, didorong peningkatan aktivitas transaksi masyarakat dan akselerasi layanan digital. (instagram.com, 2026).</w:t>
      </w:r>
    </w:p>
    <w:p>
      <w:pPr>
        <w:pStyle w:val="ListBullet"/>
        <w:spacing w:before="0" w:after="80"/>
        <w:numPr>
          <w:ilvl w:val="0"/>
          <w:numId w:val="20"/>
        </w:numPr>
      </w:pPr>
      <w:r>
        <w:rPr>
          <w:b w:val="0"/>
          <w:i w:val="0"/>
        </w:rPr>
        <w:t>Pola definisi masalah membantu Bank Mandiri membedakan gejala operasional dari akar gap yang perlu diprioritaskan.</w:t>
      </w:r>
    </w:p>
    <w:p>
      <w:pPr>
        <w:pStyle w:val="ListBullet"/>
        <w:spacing w:before="0" w:after="80"/>
        <w:numPr>
          <w:ilvl w:val="0"/>
          <w:numId w:val="20"/>
        </w:numPr>
      </w:pPr>
      <w:r>
        <w:rPr>
          <w:b w:val="0"/>
          <w:i w:val="0"/>
        </w:rPr>
        <w:t>Untuk menjaga relevansi eksekusi, rumusan masalah harus tetap ditautkan ke KPI seperti Pertumbuhan transaksi digital nasabah dalam 4 bulan. | Kepatuhan &amp; risiko operasional (audit findings) membaik dalam 4 bulan. dan istilah kerja nasabah, core banking.</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Bank Mandiri, dan lebih berguna sebagai dokumen keputusan.</w:t>
      </w:r>
    </w:p>
    <w:p>
      <w:r>
        <w:br w:type="page"/>
      </w:r>
    </w:p>
    <w:p>
      <w:pPr>
        <w:pStyle w:val="Heading1"/>
        <w:jc w:val="center"/>
      </w:pPr>
      <w:r>
        <w:rPr>
          <w:color w:val="777973"/>
        </w:rPr>
        <w:t>BAB III – KLASIFIKASI KEBUTUHAN</w:t>
      </w:r>
    </w:p>
    <w:p>
      <w:r>
        <w:rPr>
          <w:b w:val="0"/>
          <w:i w:val="0"/>
        </w:rPr>
        <w:t>Bab klasifikasi kebutuhan untuk Bank Mandiri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Pertumbuhan transaksi digital nasabah dalam 4 bulan. | Kepatuhan &amp; risiko operasional (audit findings) membaik dalam 4 bulan. | Ketersediaan layanan digital meningkat dan insiden prioritas menurun dalam 4 bulan.. Bab ini ditulis sebagai penajaman arah penawaran agar sponsor segera melihat fokus kerja yang paling relevan. (Data Internal, 2026).</w:t>
      </w:r>
    </w:p>
    <w:p>
      <w:pPr>
        <w:pStyle w:val="Heading2"/>
      </w:pPr>
      <w:r>
        <w:rPr>
          <w:rFonts w:ascii="Arial" w:hAnsi="Arial"/>
          <w:b/>
          <w:color w:val="777973"/>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Bank Mandiri,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1: prioritas kerja masih tersebar, koordinasi bisnis-teknologi belum konsisten, dan dibutuhkan kejelasan ruang lingkup, deliverable... dan kaitannya dengan target bisnis Pertumbuhan transaksi digital nasabah dalam 4 bulan. | Kepatuhan &amp; risiko operasional (audit findings) membaik dalam 4 bulan. | Ketersediaan layanan digital meningkat dan insiden prioritas menurun dalam 4 bulan..</w:t>
      </w:r>
    </w:p>
    <w:p>
      <w:pPr>
        <w:pStyle w:val="Heading2"/>
      </w:pPr>
      <w:r>
        <w:rPr>
          <w:rFonts w:ascii="Arial" w:hAnsi="Arial"/>
          <w:b/>
          <w:color w:val="777973"/>
        </w:rPr>
        <w:t>3.2 Tujuan Utama dan Jenis Proyek</w:t>
      </w:r>
    </w:p>
    <w:p>
      <w:r>
        <w:rPr>
          <w:b w:val="0"/>
          <w:i w:val="0"/>
        </w:rPr>
        <w:t>Dengan fokus kebutuhan yang sudah mengerucut, tujuan utama proyek dapat ditegaskan sebagai upaya membantu Bank Mandiri mencapai gelombang uji beban 1: penguatan tata kelola delivery, percepatan keputusan lintas unit, dan penyusunan roadmap eksekusi yang lebih... melalui model kerja</w:t>
      </w:r>
      <w:r>
        <w:rPr>
          <w:b/>
          <w:i w:val="0"/>
        </w:rPr>
        <w:t xml:space="preserve"> Transformation</w:t>
      </w:r>
      <w:r>
        <w:rPr>
          <w:b w:val="0"/>
          <w:i w:val="0"/>
        </w:rPr>
        <w:t>. Jenis proyek ini dipandang paling tepat karena masih sejalan dengan baseline metodologi internal 1. Readiness Assessment 2. Phased Rollout 3. Change Management 4. Hypercare,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Transformation</w:t>
      </w:r>
      <w:r>
        <w:rPr>
          <w:b w:val="0"/>
          <w:i w:val="0"/>
        </w:rPr>
        <w:t xml:space="preserve"> dipilih karena paling sesuai untuk menjaga outcome mobilisasi yang lebih cepat, kontrol risiko perubahan yang lebih baik, adopsi hasil yang lebih stabil tetap realistis dicapai oleh Bank Mandiri. - Dengan penajaman ini, bab berikutnya dapat langsung berbicara tentang pendekatan, metodologi, dan solution design yang fokus pada kebutuhan yang benar-benar diputuskan untuk ditangani.</w:t>
      </w:r>
    </w:p>
    <w:p>
      <w:pPr>
        <w:pStyle w:val="ListNumber"/>
        <w:spacing w:before="0" w:after="80"/>
        <w:numPr>
          <w:ilvl w:val="0"/>
          <w:numId w:val="21"/>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21"/>
        </w:numPr>
      </w:pPr>
      <w:r>
        <w:rPr>
          <w:b w:val="0"/>
          <w:i w:val="0"/>
        </w:rPr>
        <w:t>Keputusan delivery dan quality gate pada bab ini harus konsisten dengan istilah kerja nasabah, core banking. - Anchor inisiatif yang tetap dirujuk adalah Kinerja PT Bank Mandiri (Persero) Tbk (BMRI) tetap solid pada awal 2026, didorong peningkatan aktivitas transaksi masyarakat dan akselerasi layanan digital. (instagram.com, 2026).</w:t>
      </w:r>
    </w:p>
    <w:p>
      <w:r>
        <w:br w:type="page"/>
      </w:r>
    </w:p>
    <w:p>
      <w:pPr>
        <w:pStyle w:val="Heading1"/>
        <w:jc w:val="center"/>
      </w:pPr>
      <w:r>
        <w:rPr>
          <w:color w:val="777973"/>
        </w:rPr>
        <w:t>BAB IV – PENDEKATAN</w:t>
      </w:r>
    </w:p>
    <w:p>
      <w:pPr>
        <w:pStyle w:val="Heading2"/>
      </w:pPr>
      <w:r>
        <w:rPr>
          <w:rFonts w:ascii="Arial" w:hAnsi="Arial"/>
          <w:b/>
          <w:color w:val="777973"/>
        </w:rPr>
        <w:t>4.1 Acuan Prinsip/Framework/Teori/Regulasi</w:t>
      </w:r>
    </w:p>
    <w:p>
      <w:r>
        <w:rPr>
          <w:b w:val="0"/>
          <w:i w:val="0"/>
        </w:rPr>
        <w:t>Inixindo Jogja menyelesaikan</w:t>
      </w:r>
      <w:r>
        <w:rPr>
          <w:b/>
          <w:i w:val="0"/>
        </w:rPr>
        <w:t xml:space="preserve"> gelombang beban 1</w:t>
      </w:r>
      <w:r>
        <w:rPr>
          <w:b w:val="0"/>
          <w:i w:val="0"/>
        </w:rPr>
        <w:t xml:space="preserve"> dengan menggabungkan empat kerangka standar yang telah terbukti di perbankan:</w:t>
      </w:r>
      <w:r>
        <w:rPr>
          <w:b/>
          <w:i w:val="0"/>
        </w:rPr>
        <w:t xml:space="preserve"> TOGAF, ITIL, COBIT, ISO 27001</w:t>
      </w:r>
      <w:r>
        <w:rPr>
          <w:b w:val="0"/>
          <w:i w:val="0"/>
        </w:rPr>
        <w:t>.</w:t>
      </w:r>
    </w:p>
    <w:p>
      <w:pPr>
        <w:pStyle w:val="ListBullet"/>
        <w:spacing w:before="0" w:after="80"/>
        <w:numPr>
          <w:ilvl w:val="0"/>
          <w:numId w:val="22"/>
        </w:numPr>
      </w:pPr>
      <w:r>
        <w:rPr>
          <w:b/>
          <w:i w:val="0"/>
        </w:rPr>
        <w:t>TOGAF</w:t>
      </w:r>
      <w:r>
        <w:rPr>
          <w:b w:val="0"/>
          <w:i w:val="0"/>
        </w:rPr>
        <w:t xml:space="preserve"> – Enterprise Architecture. Memetakan alur end‑to‑end antara</w:t>
      </w:r>
      <w:r>
        <w:rPr>
          <w:b w:val="0"/>
          <w:i/>
        </w:rPr>
        <w:t xml:space="preserve"> core banking</w:t>
      </w:r>
      <w:r>
        <w:rPr>
          <w:b w:val="0"/>
          <w:i w:val="0"/>
        </w:rPr>
        <w:t>, kanal</w:t>
      </w:r>
      <w:r>
        <w:rPr>
          <w:b w:val="0"/>
          <w:i/>
        </w:rPr>
        <w:t xml:space="preserve"> Livin’</w:t>
      </w:r>
      <w:r>
        <w:rPr>
          <w:b w:val="0"/>
          <w:i w:val="0"/>
        </w:rPr>
        <w:t xml:space="preserve"> dan</w:t>
      </w:r>
      <w:r>
        <w:rPr>
          <w:b w:val="0"/>
          <w:i/>
        </w:rPr>
        <w:t xml:space="preserve"> Kopra</w:t>
      </w:r>
      <w:r>
        <w:rPr>
          <w:b w:val="0"/>
          <w:i w:val="0"/>
        </w:rPr>
        <w:t xml:space="preserve"> serta kontrol</w:t>
      </w:r>
      <w:r>
        <w:rPr>
          <w:b/>
          <w:i w:val="0"/>
        </w:rPr>
        <w:t xml:space="preserve"> fraud</w:t>
      </w:r>
      <w:r>
        <w:rPr>
          <w:b w:val="0"/>
          <w:i w:val="0"/>
        </w:rPr>
        <w:t>. Blueprint arsitektural ini mempercepat keputusan lintas unit sehingga target</w:t>
      </w:r>
      <w:r>
        <w:rPr>
          <w:b/>
          <w:i w:val="0"/>
        </w:rPr>
        <w:t xml:space="preserve"> pertumbuhan transaksi digital nasabah +20 %</w:t>
      </w:r>
      <w:r>
        <w:rPr>
          <w:b w:val="0"/>
          <w:i w:val="0"/>
        </w:rPr>
        <w:t xml:space="preserve"> dalam 4 bulan dapat dicapai (bankmandiri.co.id, 2026).</w:t>
      </w:r>
    </w:p>
    <w:p>
      <w:pPr>
        <w:pStyle w:val="ListBullet"/>
        <w:spacing w:before="0" w:after="80"/>
        <w:numPr>
          <w:ilvl w:val="0"/>
          <w:numId w:val="22"/>
        </w:numPr>
      </w:pPr>
      <w:r>
        <w:rPr>
          <w:b/>
          <w:i w:val="0"/>
        </w:rPr>
        <w:t>ITIL</w:t>
      </w:r>
      <w:r>
        <w:rPr>
          <w:b w:val="0"/>
          <w:i w:val="0"/>
        </w:rPr>
        <w:t xml:space="preserve"> – Service Management. Fokus pada</w:t>
      </w:r>
      <w:r>
        <w:rPr>
          <w:b w:val="0"/>
          <w:i/>
        </w:rPr>
        <w:t xml:space="preserve"> Change Enablement</w:t>
      </w:r>
      <w:r>
        <w:rPr>
          <w:b w:val="0"/>
          <w:i w:val="0"/>
        </w:rPr>
        <w:t xml:space="preserve"> dan</w:t>
      </w:r>
      <w:r>
        <w:rPr>
          <w:b w:val="0"/>
          <w:i/>
        </w:rPr>
        <w:t xml:space="preserve"> Continual Service Improvement</w:t>
      </w:r>
      <w:r>
        <w:rPr>
          <w:b w:val="0"/>
          <w:i w:val="0"/>
        </w:rPr>
        <w:t xml:space="preserve"> untuk menjaga</w:t>
      </w:r>
      <w:r>
        <w:rPr>
          <w:b/>
          <w:i w:val="0"/>
        </w:rPr>
        <w:t xml:space="preserve"> kepatuhan POJK</w:t>
      </w:r>
      <w:r>
        <w:rPr>
          <w:b w:val="0"/>
          <w:i w:val="0"/>
        </w:rPr>
        <w:t xml:space="preserve"> dan</w:t>
      </w:r>
      <w:r>
        <w:rPr>
          <w:b/>
          <w:i w:val="0"/>
        </w:rPr>
        <w:t xml:space="preserve"> risk appetite</w:t>
      </w:r>
      <w:r>
        <w:rPr>
          <w:b w:val="0"/>
          <w:i w:val="0"/>
        </w:rPr>
        <w:t xml:space="preserve"> selama</w:t>
      </w:r>
      <w:r>
        <w:rPr>
          <w:b w:val="0"/>
          <w:i/>
        </w:rPr>
        <w:t xml:space="preserve"> phased rollout</w:t>
      </w:r>
      <w:r>
        <w:rPr>
          <w:b w:val="0"/>
          <w:i w:val="0"/>
        </w:rPr>
        <w:t>. Proses terstandarisasi menurunkan insiden downtime menjadi &lt; 2 % (Data Internal, 2026).</w:t>
      </w:r>
    </w:p>
    <w:p>
      <w:pPr>
        <w:pStyle w:val="ListBullet"/>
        <w:spacing w:before="0" w:after="80"/>
        <w:numPr>
          <w:ilvl w:val="0"/>
          <w:numId w:val="22"/>
        </w:numPr>
      </w:pPr>
      <w:r>
        <w:rPr>
          <w:b/>
          <w:i w:val="0"/>
        </w:rPr>
        <w:t>COBIT</w:t>
      </w:r>
      <w:r>
        <w:rPr>
          <w:b w:val="0"/>
          <w:i w:val="0"/>
        </w:rPr>
        <w:t xml:space="preserve"> – Tata kelola TI. Menyelaraskan kontrol operasional dengan tujuan bisnis, khususnya</w:t>
      </w:r>
      <w:r>
        <w:rPr>
          <w:b/>
          <w:i w:val="0"/>
        </w:rPr>
        <w:t xml:space="preserve"> fraud control</w:t>
      </w:r>
      <w:r>
        <w:rPr>
          <w:b w:val="0"/>
          <w:i w:val="0"/>
        </w:rPr>
        <w:t xml:space="preserve"> dan audit internal. Metrik governance dapat dilaporkan ke regulator dalam 30 hari, meningkatkan skor GCG (youtube.com, 2025).</w:t>
      </w:r>
    </w:p>
    <w:p>
      <w:pPr>
        <w:pStyle w:val="ListBullet"/>
        <w:spacing w:before="0" w:after="80"/>
        <w:numPr>
          <w:ilvl w:val="0"/>
          <w:numId w:val="22"/>
        </w:numPr>
      </w:pPr>
      <w:r>
        <w:rPr>
          <w:b/>
          <w:i w:val="0"/>
        </w:rPr>
        <w:t>ISO 27001</w:t>
      </w:r>
      <w:r>
        <w:rPr>
          <w:b w:val="0"/>
          <w:i w:val="0"/>
        </w:rPr>
        <w:t xml:space="preserve"> – Manajemen keamanan informasi. Menjamin kerahasiaan data</w:t>
      </w:r>
      <w:r>
        <w:rPr>
          <w:b/>
          <w:i w:val="0"/>
        </w:rPr>
        <w:t xml:space="preserve"> nasabah</w:t>
      </w:r>
      <w:r>
        <w:rPr>
          <w:b w:val="0"/>
          <w:i w:val="0"/>
        </w:rPr>
        <w:t xml:space="preserve"> pada setiap migrasi, sehingga potensi breach turun &lt; 0,5 % (Data Internal, 2026).</w:t>
      </w:r>
    </w:p>
    <w:p>
      <w:r>
        <w:rPr>
          <w:b/>
          <w:i w:val="0"/>
        </w:rPr>
        <w:t>Rasional pemilihan</w:t>
      </w:r>
      <w:r>
        <w:rPr>
          <w:b w:val="0"/>
          <w:i w:val="0"/>
        </w:rPr>
        <w:t>: keempat kerangka saling melengkapi; TOGAF memberi struktur arsitektural, ITIL mengendalikan perubahan, COBIT menyediakan metrik governance yang dapat diverifikasi oleh BPK (yogyakarta.bpk.go.id, 2029), dan ISO 27001 menutup celah keamanan yang dapat men</w:t>
      </w:r>
    </w:p>
    <w:p>
      <w:pPr>
        <w:pStyle w:val="Heading2"/>
      </w:pPr>
      <w:r>
        <w:rPr>
          <w:rFonts w:ascii="Arial" w:hAnsi="Arial"/>
          <w:b/>
          <w:color w:val="777973"/>
        </w:rPr>
        <w:t>4.2 Standar Penyelesaian Masalah</w:t>
      </w:r>
    </w:p>
    <w:p>
      <w:pPr>
        <w:pStyle w:val="Heading3"/>
      </w:pPr>
      <w:r>
        <w:rPr>
          <w:rFonts w:ascii="Arial" w:hAnsi="Arial"/>
          <w:b/>
          <w:color w:val="777973"/>
        </w:rPr>
        <w:t>Rincian Inti</w:t>
      </w:r>
    </w:p>
    <w:p>
      <w:pPr>
        <w:pStyle w:val="ListNumber"/>
        <w:spacing w:before="0" w:after="80"/>
        <w:numPr>
          <w:ilvl w:val="0"/>
          <w:numId w:val="23"/>
        </w:numPr>
      </w:pPr>
      <w:r>
        <w:rPr>
          <w:b w:val="0"/>
          <w:i w:val="0"/>
        </w:rPr>
        <w:t>Aktivitas utama pada bagian ini disesuaikan langsung dengan kebutuhan bisnis klien. - Risiko, dependensi, dan indikator keberhasilan dijabarkan secara terukur untuk eksekusi. - Untuk Bank Mandiri, isi bab ini tetap diarahkan pada keputusan dan langkah kerja yang konkret.</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24"/>
        </w:numPr>
      </w:pPr>
      <w:r>
        <w:rPr>
          <w:b w:val="0"/>
          <w:i w:val="0"/>
        </w:rPr>
        <w:t>Implikasi eksekusinya harus tetap jelas agar sponsor dan tim delivery dapat menurunkan isi bab ini menjadi tindakan yang konkret.</w:t>
      </w:r>
    </w:p>
    <w:p>
      <w:pPr>
        <w:pStyle w:val="ListBullet"/>
        <w:spacing w:before="0" w:after="80"/>
        <w:numPr>
          <w:ilvl w:val="0"/>
          <w:numId w:val="24"/>
        </w:numPr>
      </w:pPr>
      <w:r>
        <w:rPr>
          <w:b w:val="0"/>
          <w:i w:val="0"/>
        </w:rPr>
        <w:t>Dengan pendekatan ini, narasi proposal tetap terhubung pada kebutuhan bisnis sekaligus tidak kehilangan kontrol implementasi.</w:t>
      </w:r>
    </w:p>
    <w:p>
      <w:r>
        <w:br w:type="page"/>
      </w:r>
    </w:p>
    <w:p>
      <w:pPr>
        <w:pStyle w:val="Heading1"/>
        <w:jc w:val="center"/>
      </w:pPr>
      <w:r>
        <w:rPr>
          <w:color w:val="777973"/>
        </w:rPr>
        <w:t>BAB V – METODOLOGI</w:t>
      </w:r>
    </w:p>
    <w:p>
      <w:pPr>
        <w:pStyle w:val="Heading2"/>
      </w:pPr>
      <w:r>
        <w:rPr>
          <w:rFonts w:ascii="Arial" w:hAnsi="Arial"/>
          <w:b/>
          <w:color w:val="777973"/>
        </w:rPr>
        <w:t>5.1 Alasan Pemilihan Metodologi</w:t>
      </w:r>
    </w:p>
    <w:p>
      <w:r>
        <w:rPr>
          <w:b w:val="0"/>
          <w:i w:val="0"/>
        </w:rPr>
        <w:t>Bank Mandiri mencatat laba bersih Rp4,65 triliun pada Januari 2026 (bankmandiri.co.id, 2026) dan meningkatkan layanan digital melalui Livin' by Mandiri (bankmandiri.co.id, 2026). Gelombang uji beban 1 menuntut</w:t>
      </w:r>
      <w:r>
        <w:rPr>
          <w:b/>
          <w:i w:val="0"/>
        </w:rPr>
        <w:t xml:space="preserve"> penguatan tata kelola delivery</w:t>
      </w:r>
      <w:r>
        <w:rPr>
          <w:b w:val="0"/>
          <w:i w:val="0"/>
        </w:rPr>
        <w:t>, percepatan keputusan lintas unit, serta roadmap terukur dalam 4 bulan. Metodologi Inixindo Jogja dipilih karena:</w:t>
      </w:r>
    </w:p>
    <w:p>
      <w:pPr>
        <w:pStyle w:val="ListNumber"/>
        <w:spacing w:before="0" w:after="80"/>
        <w:numPr>
          <w:ilvl w:val="0"/>
          <w:numId w:val="25"/>
        </w:numPr>
      </w:pPr>
      <w:r>
        <w:rPr>
          <w:b/>
          <w:i w:val="0"/>
        </w:rPr>
        <w:t>Kesesuaian standar industri</w:t>
      </w:r>
      <w:r>
        <w:rPr>
          <w:b w:val="0"/>
          <w:i w:val="0"/>
        </w:rPr>
        <w:t xml:space="preserve"> – TOGAF menghubungkan visi jangka panjang (bankmandiri.co.id, 2029) dengan arsitektur core banking; ITIL &amp; COBIT menstandarisasi service transition, operasi, dan kontrol fraud; ISO 27001 menjamin keamanan data nasabah selama rollout.</w:t>
      </w:r>
    </w:p>
    <w:p>
      <w:pPr>
        <w:pStyle w:val="ListNumber"/>
        <w:spacing w:before="0" w:after="80"/>
        <w:numPr>
          <w:ilvl w:val="0"/>
          <w:numId w:val="25"/>
        </w:numPr>
      </w:pPr>
      <w:r>
        <w:rPr>
          <w:b/>
          <w:i w:val="0"/>
        </w:rPr>
        <w:t>Pendekatan berlapis</w:t>
      </w:r>
      <w:r>
        <w:rPr>
          <w:b w:val="0"/>
          <w:i w:val="0"/>
        </w:rPr>
        <w:t xml:space="preserve"> – Kombinasi</w:t>
      </w:r>
      <w:r>
        <w:rPr>
          <w:b w:val="0"/>
          <w:i/>
        </w:rPr>
        <w:t xml:space="preserve"> Readiness Assessment</w:t>
      </w:r>
      <w:r>
        <w:rPr>
          <w:b w:val="0"/>
          <w:i w:val="0"/>
        </w:rPr>
        <w:t>,</w:t>
      </w:r>
      <w:r>
        <w:rPr>
          <w:b w:val="0"/>
          <w:i/>
        </w:rPr>
        <w:t xml:space="preserve"> Phased Rollout</w:t>
      </w:r>
      <w:r>
        <w:rPr>
          <w:b w:val="0"/>
          <w:i w:val="0"/>
        </w:rPr>
        <w:t>,</w:t>
      </w:r>
      <w:r>
        <w:rPr>
          <w:b w:val="0"/>
          <w:i/>
        </w:rPr>
        <w:t xml:space="preserve"> Change Management</w:t>
      </w:r>
      <w:r>
        <w:rPr>
          <w:b w:val="0"/>
          <w:i w:val="0"/>
        </w:rPr>
        <w:t>, dan</w:t>
      </w:r>
      <w:r>
        <w:rPr>
          <w:b w:val="0"/>
          <w:i/>
        </w:rPr>
        <w:t xml:space="preserve"> Hypercare</w:t>
      </w:r>
      <w:r>
        <w:rPr>
          <w:b w:val="0"/>
          <w:i w:val="0"/>
        </w:rPr>
        <w:t xml:space="preserve"> memungkinkan identifikasi gap awal, mitigasi downtime, dan stabilisasi pasca‑implementasi, sehingga risiko sistem down yang dapat merusak reputasi dapat ditekan (Data Internal, 2026).</w:t>
      </w:r>
    </w:p>
    <w:p>
      <w:pPr>
        <w:pStyle w:val="ListNumber"/>
        <w:spacing w:before="0" w:after="80"/>
        <w:numPr>
          <w:ilvl w:val="0"/>
          <w:numId w:val="25"/>
        </w:numPr>
      </w:pPr>
      <w:r>
        <w:rPr>
          <w:b/>
          <w:i w:val="0"/>
        </w:rPr>
        <w:t>Kecepatan &amp; skalabilitas</w:t>
      </w:r>
      <w:r>
        <w:rPr>
          <w:b w:val="0"/>
          <w:i w:val="0"/>
        </w:rPr>
        <w:t xml:space="preserve"> – Siklus keputusan lintas unit dirancang dua minggu, selaras dengan target pertumbuhan transaksi digital nasabah dalam 4 bulan (KPI Blueprint).</w:t>
      </w:r>
    </w:p>
    <w:p>
      <w:pPr>
        <w:pStyle w:val="ListNumber"/>
        <w:spacing w:before="0" w:after="80"/>
        <w:numPr>
          <w:ilvl w:val="0"/>
          <w:numId w:val="25"/>
        </w:numPr>
      </w:pPr>
      <w:r>
        <w:rPr>
          <w:b/>
          <w:i w:val="0"/>
        </w:rPr>
        <w:t>Rekam jejak governance</w:t>
      </w:r>
      <w:r>
        <w:rPr>
          <w:b w:val="0"/>
          <w:i w:val="0"/>
        </w:rPr>
        <w:t xml:space="preserve"> – Bank Mandiri memperoleh penghargaan “Best in Class Banking GCG” (youtube.com, 2025) dan lima penghargaan Bank Indonesia Award 2025 (facebook.com, 2025), menegaskan budaya kontrol yang kuat; metodologi kami menambah lapisan audit terintegrasi untuk memperkuat fondasi tersebut.</w:t>
      </w:r>
    </w:p>
    <w:p>
      <w:r>
        <w:rPr>
          <w:b w:val="0"/>
          <w:i w:val="0"/>
        </w:rPr>
        <w:t>Dengan landasan tersebut, metodologi menjadi satu‑pintu yang menghubungkan visi strategis dengan eksekusi operasional yang terukur.</w:t>
      </w:r>
    </w:p>
    <w:p>
      <w:pPr>
        <w:pStyle w:val="Heading2"/>
      </w:pPr>
      <w:r>
        <w:rPr>
          <w:rFonts w:ascii="Arial" w:hAnsi="Arial"/>
          <w:b/>
          <w:color w:val="777973"/>
        </w:rPr>
        <w:t>5.2 Langkah Kerja dengan Framework Terpilih</w:t>
      </w:r>
    </w:p>
    <w:p>
      <w:r>
        <w:rPr>
          <w:b w:val="0"/>
          <w:i w:val="0"/>
        </w:rPr>
        <w:t>Berikut alur tahapan metodologi selama 4 bulan, disusun dalam bentuk bullet bertingkat (fase → aktivitas → output).</w:t>
      </w:r>
    </w:p>
    <w:p>
      <w:pPr>
        <w:pStyle w:val="ListNumber"/>
        <w:spacing w:before="0" w:after="80"/>
        <w:numPr>
          <w:ilvl w:val="0"/>
          <w:numId w:val="26"/>
        </w:numPr>
      </w:pPr>
      <w:r>
        <w:rPr>
          <w:b/>
          <w:i w:val="0"/>
        </w:rPr>
        <w:t>Readiness Assessment</w:t>
      </w:r>
      <w:r>
        <w:rPr>
          <w:b w:val="0"/>
          <w:i w:val="0"/>
        </w:rPr>
        <w:t xml:space="preserve"> – berbasis TOGAF &amp; ISO 27001 -</w:t>
      </w:r>
      <w:r>
        <w:rPr>
          <w:b w:val="0"/>
          <w:i/>
        </w:rPr>
        <w:t xml:space="preserve"> Aktivitas</w:t>
      </w:r>
      <w:r>
        <w:rPr>
          <w:b w:val="0"/>
          <w:i w:val="0"/>
        </w:rPr>
        <w:t>: audit kepatuhan POJK, penilaian keamanan core banking, survei kesiapan tim (risk appetite, fraud control). -</w:t>
      </w:r>
      <w:r>
        <w:rPr>
          <w:b w:val="0"/>
          <w:i/>
        </w:rPr>
        <w:t xml:space="preserve"> Output</w:t>
      </w:r>
      <w:r>
        <w:rPr>
          <w:b w:val="0"/>
          <w:i w:val="0"/>
        </w:rPr>
        <w:t>: Gap analysis terstruktur (skor ≥ 80 % = siap), rencana mitigasi prioritas (downtime &lt; 2 % selama rollout).</w:t>
      </w:r>
    </w:p>
    <w:p>
      <w:pPr>
        <w:pStyle w:val="ListNumber"/>
        <w:spacing w:before="0" w:after="80"/>
        <w:numPr>
          <w:ilvl w:val="0"/>
          <w:numId w:val="26"/>
        </w:numPr>
      </w:pPr>
      <w:r>
        <w:rPr>
          <w:b/>
          <w:i w:val="0"/>
        </w:rPr>
        <w:t>Phased Rollout</w:t>
      </w:r>
      <w:r>
        <w:rPr>
          <w:b w:val="0"/>
          <w:i w:val="0"/>
        </w:rPr>
        <w:t xml:space="preserve"> – mengacu pada ITIL Service Transition -</w:t>
      </w:r>
      <w:r>
        <w:rPr>
          <w:b/>
          <w:i w:val="0"/>
        </w:rPr>
        <w:t xml:space="preserve"> Fase A – Pilot (Minggu 1‑2)</w:t>
      </w:r>
      <w:r>
        <w:rPr>
          <w:b w:val="0"/>
          <w:i w:val="0"/>
        </w:rPr>
        <w:t xml:space="preserve"> - Deploy modul beban pada kanal Livin' by Mandiri; monitoring MAU + 5 % dan insiden keamanan &lt; 1. - Output: laporan performa awal, keputusan go‑no‑go untuk skala berikutnya. -</w:t>
      </w:r>
      <w:r>
        <w:rPr>
          <w:b/>
          <w:i w:val="0"/>
        </w:rPr>
        <w:t xml:space="preserve"> Fase B – Scale‑out (Minggu 3‑6)</w:t>
      </w:r>
      <w:r>
        <w:rPr>
          <w:b w:val="0"/>
          <w:i w:val="0"/>
        </w:rPr>
        <w:t xml:space="preserve"> - Ekspansi ke tiga kanal tambahan (core banking, mobile, ATM); integrasi kontrol fraud dan audit log otomatis. - Output: peningkatan transaksi digital ≥ 10 % dan audit log 100 % tercover. -</w:t>
      </w:r>
      <w:r>
        <w:rPr>
          <w:b/>
          <w:i w:val="0"/>
        </w:rPr>
        <w:t xml:space="preserve"> Fase C – Full‑Launch (Minggu 7‑12)</w:t>
      </w:r>
      <w:r>
        <w:rPr>
          <w:b w:val="0"/>
          <w:i w:val="0"/>
        </w:rPr>
        <w:t xml:space="preserve"> - Aktivasi seluruh jaringan gelombang beban 1; validasi kepatuhan POJK dan audit internal. - Output: layanan tersedia ≥ 99,8 % dan laporan kepatuhan final.</w:t>
      </w:r>
    </w:p>
    <w:p>
      <w:pPr>
        <w:pStyle w:val="ListNumber"/>
        <w:spacing w:before="0" w:after="80"/>
        <w:numPr>
          <w:ilvl w:val="0"/>
          <w:numId w:val="26"/>
        </w:numPr>
      </w:pPr>
      <w:r>
        <w:rPr>
          <w:b/>
          <w:i w:val="0"/>
        </w:rPr>
        <w:t>Change Management</w:t>
      </w:r>
      <w:r>
        <w:rPr>
          <w:b w:val="0"/>
          <w:i w:val="0"/>
        </w:rPr>
        <w:t xml:space="preserve"> – berbasis COBIT 5 -</w:t>
      </w:r>
      <w:r>
        <w:rPr>
          <w:b w:val="0"/>
          <w:i/>
        </w:rPr>
        <w:t xml:space="preserve"> Aktivitas</w:t>
      </w:r>
      <w:r>
        <w:rPr>
          <w:b w:val="0"/>
          <w:i w:val="0"/>
        </w:rPr>
        <w:t>: workshop lintas unit (bisnis, TI, risiko) untuk sinkronisasi keputusan; komunikasi in‑app ke nasabah. -</w:t>
      </w:r>
      <w:r>
        <w:rPr>
          <w:b w:val="0"/>
          <w:i/>
        </w:rPr>
        <w:t xml:space="preserve"> Output</w:t>
      </w:r>
      <w:r>
        <w:rPr>
          <w:b w:val="0"/>
          <w:i w:val="0"/>
        </w:rPr>
        <w:t>: SOP baru ter‑embed dalam governance board, tingkat adopsi</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27"/>
        </w:numPr>
      </w:pPr>
      <w:r>
        <w:rPr>
          <w:b w:val="0"/>
          <w:i w:val="0"/>
        </w:rPr>
        <w:t>Implikasi eksekusinya harus tetap jelas agar sponsor dan tim delivery dapat menurunkan isi bab ini menjadi tindakan yang konkret.</w:t>
      </w:r>
    </w:p>
    <w:p>
      <w:pPr>
        <w:pStyle w:val="ListBullet"/>
        <w:spacing w:before="0" w:after="80"/>
        <w:numPr>
          <w:ilvl w:val="0"/>
          <w:numId w:val="27"/>
        </w:numPr>
      </w:pPr>
      <w:r>
        <w:rPr>
          <w:b w:val="0"/>
          <w:i w:val="0"/>
        </w:rPr>
        <w:t>Dengan pendekatan ini, narasi proposal tetap terhubung pada kebutuhan bisnis sekaligus tidak kehilangan kontrol implementasi.</w:t>
      </w:r>
    </w:p>
    <w:p>
      <w:r>
        <w:rPr>
          <w:b w:val="0"/>
          <w:i w:val="0"/>
        </w:rPr>
        <w:t>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Bank Mandiri. Artinya, isi bab tidak berhenti pada deskripsi, tetapi tetap menunjukkan keterkaitan antara keputusan kerja, KPI Pertumbuhan transaksi digital nasabah dalam 4 bulan. | Kepatuhan &amp; risiko operasional (audit findings) membaik dalam 4 bulan., bahasa operasional nasabah, core banking, dan konteks inisiatif yang sedang dijalankan.</w:t>
      </w:r>
    </w:p>
    <w:p>
      <w:r>
        <w:br w:type="page"/>
      </w:r>
    </w:p>
    <w:p>
      <w:pPr>
        <w:pStyle w:val="Heading1"/>
        <w:jc w:val="center"/>
      </w:pPr>
      <w:r>
        <w:rPr>
          <w:color w:val="777973"/>
        </w:rPr>
        <w:t>BAB VI – SOLUTION DESIGN</w:t>
      </w:r>
    </w:p>
    <w:p>
      <w:r>
        <w:rPr>
          <w:b w:val="0"/>
          <w:i w:val="0"/>
        </w:rPr>
        <w:t>Solution design untuk Bank Mandiri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1: penguatan tata kelola delivery, percepatan keputusan lintas unit, dan penyusunan roadmap eksekusi yang lebih... secara nyata. Dengan pendekatan ini, desain solusi tetap terhubung ke KPI seperti Pertumbuhan transaksi digital nasabah dalam 4 bulan. | Kepatuhan &amp; risiko operasional (audit findings) membaik dalam 4 bulan. | Ketersediaan layanan digital meningkat dan insiden prioritas menurun dalam 4 bulan., sekaligus menjaga nilai proposal tetap terasa konkret dan dapat dijalankan (Data Internal, 2026).</w:t>
      </w:r>
    </w:p>
    <w:p>
      <w:pPr>
        <w:pStyle w:val="Heading2"/>
      </w:pPr>
      <w:r>
        <w:rPr>
          <w:rFonts w:ascii="Arial" w:hAnsi="Arial"/>
          <w:b/>
          <w:color w:val="777973"/>
        </w:rPr>
        <w:t>6.1 Solusi/Output Metodologi yang Dibangun</w:t>
      </w:r>
    </w:p>
    <w:p>
      <w:r>
        <w:rPr>
          <w:b w:val="0"/>
          <w:i w:val="0"/>
        </w:rPr>
        <w:t>Solusi yang ditawarkan diarahkan untuk membantu Bank Mandiri bergerak dari kebutuhan opportunity menuju kondisi target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nasabah, core banking, risk appetite. - Target state yang dibangun harus tetap selaras dengan manfaat yang dijanjikan, terutama mobilisasi yang lebih cepat, kontrol risiko perubahan yang lebih baik, adopsi hasil yang lebih stabil. - Tiap output harus bisa diterjemahkan menjadi deliverable, quality gate, dan bahan keputusan pada fase berikutnya.</w:t>
      </w:r>
    </w:p>
    <w:p>
      <w:pPr>
        <w:pStyle w:val="Heading2"/>
      </w:pPr>
      <w:r>
        <w:rPr>
          <w:rFonts w:ascii="Arial" w:hAnsi="Arial"/>
          <w:b/>
          <w:color w:val="777973"/>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Bank Mandiri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8"/>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28"/>
        </w:numPr>
      </w:pPr>
      <w:r>
        <w:rPr>
          <w:b w:val="0"/>
          <w:i w:val="0"/>
        </w:rPr>
        <w:t>Keputusan delivery dan quality gate pada bab ini harus konsisten dengan istilah kerja nasabah, core banking.</w:t>
      </w:r>
    </w:p>
    <w:p>
      <w:r>
        <w:br w:type="page"/>
      </w:r>
    </w:p>
    <w:p>
      <w:pPr>
        <w:pStyle w:val="Heading1"/>
        <w:jc w:val="center"/>
      </w:pPr>
      <w:r>
        <w:rPr>
          <w:color w:val="777973"/>
        </w:rPr>
        <w:t>BAB VII – RUANG LINGKUP PEKERJAAN</w:t>
      </w:r>
    </w:p>
    <w:p>
      <w:r>
        <w:rPr>
          <w:b w:val="0"/>
          <w:i w:val="0"/>
        </w:rPr>
        <w:t>Ruang lingkup pekerjaan untuk Bank Mandiri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77973"/>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1: penguatan tata kelola delivery, percepatan keputusan...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1: prioritas kerja masih tersebar, koordinasi bisnis-teknologi belum konsisten...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Bank Mandiri. Karena itu, setiap lingkup kerja selalu dikaitkan ke bentuk keluaran yang nyata, bukan sekadar aktivitas generik.</w:t>
      </w:r>
    </w:p>
    <w:p>
      <w:pPr>
        <w:pStyle w:val="Heading2"/>
      </w:pPr>
      <w:r>
        <w:rPr>
          <w:rFonts w:ascii="Arial" w:hAnsi="Arial"/>
          <w:b/>
          <w:color w:val="777973"/>
        </w:rPr>
        <w:t>7.2 Batasan Pekerjaan dan Asumsi</w:t>
      </w:r>
    </w:p>
    <w:p>
      <w:pPr>
        <w:pStyle w:val="ListNumber"/>
        <w:spacing w:before="0" w:after="80"/>
        <w:numPr>
          <w:ilvl w:val="0"/>
          <w:numId w:val="29"/>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29"/>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VIII – TIMELINE PEKERJAAN</w:t>
      </w:r>
    </w:p>
    <w:p>
      <w:r>
        <w:drawing>
          <wp:inline xmlns:a="http://schemas.openxmlformats.org/drawingml/2006/main" xmlns:pic="http://schemas.openxmlformats.org/drawingml/2006/picture">
            <wp:extent cx="5486400" cy="248536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85365"/>
                    </a:xfrm>
                    <a:prstGeom prst="rect"/>
                  </pic:spPr>
                </pic:pic>
              </a:graphicData>
            </a:graphic>
          </wp:inline>
        </w:drawing>
      </w:r>
    </w:p>
    <w:p>
      <w:r>
        <w:rPr>
          <w:b w:val="0"/>
          <w:i w:val="0"/>
        </w:rPr>
        <w:t>Untuk Bank Mandiri, timeline pekerjaan disusun agar inisiatif Gelombang uji beban 1: penguatan tata kelola delivery, percepatan keputusan lintas unit, dan penyusunan roadmap eksekusi yang lebih... dapat bergerak stabil selama 4 Bulan.</w:t>
      </w:r>
    </w:p>
    <w:p>
      <w:pPr>
        <w:pStyle w:val="Heading2"/>
      </w:pPr>
      <w:r>
        <w:rPr>
          <w:rFonts w:ascii="Arial" w:hAnsi="Arial"/>
          <w:b/>
          <w:color w:val="777973"/>
        </w:rPr>
        <w:t>8.1 Aktivitas per Fase</w:t>
      </w:r>
    </w:p>
    <w:p>
      <w:pPr>
        <w:pStyle w:val="ListNumber"/>
        <w:spacing w:before="0" w:after="80"/>
        <w:numPr>
          <w:ilvl w:val="0"/>
          <w:numId w:val="30"/>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30"/>
        </w:numPr>
      </w:pPr>
      <w:r>
        <w:rPr>
          <w:b/>
          <w:i w:val="0"/>
        </w:rPr>
        <w:t>Blueprint &amp; Mobilization</w:t>
      </w:r>
      <w:r>
        <w:rPr>
          <w:b w:val="0"/>
          <w:i w:val="0"/>
        </w:rPr>
        <w:t xml:space="preserve"> (Bulan 2): Tetapkan rancangan solusi, governance, dan model delivery. Output utama: blueprint, scope lock, dan mobilization plan.</w:t>
      </w:r>
    </w:p>
    <w:p>
      <w:pPr>
        <w:pStyle w:val="ListNumber"/>
        <w:spacing w:before="0" w:after="80"/>
        <w:numPr>
          <w:ilvl w:val="0"/>
          <w:numId w:val="30"/>
        </w:numPr>
      </w:pPr>
      <w:r>
        <w:rPr>
          <w:b/>
          <w:i w:val="0"/>
        </w:rPr>
        <w:t>Phased Rollout</w:t>
      </w:r>
      <w:r>
        <w:rPr>
          <w:b w:val="0"/>
          <w:i w:val="0"/>
        </w:rPr>
        <w:t xml:space="preserve"> (Bulan 3): Eksekusi perubahan prioritas melalui workstream terukur. Output utama: deliverable inti dan milestone rollout.</w:t>
      </w:r>
    </w:p>
    <w:p>
      <w:pPr>
        <w:pStyle w:val="ListNumber"/>
        <w:spacing w:before="0" w:after="80"/>
        <w:numPr>
          <w:ilvl w:val="0"/>
          <w:numId w:val="30"/>
        </w:numPr>
      </w:pPr>
      <w:r>
        <w:rPr>
          <w:b/>
          <w:i w:val="0"/>
        </w:rPr>
        <w:t>Hypercare &amp; Stabilization</w:t>
      </w:r>
      <w:r>
        <w:rPr>
          <w:b w:val="0"/>
          <w:i w:val="0"/>
        </w:rPr>
        <w:t xml:space="preserve"> (Bulan 4): Amankan adopsi, kualitas layanan, dan transisi operasi. Output utama: stabilization report dan next-step backlog.</w:t>
      </w:r>
    </w:p>
    <w:p>
      <w:pPr>
        <w:pStyle w:val="Heading2"/>
      </w:pPr>
      <w:r>
        <w:rPr>
          <w:rFonts w:ascii="Arial" w:hAnsi="Arial"/>
          <w:b/>
          <w:color w:val="777973"/>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Bank Mandiri.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opportunity</w:t>
            </w:r>
          </w:p>
        </w:tc>
      </w:tr>
      <w:tr>
        <w:tc>
          <w:tcPr>
            <w:tcW w:type="dxa" w:w="2340"/>
          </w:tcPr>
          <w:p>
            <w:r>
              <w:rPr>
                <w:b w:val="0"/>
                <w:i w:val="0"/>
              </w:rPr>
              <w:t>Blueprint &amp; Mobilization</w:t>
            </w:r>
          </w:p>
        </w:tc>
        <w:tc>
          <w:tcPr>
            <w:tcW w:type="dxa" w:w="2340"/>
          </w:tcPr>
          <w:p>
            <w:r>
              <w:rPr>
                <w:b w:val="0"/>
                <w:i w:val="0"/>
              </w:rPr>
              <w:t>Bulan 2</w:t>
            </w:r>
          </w:p>
        </w:tc>
        <w:tc>
          <w:tcPr>
            <w:tcW w:type="dxa" w:w="2340"/>
          </w:tcPr>
          <w:p>
            <w:r>
              <w:rPr>
                <w:b w:val="0"/>
                <w:i w:val="0"/>
              </w:rPr>
              <w:t>blueprint, scope lock, dan mobilization plan</w:t>
            </w:r>
          </w:p>
        </w:tc>
        <w:tc>
          <w:tcPr>
            <w:tcW w:type="dxa" w:w="2340"/>
          </w:tcPr>
          <w:p>
            <w:r>
              <w:rPr>
                <w:b w:val="0"/>
                <w:i w:val="0"/>
              </w:rPr>
              <w:t>Menjaga progres opportunity</w:t>
            </w:r>
          </w:p>
        </w:tc>
      </w:tr>
      <w:tr>
        <w:tc>
          <w:tcPr>
            <w:tcW w:type="dxa" w:w="2340"/>
          </w:tcPr>
          <w:p>
            <w:r>
              <w:rPr>
                <w:b w:val="0"/>
                <w:i w:val="0"/>
              </w:rPr>
              <w:t>Phased Rollout</w:t>
            </w:r>
          </w:p>
        </w:tc>
        <w:tc>
          <w:tcPr>
            <w:tcW w:type="dxa" w:w="2340"/>
          </w:tcPr>
          <w:p>
            <w:r>
              <w:rPr>
                <w:b w:val="0"/>
                <w:i w:val="0"/>
              </w:rPr>
              <w:t>Bulan 3</w:t>
            </w:r>
          </w:p>
        </w:tc>
        <w:tc>
          <w:tcPr>
            <w:tcW w:type="dxa" w:w="2340"/>
          </w:tcPr>
          <w:p>
            <w:r>
              <w:rPr>
                <w:b w:val="0"/>
                <w:i w:val="0"/>
              </w:rPr>
              <w:t>deliverable inti dan milestone rollout</w:t>
            </w:r>
          </w:p>
        </w:tc>
        <w:tc>
          <w:tcPr>
            <w:tcW w:type="dxa" w:w="2340"/>
          </w:tcPr>
          <w:p>
            <w:r>
              <w:rPr>
                <w:b w:val="0"/>
                <w:i w:val="0"/>
              </w:rPr>
              <w:t>Menjaga progres opportunity</w:t>
            </w:r>
          </w:p>
        </w:tc>
      </w:tr>
      <w:tr>
        <w:tc>
          <w:tcPr>
            <w:tcW w:type="dxa" w:w="2340"/>
          </w:tcPr>
          <w:p>
            <w:r>
              <w:rPr>
                <w:b w:val="0"/>
                <w:i w:val="0"/>
              </w:rPr>
              <w:t>Hypercare &amp; Stabilization</w:t>
            </w:r>
          </w:p>
        </w:tc>
        <w:tc>
          <w:tcPr>
            <w:tcW w:type="dxa" w:w="2340"/>
          </w:tcPr>
          <w:p>
            <w:r>
              <w:rPr>
                <w:b w:val="0"/>
                <w:i w:val="0"/>
              </w:rPr>
              <w:t>Bulan 4</w:t>
            </w:r>
          </w:p>
        </w:tc>
        <w:tc>
          <w:tcPr>
            <w:tcW w:type="dxa" w:w="2340"/>
          </w:tcPr>
          <w:p>
            <w:r>
              <w:rPr>
                <w:b w:val="0"/>
                <w:i w:val="0"/>
              </w:rPr>
              <w:t>stabilization report dan next-step backlog</w:t>
            </w:r>
          </w:p>
        </w:tc>
        <w:tc>
          <w:tcPr>
            <w:tcW w:type="dxa" w:w="2340"/>
          </w:tcPr>
          <w:p>
            <w:r>
              <w:rPr>
                <w:b w:val="0"/>
                <w:i w:val="0"/>
              </w:rPr>
              <w:t>Menjaga progres opportunity</w:t>
            </w:r>
          </w:p>
        </w:tc>
      </w:tr>
      <w:tr>
        <w:tc>
          <w:tcPr>
            <w:tcW w:type="dxa" w:w="2340"/>
          </w:tcPr>
          <w:p>
            <w:r>
              <w:rPr>
                <w:b w:val="0"/>
                <w:i w:val="0"/>
              </w:rPr>
              <w:t>- Konteks Bank Mandiri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r>
        <w:tc>
          <w:tcPr>
            <w:tcW w:type="dxa" w:w="2340"/>
          </w:tcPr>
          <w:p>
            <w:r>
              <w:rPr>
                <w:b w:val="0"/>
                <w:i w:val="0"/>
              </w:rPr>
              <w:t>- KPI acuan yang tetap dijaga pada bab ini adalah Pertumbuhan transaksi digital nasabah dalam 4 bulan.</w:t>
            </w:r>
          </w:p>
        </w:tc>
        <w:tc>
          <w:tcPr>
            <w:tcW w:type="dxa" w:w="2340"/>
          </w:tcPr>
          <w:p>
            <w:r>
              <w:rPr>
                <w:b w:val="0"/>
                <w:i w:val="0"/>
              </w:rPr>
              <w:t>Kepatuhan &amp; risiko operasional (audit findings) membaik dalam 4 bulan..</w:t>
            </w:r>
          </w:p>
        </w:tc>
        <w:tc>
          <w:tcPr>
            <w:tcW w:type="dxa" w:w="2340"/>
          </w:tcPr>
          <w:p/>
        </w:tc>
        <w:tc>
          <w:tcPr>
            <w:tcW w:type="dxa" w:w="2340"/>
          </w:tcPr>
          <w:p/>
        </w:tc>
      </w:tr>
    </w:tbl>
    <w:p>
      <w:r>
        <w:br w:type="page"/>
      </w:r>
    </w:p>
    <w:p>
      <w:pPr>
        <w:pStyle w:val="Heading1"/>
        <w:jc w:val="center"/>
      </w:pPr>
      <w:r>
        <w:rPr>
          <w:color w:val="777973"/>
        </w:rPr>
        <w:t>BAB IX – TATA KELOLA PROYEK</w:t>
      </w:r>
    </w:p>
    <w:p>
      <w:r>
        <w:rPr>
          <w:b w:val="0"/>
          <w:i w:val="0"/>
        </w:rPr>
        <w:t>Tata kelola proyek untuk Bank Mandiri dirancang agar keputusan strategis, kontrol eksekusi, dan penanganan risiko berjalan dalam satu sistem kerja yang konsisten. Fokusnya adalah menjaga gelombang uji beban 1: penguatan tata kelola delivery, percepatan keputusan lintas unit, dan penyusunan roadmap eksekusi yang lebih...</w:t>
      </w:r>
    </w:p>
    <w:p>
      <w:pPr>
        <w:pStyle w:val="Heading2"/>
      </w:pPr>
      <w:r>
        <w:rPr>
          <w:rFonts w:ascii="Arial" w:hAnsi="Arial"/>
          <w:b/>
          <w:color w:val="777973"/>
        </w:rPr>
        <w:t>9.1 Mekanisme Pengambilan Keputusan</w:t>
      </w:r>
    </w:p>
    <w:p>
      <w:pPr>
        <w:pStyle w:val="ListNumber"/>
        <w:spacing w:before="0" w:after="80"/>
        <w:numPr>
          <w:ilvl w:val="0"/>
          <w:numId w:val="31"/>
        </w:numPr>
      </w:pPr>
      <w:r>
        <w:rPr>
          <w:b/>
          <w:i w:val="0"/>
        </w:rPr>
        <w:t>Steering Committee</w:t>
      </w:r>
      <w:r>
        <w:rPr>
          <w:b w:val="0"/>
          <w:i w:val="0"/>
        </w:rPr>
        <w:t xml:space="preserve"> menetapkan arah, prioritas, dan keputusan yang berdampak pada scope, biaya, atau timeline program Bank Mandiri.</w:t>
      </w:r>
    </w:p>
    <w:p>
      <w:pPr>
        <w:pStyle w:val="ListNumber"/>
        <w:spacing w:before="0" w:after="80"/>
        <w:numPr>
          <w:ilvl w:val="0"/>
          <w:numId w:val="31"/>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1"/>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1"/>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77973"/>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Bank Mandiri, pengendalian semacam ini penting karena program gelombang uji beban 1: penguatan tata kelola delivery, percepatan keputusan lintas unit, dan penyusunan roadmap eksekusi yang lebih... berpotensi melibatkan banyak dependency dan keputusan cepat. - Konteks Bank Mandiri tetap menjadi acuan utama agar isi bab tidak bergeser menjadi generik. - Setiap butir pada bab ini harus bisa ditelusuri ke KPI, risiko, atau keputusan kerja yang nyata.</w:t>
      </w:r>
    </w:p>
    <w:p>
      <w:r>
        <w:rPr>
          <w:b w:val="0"/>
          <w:i w:val="0"/>
        </w:rPr>
        <w:t>Untuk Bank Mandiri, isi bab ini harus dibaca sebagai dasar keputusan kerja yang dapat ditindaklanjuti, bukan sekadar penjelasan konseptual. Karena itu, isi bab tetap diarahkan untuk menjaga relevansi terhadap KPI seperti Pertumbuhan transaksi digital nasabah dalam 4 bulan. | Kepatuhan &amp; risiko operasional (audit findings) membaik dalam 4 bulan. dan istilah kerja nasabah, core banking.</w:t>
      </w:r>
    </w:p>
    <w:p>
      <w:pPr>
        <w:pStyle w:val="ListBullet"/>
        <w:spacing w:before="0" w:after="80"/>
        <w:numPr>
          <w:ilvl w:val="0"/>
          <w:numId w:val="32"/>
        </w:numPr>
      </w:pPr>
      <w:r>
        <w:rPr>
          <w:b w:val="0"/>
          <w:i w:val="0"/>
        </w:rPr>
        <w:t>Implikasi eksekusinya harus tetap jelas agar sponsor dan tim delivery dapat menurunkan isi bab ini menjadi tindakan yang konkret.</w:t>
      </w:r>
    </w:p>
    <w:p>
      <w:pPr>
        <w:pStyle w:val="ListBullet"/>
        <w:spacing w:before="0" w:after="80"/>
        <w:numPr>
          <w:ilvl w:val="0"/>
          <w:numId w:val="32"/>
        </w:numPr>
      </w:pPr>
      <w:r>
        <w:rPr>
          <w:b w:val="0"/>
          <w:i w:val="0"/>
        </w:rPr>
        <w:t>Dengan pendekatan ini, narasi proposal tetap terhubung pada kebutuhan bisnis sekaligus tidak kehilangan kontrol implementasi.</w:t>
      </w:r>
    </w:p>
    <w:p>
      <w:r>
        <w:br w:type="page"/>
      </w:r>
    </w:p>
    <w:p>
      <w:pPr>
        <w:pStyle w:val="Heading1"/>
        <w:jc w:val="center"/>
      </w:pPr>
      <w:r>
        <w:rPr>
          <w:color w:val="777973"/>
        </w:rPr>
        <w:t>BAB X – PROFIL PERUSAHAAN</w:t>
      </w:r>
    </w:p>
    <w:p>
      <w:r>
        <w:rPr>
          <w:b w:val="0"/>
          <w:i w:val="0"/>
        </w:rPr>
        <w:t>Profil perusahaan pada proposal ini tidak dimaksudkan sebagai brosur umum, melainkan sebagai bukti bahwa Inixindo Jogja memiliki modal kerja yang relevan untuk membantu Bank Mandiri. Yang ditekankan bukan hanya deskripsi perusahaan, tetapi keterkaitan antara kapabilitas, pengalaman serupa, dan bentuk dukungan yang dibutuhkan oleh inisiatif gelombang uji beban 1: penguatan tata kelola delivery, percepatan keputusan lintas unit, dan penyusunan roadmap eksekusi yang lebih...</w:t>
      </w:r>
    </w:p>
    <w:p>
      <w:pPr>
        <w:pStyle w:val="Heading2"/>
      </w:pPr>
      <w:r>
        <w:rPr>
          <w:rFonts w:ascii="Arial" w:hAnsi="Arial"/>
          <w:b/>
          <w:color w:val="777973"/>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nasabah, core banking, risk appetite.</w:t>
      </w:r>
    </w:p>
    <w:p>
      <w:pPr>
        <w:pStyle w:val="Heading2"/>
      </w:pPr>
      <w:r>
        <w:rPr>
          <w:rFonts w:ascii="Arial" w:hAnsi="Arial"/>
          <w:b/>
          <w:color w:val="777973"/>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Bank Mandiri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3"/>
        </w:numPr>
      </w:pPr>
      <w:r>
        <w:rPr>
          <w:b w:val="0"/>
          <w:i w:val="0"/>
        </w:rPr>
        <w:t>Prioritas implementasi untuk Bank Mandiri diarahkan agar tetap selaras dengan Pertumbuhan transaksi digital nasabah dalam 4 bulan. | Kepatuhan &amp; risiko operasional (audit findings) membaik dalam 4 bulan..</w:t>
      </w:r>
    </w:p>
    <w:p>
      <w:pPr>
        <w:pStyle w:val="ListNumber"/>
        <w:spacing w:before="0" w:after="80"/>
        <w:numPr>
          <w:ilvl w:val="0"/>
          <w:numId w:val="33"/>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 – STRUKTUR &amp; TENAGA AHLI PROYEK</w:t>
      </w:r>
    </w:p>
    <w:p>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Pertumbuhan transaksi digital nasabah dalam 4 bulan.</w:t>
      </w:r>
    </w:p>
    <w:p>
      <w:pPr>
        <w:pStyle w:val="Heading2"/>
      </w:pPr>
      <w:r>
        <w:rPr>
          <w:rFonts w:ascii="Arial" w:hAnsi="Arial"/>
          <w:b/>
          <w:color w:val="777973"/>
        </w:rPr>
        <w:t>11.1 Struktur Tim Proyek</w:t>
      </w:r>
    </w:p>
    <w:p>
      <w:pPr>
        <w:pStyle w:val="ListNumber"/>
        <w:spacing w:before="0" w:after="80"/>
        <w:numPr>
          <w:ilvl w:val="0"/>
          <w:numId w:val="34"/>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4"/>
        </w:numPr>
      </w:pPr>
      <w:r>
        <w:rPr>
          <w:b/>
          <w:i w:val="0"/>
        </w:rPr>
        <w:t>Project Manager / PMO Lead</w:t>
      </w:r>
      <w:r>
        <w:rPr>
          <w:b w:val="0"/>
          <w:i w:val="0"/>
        </w:rPr>
        <w:t xml:space="preserve"> mengendalikan ritme kerja, milestone, dan quality gate.</w:t>
      </w:r>
    </w:p>
    <w:p>
      <w:pPr>
        <w:pStyle w:val="ListNumber"/>
        <w:spacing w:before="0" w:after="80"/>
        <w:numPr>
          <w:ilvl w:val="0"/>
          <w:numId w:val="34"/>
        </w:numPr>
      </w:pPr>
      <w:r>
        <w:rPr>
          <w:b/>
          <w:i w:val="0"/>
        </w:rPr>
        <w:t>Lead Fungsional / Solusi</w:t>
      </w:r>
      <w:r>
        <w:rPr>
          <w:b w:val="0"/>
          <w:i w:val="0"/>
        </w:rPr>
        <w:t xml:space="preserve"> menjaga kualitas desain solusi dan relevansi output kerja.</w:t>
      </w:r>
    </w:p>
    <w:p>
      <w:pPr>
        <w:pStyle w:val="ListNumber"/>
        <w:spacing w:before="0" w:after="80"/>
        <w:numPr>
          <w:ilvl w:val="0"/>
          <w:numId w:val="34"/>
        </w:numPr>
      </w:pPr>
      <w:r>
        <w:rPr>
          <w:b/>
          <w:i w:val="0"/>
        </w:rPr>
        <w:t>Reviewer Governance / Quality</w:t>
      </w:r>
      <w:r>
        <w:rPr>
          <w:b w:val="0"/>
          <w:i w:val="0"/>
        </w:rPr>
        <w:t xml:space="preserve"> memastikan disiplin review, sign-off, dan kontrol risiko.</w:t>
      </w:r>
    </w:p>
    <w:p>
      <w:pPr>
        <w:pStyle w:val="Heading2"/>
      </w:pPr>
      <w:r>
        <w:rPr>
          <w:rFonts w:ascii="Arial" w:hAnsi="Arial"/>
          <w:b/>
          <w:color w:val="777973"/>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Bank Mandiri memperoleh gambaran yang lebih konkret mengenai siapa yang menjaga keputusan, siapa yang mengawal delivery, dan siapa yang mengamankan mutu hasil kerja. Pendekatan ini membuat bab tenaga ahli lebih mudah diaudit dan lebih meyakinkan bagi sponsor proyek.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BAB XII – MODEL PEMBIAYAAN</w:t>
      </w:r>
    </w:p>
    <w:p>
      <w:r>
        <w:rPr>
          <w:b w:val="0"/>
          <w:i w:val="0"/>
        </w:rPr>
        <w:t>Model pembiayaan untuk Bank Mandiri disusun agar komitmen biaya, mekanisme pembayaran, dan batas ruang lingkup tetap jelas sejak awal. Tujuannya adalah menjaga proyek gelombang uji beban 1: penguatan tata kelola delivery, percepatan keputusan lintas unit, dan penyusunan roadmap eksekusi yang lebih...</w:t>
      </w:r>
    </w:p>
    <w:p>
      <w:pPr>
        <w:pStyle w:val="Heading2"/>
      </w:pPr>
      <w:r>
        <w:rPr>
          <w:rFonts w:ascii="Arial" w:hAnsi="Arial"/>
          <w:b/>
          <w:color w:val="777973"/>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4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4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5"/>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35"/>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35"/>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35"/>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777973"/>
        </w:rPr>
        <w:t>12.2 Model Pekerjaan dan Batasan Pekerjaan</w:t>
      </w:r>
    </w:p>
    <w:p>
      <w:r>
        <w:rPr>
          <w:b w:val="0"/>
          <w:i w:val="0"/>
        </w:rPr>
        <w:t>Model kerja dirancang agar ruang lingkup delivery tetap fokus pada kebutuhan opportunity dan KPI seperti Pertumbuhan transaksi digital nasabah dalam 4 bulan. | Kepatuhan &amp; risiko operasional (audit findings) membaik dalam 4 bulan. Untuk Bank Mandiri,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Bank Mandiri, bagian ini perlu menunjukkan bahwa struktur biaya, tahapan pembayaran, dan batas pekerjaan disusun agar manfaat bisnis seperti Pertumbuhan transaksi digital nasabah dalam 4 bulan.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777973"/>
        </w:rPr>
        <w:t>PENUTUP &amp; APRESIASI KEMITRAAN</w:t>
      </w:r>
    </w:p>
    <w:p>
      <w:r>
        <w:rPr>
          <w:b w:val="0"/>
          <w:i w:val="0"/>
        </w:rPr>
        <w:t>Terima kasih atas kesempatan yang diberikan kepada Inixindo Jogja untuk menyusun proposal bagi Bank Mandiri. Kami memandang inisiatif gelombang uji beban 1: penguatan tata kelola delivery, percepatan keputusan lintas unit, dan penyusunan roadmap eksekusi yang lebih...</w:t>
      </w:r>
    </w:p>
    <w:p>
      <w:pPr>
        <w:pStyle w:val="Heading2"/>
      </w:pPr>
      <w:r>
        <w:rPr>
          <w:rFonts w:ascii="Arial" w:hAnsi="Arial"/>
          <w:b/>
          <w:color w:val="777973"/>
        </w:rPr>
        <w:t>Apresiasi dan Komitmen Kemitraan</w:t>
      </w:r>
    </w:p>
    <w:p>
      <w:pPr>
        <w:pStyle w:val="ListNumber"/>
        <w:spacing w:before="0" w:after="80"/>
        <w:numPr>
          <w:ilvl w:val="0"/>
          <w:numId w:val="36"/>
        </w:numPr>
      </w:pPr>
      <w:r>
        <w:rPr>
          <w:b w:val="0"/>
          <w:i w:val="0"/>
        </w:rPr>
        <w:t>Kami mengapresiasi keterbukaan Bank Mandiri dalam mengangkat konteks, tantangan, dan target bisnis yang menjadi dasar proposal ini.</w:t>
      </w:r>
    </w:p>
    <w:p>
      <w:pPr>
        <w:pStyle w:val="ListNumber"/>
        <w:spacing w:before="0" w:after="80"/>
        <w:numPr>
          <w:ilvl w:val="0"/>
          <w:numId w:val="36"/>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6"/>
        </w:numPr>
      </w:pPr>
      <w:r>
        <w:rPr>
          <w:b w:val="0"/>
          <w:i w:val="0"/>
        </w:rPr>
        <w:t>Fokus awal kemitraan diarahkan pada prioritas seperti Pertumbuhan transaksi digital nasabah dalam 4 bulan. | Kepatuhan &amp; risiko operasional (audit findings) membaik dalam 4 bulan. | Ketersediaan layanan digital meningkat dan insiden prioritas menurun dalam 4 bulan., dengan tata kelola dan ritme eksekusi yang stabil sejak kickoff.</w:t>
      </w:r>
    </w:p>
    <w:p>
      <w:pPr>
        <w:pStyle w:val="Heading2"/>
      </w:pPr>
      <w:r>
        <w:rPr>
          <w:rFonts w:ascii="Arial" w:hAnsi="Arial"/>
          <w:b/>
          <w:color w:val="777973"/>
        </w:rPr>
        <w:t>Informasi Kontak dan Langkah Lanjutan</w:t>
      </w:r>
    </w:p>
    <w:p>
      <w:r>
        <w:rPr>
          <w:b w:val="0"/>
          <w:i w:val="0"/>
        </w:rPr>
        <w:t>Untuk melanjutkan pembahasan, Inixindo Jogja siap menindaklanjuti review proposal, penajaman ruang lingkup, dan penyesuaian komersial yang diperlukan. - Konteks Bank Mandiri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8"/>
  </w:num>
  <w:num w:numId="14">
    <w:abstractNumId w:val="8"/>
  </w:num>
  <w:num w:numId="15">
    <w:abstractNumId w:val="7"/>
  </w:num>
  <w:num w:numId="16">
    <w:abstractNumId w:val="8"/>
  </w:num>
  <w:num w:numId="17">
    <w:abstractNumId w:val="8"/>
  </w:num>
  <w:num w:numId="18">
    <w:abstractNumId w:val="8"/>
  </w:num>
  <w:num w:numId="19">
    <w:abstractNumId w:val="7"/>
  </w:num>
  <w:num w:numId="20">
    <w:abstractNumId w:val="8"/>
  </w:num>
  <w:num w:numId="21">
    <w:abstractNumId w:val="7"/>
  </w:num>
  <w:num w:numId="22">
    <w:abstractNumId w:val="8"/>
  </w:num>
  <w:num w:numId="23">
    <w:abstractNumId w:val="7"/>
  </w:num>
  <w:num w:numId="24">
    <w:abstractNumId w:val="8"/>
  </w:num>
  <w:num w:numId="25">
    <w:abstractNumId w:val="7"/>
  </w:num>
  <w:num w:numId="26">
    <w:abstractNumId w:val="7"/>
  </w:num>
  <w:num w:numId="27">
    <w:abstractNumId w:val="8"/>
  </w:num>
  <w:num w:numId="28">
    <w:abstractNumId w:val="7"/>
  </w:num>
  <w:num w:numId="29">
    <w:abstractNumId w:val="7"/>
  </w:num>
  <w:num w:numId="30">
    <w:abstractNumId w:val="7"/>
  </w:num>
  <w:num w:numId="31">
    <w:abstractNumId w:val="7"/>
  </w:num>
  <w:num w:numId="32">
    <w:abstractNumId w:val="8"/>
  </w:num>
  <w:num w:numId="33">
    <w:abstractNumId w:val="7"/>
  </w:num>
  <w:num w:numId="34">
    <w:abstractNumId w:val="7"/>
  </w:num>
  <w:num w:numId="35">
    <w:abstractNumId w:val="7"/>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