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5705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570586"/>
                    </a:xfrm>
                    <a:prstGeom prst="rect"/>
                  </pic:spPr>
                </pic:pic>
              </a:graphicData>
            </a:graphic>
          </wp:inline>
        </w:drawing>
      </w:r>
    </w:p>
    <w:p>
      <w:pPr>
        <w:jc w:val="center"/>
      </w:pPr>
      <w:r>
        <w:rPr>
          <w:b/>
          <w:color w:val="7C7578"/>
          <w:sz w:val="60"/>
        </w:rPr>
        <w:t>ARSITEKTUR PROPOSAL</w:t>
      </w:r>
    </w:p>
    <w:p>
      <w:pPr>
        <w:jc w:val="center"/>
      </w:pPr>
      <w:r>
        <w:rPr>
          <w:sz w:val="28"/>
        </w:rPr>
        <w:t>Konsultan – Implementation</w:t>
      </w:r>
    </w:p>
    <w:p/>
    <w:p>
      <w:pPr>
        <w:jc w:val="center"/>
      </w:pPr>
      <w:r>
        <w:rPr>
          <w:b/>
          <w:sz w:val="32"/>
        </w:rPr>
        <w:t>Untuk: Indosat Ooredoo Hutchison</w:t>
      </w:r>
    </w:p>
    <w:p>
      <w:pPr>
        <w:jc w:val="center"/>
      </w:pPr>
      <w:r>
        <w:t>Inisiatif: Gelombang uji beban 3: penguatan tata kelola delivery, percepatan keputusan lintas unit, dan penyusunan roadmap eksekusi yang lebih terukur untuk Indosat Ooredoo Hutchison.</w:t>
      </w:r>
    </w:p>
    <w:p>
      <w:pPr>
        <w:jc w:val="center"/>
      </w:pPr>
      <w:r>
        <w:t>Durasi: 6 Bulan | Estimasi Investasi: Rp 500.000.000 | Tanggal: 30 March 2026</w:t>
      </w:r>
    </w:p>
    <w:p>
      <w:pPr>
        <w:jc w:val="center"/>
      </w:pPr>
      <w:r>
        <w:t>Disusun oleh Inixindo Jogja</w:t>
      </w:r>
    </w:p>
    <w:p>
      <w:r>
        <w:br w:type="page"/>
      </w:r>
    </w:p>
    <w:p>
      <w:pPr>
        <w:pStyle w:val="Heading1"/>
        <w:jc w:val="center"/>
      </w:pPr>
      <w:r>
        <w:rPr>
          <w:color w:val="7C7578"/>
        </w:rPr>
        <w:t>BAB I – KONTEKS KLIEN</w:t>
      </w:r>
    </w:p>
    <w:p>
      <w:pPr>
        <w:pStyle w:val="Heading2"/>
      </w:pPr>
      <w:r>
        <w:rPr>
          <w:rFonts w:ascii="Arial" w:hAnsi="Arial"/>
          <w:b/>
          <w:color w:val="7C7578"/>
        </w:rPr>
        <w:t>1.1 Latar Belakang Organisasi Klien</w:t>
      </w:r>
    </w:p>
    <w:p>
      <w:r>
        <w:rPr>
          <w:b w:val="0"/>
          <w:i w:val="0"/>
        </w:rPr>
        <w:t>Indosat Ooredoo Hutchison (IOH) adalah pilar utama industri telekomunikasi Indonesia, melayani puluhan juta</w:t>
      </w:r>
      <w:r>
        <w:rPr>
          <w:b/>
          <w:i w:val="0"/>
        </w:rPr>
        <w:t xml:space="preserve"> subscriber</w:t>
      </w:r>
      <w:r>
        <w:rPr>
          <w:b w:val="0"/>
          <w:i w:val="0"/>
        </w:rPr>
        <w:t xml:space="preserve"> dengan layanan seluler dan data di seluruh kepulauan (startfriday.asia, 2025). Misi “Bersatu untuk Indonesia” menegaskan komitmen pada infrastruktur digital terdepan (ioh.co.id, 2025). Pada Februari 2026, pemerintah bersama IOH meluncurkan platform</w:t>
      </w:r>
      <w:r>
        <w:rPr>
          <w:b/>
          <w:i w:val="0"/>
        </w:rPr>
        <w:t xml:space="preserve"> Sahabat‑AI</w:t>
      </w:r>
      <w:r>
        <w:rPr>
          <w:b w:val="0"/>
          <w:i w:val="0"/>
        </w:rPr>
        <w:t>, menambah beban integrasi teknologi baru pada jaringan pasca‑merger yang masih mengalami penurunan sinyal di wilayah rural (instagram.com, 2026; Data Internal, 2026).</w:t>
      </w:r>
    </w:p>
    <w:p>
      <w:r>
        <w:rPr>
          <w:b w:val="0"/>
          <w:i w:val="0"/>
        </w:rPr>
        <w:t>Kondisi eksternal yang mempercepat kebutuhan:</w:t>
      </w:r>
    </w:p>
    <w:p>
      <w:pPr>
        <w:pStyle w:val="ListBullet"/>
        <w:spacing w:before="0" w:after="80"/>
        <w:numPr>
          <w:ilvl w:val="0"/>
          <w:numId w:val="10"/>
        </w:numPr>
      </w:pPr>
      <w:r>
        <w:rPr>
          <w:b/>
          <w:i w:val="0"/>
        </w:rPr>
        <w:t>Persaingan regional</w:t>
      </w:r>
      <w:r>
        <w:rPr>
          <w:b w:val="0"/>
          <w:i w:val="0"/>
        </w:rPr>
        <w:t xml:space="preserve"> – kompetitor meningkatkan penetrasi 5G dan layanan enterprise, menuntut IOH mempercepat monetisasi.</w:t>
      </w:r>
    </w:p>
    <w:p>
      <w:pPr>
        <w:pStyle w:val="ListBullet"/>
        <w:spacing w:before="0" w:after="80"/>
        <w:numPr>
          <w:ilvl w:val="0"/>
          <w:numId w:val="10"/>
        </w:numPr>
      </w:pPr>
      <w:r>
        <w:rPr>
          <w:b/>
          <w:i w:val="0"/>
        </w:rPr>
        <w:t>Regulasi pemerintah</w:t>
      </w:r>
      <w:r>
        <w:rPr>
          <w:b w:val="0"/>
          <w:i w:val="0"/>
        </w:rPr>
        <w:t xml:space="preserve"> – Rencana Strategis BPK 2025‑2029 menuntut transparansi dan akuntabilitas pada proyek digital besar (yogyakarta.bpk.go.id, 2029).</w:t>
      </w:r>
    </w:p>
    <w:p>
      <w:pPr>
        <w:pStyle w:val="ListBullet"/>
        <w:spacing w:before="0" w:after="80"/>
        <w:numPr>
          <w:ilvl w:val="0"/>
          <w:numId w:val="10"/>
        </w:numPr>
      </w:pPr>
      <w:r>
        <w:rPr>
          <w:b/>
          <w:i w:val="0"/>
        </w:rPr>
        <w:t>Ekspektasi pasar</w:t>
      </w:r>
      <w:r>
        <w:rPr>
          <w:b w:val="0"/>
          <w:i w:val="0"/>
        </w:rPr>
        <w:t xml:space="preserve"> – pengakuan Fortune 100 Best Companies to Work For Southeast Asia 2025 meningkatkan tekanan internal pada stabilitas operasional (threads.com, 2026).</w:t>
      </w:r>
    </w:p>
    <w:p>
      <w:r>
        <w:rPr>
          <w:b w:val="0"/>
          <w:i w:val="0"/>
        </w:rPr>
        <w:t>Indikator jaringan internal menunjukkan kesenjangan kritis: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KPI</w:t>
            </w:r>
          </w:p>
        </w:tc>
        <w:tc>
          <w:tcPr>
            <w:tcW w:type="dxa" w:w="2340"/>
          </w:tcPr>
          <w:p>
            <w:r>
              <w:rPr>
                <w:b w:val="0"/>
                <w:i w:val="0"/>
              </w:rPr>
              <w:t>Baseline</w:t>
            </w:r>
          </w:p>
        </w:tc>
        <w:tc>
          <w:tcPr>
            <w:tcW w:type="dxa" w:w="2340"/>
          </w:tcPr>
          <w:p>
            <w:r>
              <w:rPr>
                <w:b w:val="0"/>
                <w:i w:val="0"/>
              </w:rPr>
              <w:t>Target 6 bulan</w:t>
            </w:r>
          </w:p>
        </w:tc>
        <w:tc>
          <w:tcPr>
            <w:tcW w:type="dxa" w:w="2340"/>
          </w:tcPr>
          <w:p>
            <w:r>
              <w:rPr>
                <w:b w:val="0"/>
                <w:i w:val="0"/>
              </w:rPr>
              <w:t>Gap</w:t>
            </w:r>
          </w:p>
        </w:tc>
      </w:tr>
      <w:tr>
        <w:tc>
          <w:tcPr>
            <w:tcW w:type="dxa" w:w="2340"/>
          </w:tcPr>
          <w:p>
            <w:r>
              <w:rPr>
                <w:b w:val="0"/>
                <w:i w:val="0"/>
              </w:rPr>
              <w:t>Network Availability</w:t>
            </w:r>
          </w:p>
        </w:tc>
        <w:tc>
          <w:tcPr>
            <w:tcW w:type="dxa" w:w="2340"/>
          </w:tcPr>
          <w:p>
            <w:r>
              <w:rPr>
                <w:b w:val="0"/>
                <w:i w:val="0"/>
              </w:rPr>
              <w:t>99,5 %</w:t>
            </w:r>
          </w:p>
        </w:tc>
        <w:tc>
          <w:tcPr>
            <w:tcW w:type="dxa" w:w="2340"/>
          </w:tcPr>
          <w:p>
            <w:r>
              <w:rPr>
                <w:b w:val="0"/>
                <w:i w:val="0"/>
              </w:rPr>
              <w:t>99,99 %</w:t>
            </w:r>
          </w:p>
        </w:tc>
        <w:tc>
          <w:tcPr>
            <w:tcW w:type="dxa" w:w="2340"/>
          </w:tcPr>
          <w:p>
            <w:r>
              <w:rPr>
                <w:b w:val="0"/>
                <w:i w:val="0"/>
              </w:rPr>
              <w:t>0,49 %</w:t>
            </w:r>
          </w:p>
        </w:tc>
      </w:tr>
      <w:tr>
        <w:tc>
          <w:tcPr>
            <w:tcW w:type="dxa" w:w="2340"/>
          </w:tcPr>
          <w:p>
            <w:r>
              <w:rPr>
                <w:b w:val="0"/>
                <w:i w:val="0"/>
              </w:rPr>
              <w:t>Customer Churn</w:t>
            </w:r>
          </w:p>
        </w:tc>
        <w:tc>
          <w:tcPr>
            <w:tcW w:type="dxa" w:w="2340"/>
          </w:tcPr>
          <w:p>
            <w:r>
              <w:rPr>
                <w:b w:val="0"/>
                <w:i w:val="0"/>
              </w:rPr>
              <w:t>2,3 %/bulan</w:t>
            </w:r>
          </w:p>
        </w:tc>
        <w:tc>
          <w:tcPr>
            <w:tcW w:type="dxa" w:w="2340"/>
          </w:tcPr>
          <w:p>
            <w:r>
              <w:rPr>
                <w:b w:val="0"/>
                <w:i w:val="0"/>
              </w:rPr>
              <w:t>≤1,5 %/bulan</w:t>
            </w:r>
          </w:p>
        </w:tc>
        <w:tc>
          <w:tcPr>
            <w:tcW w:type="dxa" w:w="2340"/>
          </w:tcPr>
          <w:p>
            <w:r>
              <w:rPr>
                <w:b w:val="0"/>
                <w:i w:val="0"/>
              </w:rPr>
              <w:t>0,8 %</w:t>
            </w:r>
          </w:p>
        </w:tc>
      </w:tr>
      <w:tr>
        <w:tc>
          <w:tcPr>
            <w:tcW w:type="dxa" w:w="2340"/>
          </w:tcPr>
          <w:p>
            <w:r>
              <w:rPr>
                <w:b w:val="0"/>
                <w:i w:val="0"/>
              </w:rPr>
              <w:t>NOC Incident Resolution</w:t>
            </w:r>
          </w:p>
        </w:tc>
        <w:tc>
          <w:tcPr>
            <w:tcW w:type="dxa" w:w="2340"/>
          </w:tcPr>
          <w:p>
            <w:r>
              <w:rPr>
                <w:b w:val="0"/>
                <w:i w:val="0"/>
              </w:rPr>
              <w:t>45 menit</w:t>
            </w:r>
          </w:p>
        </w:tc>
        <w:tc>
          <w:tcPr>
            <w:tcW w:type="dxa" w:w="2340"/>
          </w:tcPr>
          <w:p>
            <w:r>
              <w:rPr>
                <w:b w:val="0"/>
                <w:i w:val="0"/>
              </w:rPr>
              <w:t>≤30 menit</w:t>
            </w:r>
          </w:p>
        </w:tc>
        <w:tc>
          <w:tcPr>
            <w:tcW w:type="dxa" w:w="2340"/>
          </w:tcPr>
          <w:p>
            <w:r>
              <w:rPr>
                <w:b w:val="0"/>
                <w:i w:val="0"/>
              </w:rPr>
              <w:t>15 menit</w:t>
            </w:r>
          </w:p>
        </w:tc>
      </w:tr>
    </w:tbl>
    <w:p>
      <w:r>
        <w:rPr>
          <w:b w:val="0"/>
          <w:i w:val="0"/>
        </w:rPr>
        <w:t>Tiga</w:t>
      </w:r>
      <w:r>
        <w:rPr>
          <w:b/>
          <w:i w:val="0"/>
        </w:rPr>
        <w:t xml:space="preserve"> pain points</w:t>
      </w:r>
      <w:r>
        <w:rPr>
          <w:b w:val="0"/>
          <w:i w:val="0"/>
        </w:rPr>
        <w:t xml:space="preserve"> utama: (1) koordinasi lintas unit terfragmentasi, (2) tata kelola delivery belum terstandardisasi, dan (3)</w:t>
      </w:r>
      <w:r>
        <w:rPr>
          <w:b/>
          <w:i w:val="0"/>
        </w:rPr>
        <w:t xml:space="preserve"> gelombang uji beban 3</w:t>
      </w:r>
      <w:r>
        <w:rPr>
          <w:b w:val="0"/>
          <w:i w:val="0"/>
        </w:rPr>
        <w:t xml:space="preserve"> belum memiliki roadmap operasional yang jelas (Data Internal, 2026).</w:t>
      </w:r>
    </w:p>
    <w:p>
      <w:pPr>
        <w:pStyle w:val="Heading2"/>
      </w:pPr>
      <w:r>
        <w:rPr>
          <w:rFonts w:ascii="Arial" w:hAnsi="Arial"/>
          <w:b/>
          <w:color w:val="7C7578"/>
        </w:rPr>
        <w:t>1.2 Alasan Permintaan Jasa Konsultasi</w:t>
      </w:r>
    </w:p>
    <w:p>
      <w:r>
        <w:rPr>
          <w:b w:val="0"/>
          <w:i w:val="0"/>
        </w:rPr>
        <w:t>IOH meminta konsultasi untuk menutup kesenjangan di atas melalui kerangka kerja terintegrasi</w:t>
      </w:r>
      <w:r>
        <w:rPr>
          <w:b/>
          <w:i w:val="0"/>
        </w:rPr>
        <w:t xml:space="preserve"> TOGAF‑ITIL‑COBIT‑ISO 27001</w:t>
      </w:r>
      <w:r>
        <w:rPr>
          <w:b w:val="0"/>
          <w:i w:val="0"/>
        </w:rPr>
        <w:t xml:space="preserve"> dengan fokus pada tiga deliverable dalam horizon enam bulan:</w:t>
      </w:r>
    </w:p>
    <w:p>
      <w:pPr>
        <w:pStyle w:val="ListNumber"/>
        <w:spacing w:before="0" w:after="80"/>
        <w:numPr>
          <w:ilvl w:val="0"/>
          <w:numId w:val="11"/>
        </w:numPr>
      </w:pPr>
      <w:r>
        <w:rPr>
          <w:b/>
          <w:i w:val="0"/>
        </w:rPr>
        <w:t>Penguatan tata kelola delivery</w:t>
      </w:r>
      <w:r>
        <w:rPr>
          <w:b w:val="0"/>
          <w:i w:val="0"/>
        </w:rPr>
        <w:t xml:space="preserve"> – menetapkan proses Design‑Configuration‑UAT‑Go‑Live‑Handover yang selaras standar industri.</w:t>
      </w:r>
    </w:p>
    <w:p>
      <w:pPr>
        <w:pStyle w:val="ListNumber"/>
        <w:spacing w:before="0" w:after="80"/>
        <w:numPr>
          <w:ilvl w:val="0"/>
          <w:numId w:val="11"/>
        </w:numPr>
      </w:pPr>
      <w:r>
        <w:rPr>
          <w:b/>
          <w:i w:val="0"/>
        </w:rPr>
        <w:t>Percepatan keputusan lintas unit</w:t>
      </w:r>
      <w:r>
        <w:rPr>
          <w:b w:val="0"/>
          <w:i w:val="0"/>
        </w:rPr>
        <w:t xml:space="preserve"> – membentuk governance board berbasis prinsip COBIT untuk kontrol risiko dan kepatuhan.</w:t>
      </w:r>
    </w:p>
    <w:p>
      <w:pPr>
        <w:pStyle w:val="ListNumber"/>
        <w:spacing w:before="0" w:after="80"/>
        <w:numPr>
          <w:ilvl w:val="0"/>
          <w:numId w:val="11"/>
        </w:numPr>
      </w:pPr>
      <w:r>
        <w:rPr>
          <w:b/>
          <w:i w:val="0"/>
        </w:rPr>
        <w:t>Penyusunan roadmap eksekusi beban gelombang 3</w:t>
      </w:r>
      <w:r>
        <w:rPr>
          <w:b w:val="0"/>
          <w:i w:val="0"/>
        </w:rPr>
        <w:t xml:space="preserve"> – mengidentifikasi milestone, alokasi sumber daya, dan metrik keberhasilan.</w:t>
      </w:r>
    </w:p>
    <w:p>
      <w:r>
        <w:rPr>
          <w:b w:val="0"/>
          <w:i w:val="0"/>
        </w:rPr>
        <w:t>Langkah aksi utama:</w:t>
      </w:r>
    </w:p>
    <w:p>
      <w:pPr>
        <w:pStyle w:val="ListBullet"/>
        <w:spacing w:before="0" w:after="80"/>
        <w:numPr>
          <w:ilvl w:val="0"/>
          <w:numId w:val="12"/>
        </w:numPr>
      </w:pPr>
      <w:r>
        <w:rPr>
          <w:b/>
          <w:i w:val="0"/>
        </w:rPr>
        <w:t>Audit proses existing</w:t>
      </w:r>
      <w:r>
        <w:rPr>
          <w:b w:val="0"/>
          <w:i w:val="0"/>
        </w:rPr>
        <w:t>: kumpulkan data NOC, SLA, dan incident log untuk memetakan bottleneck.</w:t>
      </w:r>
    </w:p>
    <w:p>
      <w:pPr>
        <w:pStyle w:val="ListBullet"/>
        <w:spacing w:before="0" w:after="80"/>
        <w:numPr>
          <w:ilvl w:val="0"/>
          <w:numId w:val="12"/>
        </w:numPr>
      </w:pPr>
      <w:r>
        <w:rPr>
          <w:b/>
          <w:i w:val="0"/>
        </w:rPr>
        <w:t>Desain kerangka hybrid</w:t>
      </w:r>
      <w:r>
        <w:rPr>
          <w:b w:val="0"/>
          <w:i w:val="0"/>
        </w:rPr>
        <w:t>: integrasikan TOGAF ADM dengan ITIL Service Transition, memastikan alignment antara arsitektur bisnis dan operasional.</w:t>
      </w:r>
    </w:p>
    <w:p>
      <w:pPr>
        <w:pStyle w:val="ListBullet"/>
        <w:spacing w:before="0" w:after="80"/>
        <w:numPr>
          <w:ilvl w:val="0"/>
          <w:numId w:val="12"/>
        </w:numPr>
      </w:pPr>
      <w:r>
        <w:rPr>
          <w:b/>
          <w:i w:val="0"/>
        </w:rPr>
        <w:t>Implementasi kontrol COBIT</w:t>
      </w:r>
      <w:r>
        <w:rPr>
          <w:b w:val="0"/>
          <w:i w:val="0"/>
        </w:rPr>
        <w:t>: bangun dashboard KPI‑driven untuk memantau</w:t>
      </w:r>
      <w:r>
        <w:rPr>
          <w:b/>
          <w:i w:val="0"/>
        </w:rPr>
        <w:t xml:space="preserve"> network availability</w:t>
      </w:r>
      <w:r>
        <w:rPr>
          <w:b w:val="0"/>
          <w:i w:val="0"/>
        </w:rPr>
        <w:t>,</w:t>
      </w:r>
      <w:r>
        <w:rPr>
          <w:b/>
          <w:i w:val="0"/>
        </w:rPr>
        <w:t xml:space="preserve"> customer churn</w:t>
      </w:r>
      <w:r>
        <w:rPr>
          <w:b w:val="0"/>
          <w:i w:val="0"/>
        </w:rPr>
        <w:t>, dan efisiensi support.</w:t>
      </w:r>
    </w:p>
    <w:p>
      <w:r>
        <w:rPr>
          <w:b w:val="0"/>
          <w:i w:val="0"/>
        </w:rPr>
        <w:t>Manfaat yang diharapkan:</w:t>
      </w:r>
    </w:p>
    <w:p>
      <w:pPr>
        <w:pStyle w:val="ListBullet"/>
        <w:spacing w:before="0" w:after="80"/>
        <w:numPr>
          <w:ilvl w:val="0"/>
          <w:numId w:val="13"/>
        </w:numPr>
      </w:pPr>
      <w:r>
        <w:rPr>
          <w:b/>
          <w:i w:val="0"/>
        </w:rPr>
        <w:t>Network availability naik ke 99,99 %</w:t>
      </w:r>
      <w:r>
        <w:rPr>
          <w:b w:val="0"/>
          <w:i w:val="0"/>
        </w:rPr>
        <w:t>, mengurangi downtime kritis pada jaringan rural.</w:t>
      </w:r>
    </w:p>
    <w:p>
      <w:pPr>
        <w:pStyle w:val="ListBullet"/>
        <w:spacing w:before="0" w:after="80"/>
        <w:numPr>
          <w:ilvl w:val="0"/>
          <w:numId w:val="13"/>
        </w:numPr>
      </w:pPr>
      <w:r>
        <w:rPr>
          <w:b/>
          <w:i w:val="0"/>
        </w:rPr>
        <w:t>Customer churn turun ≤1,5 %/bulan</w:t>
      </w:r>
      <w:r>
        <w:rPr>
          <w:b w:val="0"/>
          <w:i w:val="0"/>
        </w:rPr>
        <w:t>, meningkatkan loyalitas subscriber.</w:t>
      </w:r>
    </w:p>
    <w:p>
      <w:pPr>
        <w:pStyle w:val="ListBullet"/>
        <w:spacing w:before="0" w:after="80"/>
        <w:numPr>
          <w:ilvl w:val="0"/>
          <w:numId w:val="13"/>
        </w:numPr>
      </w:pPr>
      <w:r>
        <w:rPr>
          <w:b/>
          <w:i w:val="0"/>
        </w:rPr>
        <w:t>Efisiensi operasi NOC meningkat 20 %</w:t>
      </w:r>
      <w:r>
        <w:rPr>
          <w:b w:val="0"/>
          <w:i w:val="0"/>
        </w:rPr>
        <w:t>, berkat proses standar dan otomatisasi.</w:t>
      </w:r>
    </w:p>
    <w:p>
      <w:r>
        <w:rPr>
          <w:b w:val="0"/>
          <w:i w:val="0"/>
        </w:rPr>
        <w:t>Tim Inixindo Jogja (1 PM, 1 Lead Engineer, 3 Implementers) akan menyediakan deliverable siap pakai, mengubah rancangan strategi menjadi hasil implementasi terukur dalam enam bulan, selaras dengan KPI — service availability, churn reduction, dan operasi support efficiency.</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pPr>
        <w:pStyle w:val="ListBullet"/>
        <w:spacing w:before="0" w:after="80"/>
        <w:numPr>
          <w:ilvl w:val="0"/>
          <w:numId w:val="14"/>
        </w:numPr>
      </w:pPr>
      <w:r>
        <w:rPr>
          <w:b w:val="0"/>
          <w:i w:val="0"/>
        </w:rPr>
        <w:t>Implikasi eksekusinya harus tetap jelas agar sponsor dan tim delivery dapat menurunkan isi bab ini menjadi tindakan yang konkret.</w:t>
      </w:r>
    </w:p>
    <w:p>
      <w:pPr>
        <w:pStyle w:val="ListBullet"/>
        <w:spacing w:before="0" w:after="80"/>
        <w:numPr>
          <w:ilvl w:val="0"/>
          <w:numId w:val="14"/>
        </w:numPr>
      </w:pPr>
      <w:r>
        <w:rPr>
          <w:b w:val="0"/>
          <w:i w:val="0"/>
        </w:rPr>
        <w:t>Dengan pendekatan ini, narasi proposal tetap terhubung pada kebutuhan bisnis sekaligus tidak kehilangan kontrol implementasi.</w:t>
      </w:r>
    </w:p>
    <w:p>
      <w:r>
        <w:rPr>
          <w:b w:val="0"/>
          <w:i w:val="0"/>
        </w:rPr>
        <w:t>Secara praktis, hal ini membantu Indosat Ooredoo Hutchison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7C7578"/>
        </w:rPr>
        <w:t>BAB II – PERMASALAHAN</w:t>
      </w:r>
    </w:p>
    <w:p>
      <w:pPr>
        <w:pStyle w:val="Heading2"/>
      </w:pPr>
      <w:r>
        <w:rPr>
          <w:rFonts w:ascii="Arial" w:hAnsi="Arial"/>
          <w:b/>
          <w:color w:val="7C7578"/>
        </w:rPr>
        <w:t>2.1 Kebutuhan atau Keinginan Klien</w:t>
      </w:r>
    </w:p>
    <w:p>
      <w:r>
        <w:rPr>
          <w:b w:val="0"/>
          <w:i w:val="0"/>
        </w:rPr>
        <w:t>Indosat Ooredoo Hutchison (IOH) menargetkan peningkatan</w:t>
      </w:r>
      <w:r>
        <w:rPr>
          <w:b/>
          <w:i w:val="0"/>
        </w:rPr>
        <w:t xml:space="preserve"> network availability</w:t>
      </w:r>
      <w:r>
        <w:rPr>
          <w:b w:val="0"/>
          <w:i w:val="0"/>
        </w:rPr>
        <w:t xml:space="preserve"> menjadi 99,99 % dan penurunan</w:t>
      </w:r>
      <w:r>
        <w:rPr>
          <w:b/>
          <w:i w:val="0"/>
        </w:rPr>
        <w:t xml:space="preserve"> customer churn</w:t>
      </w:r>
      <w:r>
        <w:rPr>
          <w:b w:val="0"/>
          <w:i w:val="0"/>
        </w:rPr>
        <w:t xml:space="preserve"> secara signifikan dalam 6 bulan. Untuk mencapai hal ini, IOH menginginkan:</w:t>
      </w:r>
    </w:p>
    <w:p>
      <w:pPr>
        <w:pStyle w:val="ListNumber"/>
        <w:spacing w:before="0" w:after="80"/>
        <w:numPr>
          <w:ilvl w:val="0"/>
          <w:numId w:val="15"/>
        </w:numPr>
      </w:pPr>
      <w:r>
        <w:rPr>
          <w:b/>
          <w:i w:val="0"/>
        </w:rPr>
        <w:t>Penguatan tata kelola delivery</w:t>
      </w:r>
      <w:r>
        <w:rPr>
          <w:b w:val="0"/>
          <w:i w:val="0"/>
        </w:rPr>
        <w:t xml:space="preserve"> pada gelombang uji beban 3 (beban jaringan, service assurance, NOC).</w:t>
      </w:r>
    </w:p>
    <w:p>
      <w:pPr>
        <w:pStyle w:val="ListNumber"/>
        <w:spacing w:before="0" w:after="80"/>
        <w:numPr>
          <w:ilvl w:val="0"/>
          <w:numId w:val="15"/>
        </w:numPr>
      </w:pPr>
      <w:r>
        <w:rPr>
          <w:b/>
          <w:i w:val="0"/>
        </w:rPr>
        <w:t>Percepatan keputusan lintas unit</w:t>
      </w:r>
      <w:r>
        <w:rPr>
          <w:b w:val="0"/>
          <w:i w:val="0"/>
        </w:rPr>
        <w:t xml:space="preserve"> antara bisnis, teknologi, dan regulator.</w:t>
      </w:r>
    </w:p>
    <w:p>
      <w:pPr>
        <w:pStyle w:val="ListNumber"/>
        <w:spacing w:before="0" w:after="80"/>
        <w:numPr>
          <w:ilvl w:val="0"/>
          <w:numId w:val="15"/>
        </w:numPr>
      </w:pPr>
      <w:r>
        <w:rPr>
          <w:b/>
          <w:i w:val="0"/>
        </w:rPr>
        <w:t>Roadmap eksekusi terukur</w:t>
      </w:r>
      <w:r>
        <w:rPr>
          <w:b w:val="0"/>
          <w:i w:val="0"/>
        </w:rPr>
        <w:t xml:space="preserve"> yang menghubungkan desain, konfigurasi, UAT, go‑live, dan handover.</w:t>
      </w:r>
    </w:p>
    <w:p>
      <w:pPr>
        <w:pStyle w:val="Heading2"/>
      </w:pPr>
      <w:r>
        <w:rPr>
          <w:rFonts w:ascii="Arial" w:hAnsi="Arial"/>
          <w:b/>
          <w:color w:val="7C7578"/>
        </w:rPr>
        <w:t>2.2 Business Context</w:t>
      </w:r>
    </w:p>
    <w:p>
      <w:r>
        <w:rPr>
          <w:b w:val="0"/>
          <w:i w:val="0"/>
        </w:rPr>
        <w:t>IOH merupakan pilar utama industri telekomunikasi Indonesia, melayani puluhan juta</w:t>
      </w:r>
      <w:r>
        <w:rPr>
          <w:b/>
          <w:i w:val="0"/>
        </w:rPr>
        <w:t xml:space="preserve"> subscriber</w:t>
      </w:r>
      <w:r>
        <w:rPr>
          <w:b w:val="0"/>
          <w:i w:val="0"/>
        </w:rPr>
        <w:t xml:space="preserve"> dengan layanan seluler dan data (startfriday.asia, 2025). Pada Februari 2026, pemerintah bersama IOH meluncurkan platform</w:t>
      </w:r>
      <w:r>
        <w:rPr>
          <w:b/>
          <w:i w:val="0"/>
        </w:rPr>
        <w:t xml:space="preserve"> Sahabat‑AI</w:t>
      </w:r>
      <w:r>
        <w:rPr>
          <w:b w:val="0"/>
          <w:i w:val="0"/>
        </w:rPr>
        <w:t xml:space="preserve"> untuk memperkuat layanan digital (instagram.com, 2026). Di samping itu, IOH masuk dalam daftar</w:t>
      </w:r>
      <w:r>
        <w:rPr>
          <w:b/>
          <w:i w:val="0"/>
        </w:rPr>
        <w:t xml:space="preserve"> Fortune 100 Best Companies to Work For Southeast Asia 2025</w:t>
      </w:r>
      <w:r>
        <w:rPr>
          <w:b w:val="0"/>
          <w:i w:val="0"/>
        </w:rPr>
        <w:t xml:space="preserve"> (threads.com, 2026). Meskipun reputasi brand kuat, integrasi pasca‑merger masih menimbulkan</w:t>
      </w:r>
      <w:r>
        <w:rPr>
          <w:b/>
          <w:i w:val="0"/>
        </w:rPr>
        <w:t xml:space="preserve"> signal drops</w:t>
      </w:r>
      <w:r>
        <w:rPr>
          <w:b w:val="0"/>
          <w:i w:val="0"/>
        </w:rPr>
        <w:t xml:space="preserve"> di wilayah rural, menurunkan</w:t>
      </w:r>
      <w:r>
        <w:rPr>
          <w:b/>
          <w:i w:val="0"/>
        </w:rPr>
        <w:t xml:space="preserve"> network downtime</w:t>
      </w:r>
      <w:r>
        <w:rPr>
          <w:b w:val="0"/>
          <w:i w:val="0"/>
        </w:rPr>
        <w:t xml:space="preserve"> dari baseline 99,5 % (Data Internal, 2026).</w:t>
      </w:r>
    </w:p>
    <w:p>
      <w:pPr>
        <w:pStyle w:val="Heading2"/>
      </w:pPr>
      <w:r>
        <w:rPr>
          <w:rFonts w:ascii="Arial" w:hAnsi="Arial"/>
          <w:b/>
          <w:color w:val="7C7578"/>
        </w:rPr>
        <w:t>2.3 Key Challenge</w:t>
      </w:r>
    </w:p>
    <w:p>
      <w:pPr>
        <w:pStyle w:val="ListNumber"/>
        <w:spacing w:before="0" w:after="80"/>
        <w:numPr>
          <w:ilvl w:val="0"/>
          <w:numId w:val="16"/>
        </w:numPr>
      </w:pPr>
      <w:r>
        <w:rPr>
          <w:b/>
          <w:i w:val="0"/>
        </w:rPr>
        <w:t>Prioritas kerja terfragmentasi</w:t>
      </w:r>
      <w:r>
        <w:rPr>
          <w:b w:val="0"/>
          <w:i w:val="0"/>
        </w:rPr>
        <w:t xml:space="preserve"> – tim‑tim bisnis dan teknologi mengoperasikan inisiatif beban secara silo, sehingga timeline proyek meleset.</w:t>
      </w:r>
    </w:p>
    <w:p>
      <w:pPr>
        <w:pStyle w:val="ListNumber"/>
        <w:spacing w:before="0" w:after="80"/>
        <w:numPr>
          <w:ilvl w:val="0"/>
          <w:numId w:val="16"/>
        </w:numPr>
      </w:pPr>
      <w:r>
        <w:rPr>
          <w:b/>
          <w:i w:val="0"/>
        </w:rPr>
        <w:t>Koordinasi lintas unit belum konsisten</w:t>
      </w:r>
      <w:r>
        <w:rPr>
          <w:b w:val="0"/>
          <w:i w:val="0"/>
        </w:rPr>
        <w:t xml:space="preserve"> – tidak ada mekanisme governance yang mengikat keputusan strategis dengan eksekusi operasional.</w:t>
      </w:r>
    </w:p>
    <w:p>
      <w:pPr>
        <w:pStyle w:val="ListNumber"/>
        <w:spacing w:before="0" w:after="80"/>
        <w:numPr>
          <w:ilvl w:val="0"/>
          <w:numId w:val="16"/>
        </w:numPr>
      </w:pPr>
      <w:r>
        <w:rPr>
          <w:b/>
          <w:i w:val="0"/>
        </w:rPr>
        <w:t>Keterbatasan visibilitas KPI</w:t>
      </w:r>
      <w:r>
        <w:rPr>
          <w:b w:val="0"/>
          <w:i w:val="0"/>
        </w:rPr>
        <w:t xml:space="preserve"> – monitoring network availability dan churn belum terintegrasi dalam satu dashboard, menyulitkan pengambilan keputusan cepat.</w:t>
      </w:r>
    </w:p>
    <w:p>
      <w:pPr>
        <w:pStyle w:val="Heading2"/>
      </w:pPr>
      <w:r>
        <w:rPr>
          <w:rFonts w:ascii="Arial" w:hAnsi="Arial"/>
          <w:b/>
          <w:color w:val="7C7578"/>
        </w:rPr>
        <w:t>2.4 Underlying Gap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Aspek</w:t>
            </w:r>
          </w:p>
        </w:tc>
        <w:tc>
          <w:tcPr>
            <w:tcW w:type="dxa" w:w="2340"/>
          </w:tcPr>
          <w:p>
            <w:r>
              <w:rPr>
                <w:b w:val="0"/>
                <w:i w:val="0"/>
              </w:rPr>
              <w:t>Current State</w:t>
            </w:r>
          </w:p>
        </w:tc>
        <w:tc>
          <w:tcPr>
            <w:tcW w:type="dxa" w:w="2340"/>
          </w:tcPr>
          <w:p>
            <w:r>
              <w:rPr>
                <w:b w:val="0"/>
                <w:i w:val="0"/>
              </w:rPr>
              <w:t>Target State</w:t>
            </w:r>
          </w:p>
        </w:tc>
        <w:tc>
          <w:tcPr>
            <w:tcW w:type="dxa" w:w="2340"/>
          </w:tcPr>
          <w:p>
            <w:r>
              <w:rPr>
                <w:b w:val="0"/>
                <w:i w:val="0"/>
              </w:rPr>
              <w:t>Gap</w:t>
            </w:r>
          </w:p>
        </w:tc>
      </w:tr>
      <w:tr>
        <w:tc>
          <w:tcPr>
            <w:tcW w:type="dxa" w:w="2340"/>
          </w:tcPr>
          <w:p>
            <w:r>
              <w:rPr>
                <w:b/>
                <w:i w:val="0"/>
              </w:rPr>
              <w:t>Network Availability</w:t>
            </w:r>
          </w:p>
        </w:tc>
        <w:tc>
          <w:tcPr>
            <w:tcW w:type="dxa" w:w="2340"/>
          </w:tcPr>
          <w:p>
            <w:r>
              <w:rPr>
                <w:b w:val="0"/>
                <w:i w:val="0"/>
              </w:rPr>
              <w:t>99,5 % (baseline)</w:t>
            </w:r>
          </w:p>
        </w:tc>
        <w:tc>
          <w:tcPr>
            <w:tcW w:type="dxa" w:w="2340"/>
          </w:tcPr>
          <w:p>
            <w:r>
              <w:rPr>
                <w:b w:val="0"/>
                <w:i w:val="0"/>
              </w:rPr>
              <w:t>99,99 %</w:t>
            </w:r>
          </w:p>
        </w:tc>
        <w:tc>
          <w:tcPr>
            <w:tcW w:type="dxa" w:w="2340"/>
          </w:tcPr>
          <w:p>
            <w:r>
              <w:rPr>
                <w:b w:val="0"/>
                <w:i w:val="0"/>
              </w:rPr>
              <w:t>0,49 % selisih, dipengaruhi legacy hardware (Data Internal, 2026)</w:t>
            </w:r>
          </w:p>
        </w:tc>
      </w:tr>
      <w:tr>
        <w:tc>
          <w:tcPr>
            <w:tcW w:type="dxa" w:w="2340"/>
          </w:tcPr>
          <w:p>
            <w:r>
              <w:rPr>
                <w:b/>
                <w:i w:val="0"/>
              </w:rPr>
              <w:t>Customer Churn</w:t>
            </w:r>
          </w:p>
        </w:tc>
        <w:tc>
          <w:tcPr>
            <w:tcW w:type="dxa" w:w="2340"/>
          </w:tcPr>
          <w:p>
            <w:r>
              <w:rPr>
                <w:b w:val="0"/>
                <w:i w:val="0"/>
              </w:rPr>
              <w:t>5 % YoY</w:t>
            </w:r>
          </w:p>
        </w:tc>
        <w:tc>
          <w:tcPr>
            <w:tcW w:type="dxa" w:w="2340"/>
          </w:tcPr>
          <w:p>
            <w:r>
              <w:rPr>
                <w:b w:val="0"/>
                <w:i w:val="0"/>
              </w:rPr>
              <w:t>&lt;2 % YoY</w:t>
            </w:r>
          </w:p>
        </w:tc>
        <w:tc>
          <w:tcPr>
            <w:tcW w:type="dxa" w:w="2340"/>
          </w:tcPr>
          <w:p>
            <w:r>
              <w:rPr>
                <w:b w:val="0"/>
                <w:i w:val="0"/>
              </w:rPr>
              <w:t>3 % poin, terkait service assurance yang tidak konsisten</w:t>
            </w:r>
          </w:p>
        </w:tc>
      </w:tr>
      <w:tr>
        <w:tc>
          <w:tcPr>
            <w:tcW w:type="dxa" w:w="2340"/>
          </w:tcPr>
          <w:p>
            <w:r>
              <w:rPr>
                <w:b/>
                <w:i w:val="0"/>
              </w:rPr>
              <w:t>Governance</w:t>
            </w:r>
          </w:p>
        </w:tc>
        <w:tc>
          <w:tcPr>
            <w:tcW w:type="dxa" w:w="2340"/>
          </w:tcPr>
          <w:p>
            <w:r>
              <w:rPr>
                <w:b w:val="0"/>
                <w:i w:val="0"/>
              </w:rPr>
              <w:t>Proses ad‑hoc, dokumentasi terpisah</w:t>
            </w:r>
          </w:p>
        </w:tc>
        <w:tc>
          <w:tcPr>
            <w:tcW w:type="dxa" w:w="2340"/>
          </w:tcPr>
          <w:p>
            <w:r>
              <w:rPr>
                <w:b w:val="0"/>
                <w:i w:val="0"/>
              </w:rPr>
              <w:t>TOGAF‑ITIL‑COBIT‑ISO 27001 terintegrasi</w:t>
            </w:r>
          </w:p>
        </w:tc>
        <w:tc>
          <w:tcPr>
            <w:tcW w:type="dxa" w:w="2340"/>
          </w:tcPr>
          <w:p>
            <w:r>
              <w:rPr>
                <w:b w:val="0"/>
                <w:i w:val="0"/>
              </w:rPr>
              <w:t>Tidak ada kerangka kerja standar</w:t>
            </w:r>
          </w:p>
        </w:tc>
      </w:tr>
    </w:tbl>
    <w:p>
      <w:r>
        <w:rPr>
          <w:b w:val="0"/>
          <w:i w:val="0"/>
        </w:rPr>
        <w:t>Kesenjangan utama terletak pada</w:t>
      </w:r>
      <w:r>
        <w:rPr>
          <w:b/>
          <w:i w:val="0"/>
        </w:rPr>
        <w:t xml:space="preserve"> ketidaksesuaian proses</w:t>
      </w:r>
      <w:r>
        <w:rPr>
          <w:b w:val="0"/>
          <w:i w:val="0"/>
        </w:rPr>
        <w:t xml:space="preserve"> (design‑configuration‑UAT‑go‑live‑handover) dengan</w:t>
      </w:r>
      <w:r>
        <w:rPr>
          <w:b/>
          <w:i w:val="0"/>
        </w:rPr>
        <w:t xml:space="preserve"> framework governance</w:t>
      </w:r>
      <w:r>
        <w:rPr>
          <w:b w:val="0"/>
          <w:i w:val="0"/>
        </w:rPr>
        <w:t xml:space="preserve"> yang diperlukan untuk mengendalikan beban gelombang 3.</w:t>
      </w:r>
    </w:p>
    <w:p>
      <w:pPr>
        <w:pStyle w:val="Heading2"/>
      </w:pPr>
      <w:r>
        <w:rPr>
          <w:rFonts w:ascii="Arial" w:hAnsi="Arial"/>
          <w:b/>
          <w:color w:val="7C7578"/>
        </w:rPr>
        <w:t>2.5 Implication / Risk</w:t>
      </w:r>
    </w:p>
    <w:p>
      <w:pPr>
        <w:pStyle w:val="ListBullet"/>
        <w:spacing w:before="0" w:after="80"/>
        <w:numPr>
          <w:ilvl w:val="0"/>
          <w:numId w:val="17"/>
        </w:numPr>
      </w:pPr>
      <w:r>
        <w:rPr>
          <w:b/>
          <w:i w:val="0"/>
        </w:rPr>
        <w:t>Risk 1 – Service Degradation:</w:t>
      </w:r>
      <w:r>
        <w:rPr>
          <w:b w:val="0"/>
          <w:i w:val="0"/>
        </w:rPr>
        <w:t xml:space="preserve"> Jika jaringan tidak mencapai 99,99 %, outage akan meningkatkan churn hingga 3 % tambahan, menggerus pendapatan tahunan.</w:t>
      </w:r>
    </w:p>
    <w:p>
      <w:pPr>
        <w:pStyle w:val="ListBullet"/>
        <w:spacing w:before="0" w:after="80"/>
        <w:numPr>
          <w:ilvl w:val="0"/>
          <w:numId w:val="17"/>
        </w:numPr>
      </w:pPr>
      <w:r>
        <w:rPr>
          <w:b/>
          <w:i w:val="0"/>
        </w:rPr>
        <w:t>Risk 2 – Regulatory Non‑Compliance:</w:t>
      </w:r>
      <w:r>
        <w:rPr>
          <w:b w:val="0"/>
          <w:i w:val="0"/>
        </w:rPr>
        <w:t xml:space="preserve"> Ketidaksesuaian dengan kebijakan AI dan keamanan (jatengprov.go.id, 2025) dapat menimbulkan sanksi dan reputasi negatif.</w:t>
      </w:r>
    </w:p>
    <w:p>
      <w:pPr>
        <w:pStyle w:val="ListBullet"/>
        <w:spacing w:before="0" w:after="80"/>
        <w:numPr>
          <w:ilvl w:val="0"/>
          <w:numId w:val="17"/>
        </w:numPr>
      </w:pPr>
      <w:r>
        <w:rPr>
          <w:b/>
          <w:i w:val="0"/>
        </w:rPr>
        <w:t>Risk 3 – Budget Overrun:</w:t>
      </w:r>
      <w:r>
        <w:rPr>
          <w:b w:val="0"/>
          <w:i w:val="0"/>
        </w:rPr>
        <w:t xml:space="preserve"> Tanpa roadmap terukur, proyek berpotensi melampaui anggaran $30 Jt, terutama pada upgrade legacy hardware.</w:t>
      </w:r>
    </w:p>
    <w:p>
      <w:pPr>
        <w:pStyle w:val="Heading2"/>
      </w:pPr>
      <w:r>
        <w:rPr>
          <w:rFonts w:ascii="Arial" w:hAnsi="Arial"/>
          <w:b/>
          <w:color w:val="7C7578"/>
        </w:rPr>
        <w:t>2.6 Need for Solution</w:t>
      </w:r>
    </w:p>
    <w:p>
      <w:r>
        <w:rPr>
          <w:b w:val="0"/>
          <w:i w:val="0"/>
        </w:rPr>
        <w:t>Untuk menutup gap dan mitigasi risiko, diperlukan solusi yang:</w:t>
      </w:r>
    </w:p>
    <w:p>
      <w:pPr>
        <w:pStyle w:val="ListNumber"/>
        <w:spacing w:before="0" w:after="80"/>
        <w:numPr>
          <w:ilvl w:val="0"/>
          <w:numId w:val="18"/>
        </w:numPr>
      </w:pPr>
      <w:r>
        <w:rPr>
          <w:b/>
          <w:i w:val="0"/>
        </w:rPr>
        <w:t>Menerapkan kerangka TOGAF‑ITIL‑COBIT‑ISO 27001</w:t>
      </w:r>
      <w:r>
        <w:rPr>
          <w:b w:val="0"/>
          <w:i w:val="0"/>
        </w:rPr>
        <w:t xml:space="preserve"> pada seluruh fase proyek, memastikan konsistensi keputusan dan kontrol kualitas.</w:t>
      </w:r>
    </w:p>
    <w:p>
      <w:pPr>
        <w:pStyle w:val="ListNumber"/>
        <w:spacing w:before="0" w:after="80"/>
        <w:numPr>
          <w:ilvl w:val="0"/>
          <w:numId w:val="18"/>
        </w:numPr>
      </w:pPr>
      <w:r>
        <w:rPr>
          <w:b/>
          <w:i w:val="0"/>
        </w:rPr>
        <w:t>Membangun Integrated Service Dashboard</w:t>
      </w:r>
      <w:r>
        <w:rPr>
          <w:b w:val="0"/>
          <w:i w:val="0"/>
        </w:rPr>
        <w:t xml:space="preserve"> yang menampilkan real‑time network availability, churn, dan status deliverable, mendukung keputusan cepat.</w:t>
      </w:r>
    </w:p>
    <w:p>
      <w:pPr>
        <w:pStyle w:val="ListNumber"/>
        <w:spacing w:before="0" w:after="80"/>
        <w:numPr>
          <w:ilvl w:val="0"/>
          <w:numId w:val="18"/>
        </w:numPr>
      </w:pPr>
      <w:r>
        <w:rPr>
          <w:b/>
          <w:i w:val="0"/>
        </w:rPr>
        <w:t>Menyusun Roadmap Eksekusi 6 bulan</w:t>
      </w:r>
      <w:r>
        <w:rPr>
          <w:b w:val="0"/>
          <w:i w:val="0"/>
        </w:rPr>
        <w:t xml:space="preserve"> dengan milestone terukur: -</w:t>
      </w:r>
      <w:r>
        <w:rPr>
          <w:b w:val="0"/>
          <w:i/>
        </w:rPr>
        <w:t xml:space="preserve"> Design</w:t>
      </w:r>
      <w:r>
        <w:rPr>
          <w:b w:val="0"/>
          <w:i w:val="0"/>
        </w:rPr>
        <w:t xml:space="preserve"> (Weeks 1‑2) – arsitektur jaringan dan kebijakan keamanan. -</w:t>
      </w:r>
      <w:r>
        <w:rPr>
          <w:b w:val="0"/>
          <w:i/>
        </w:rPr>
        <w:t xml:space="preserve"> Configuration</w:t>
      </w:r>
      <w:r>
        <w:rPr>
          <w:b w:val="0"/>
          <w:i w:val="0"/>
        </w:rPr>
        <w:t xml:space="preserve"> (Weeks 3‑6) – upgrade hardware, integrasi AI‑assisted monitoring. -</w:t>
      </w:r>
      <w:r>
        <w:rPr>
          <w:b w:val="0"/>
          <w:i/>
        </w:rPr>
        <w:t xml:space="preserve"> UAT</w:t>
      </w:r>
      <w:r>
        <w:rPr>
          <w:b w:val="0"/>
          <w:i w:val="0"/>
        </w:rPr>
        <w:t xml:space="preserve"> (Weeks 7‑9) – skenario beban rural, validasi SLA. -</w:t>
      </w:r>
      <w:r>
        <w:rPr>
          <w:b w:val="0"/>
          <w:i/>
        </w:rPr>
        <w:t xml:space="preserve"> Go‑Live</w:t>
      </w:r>
      <w:r>
        <w:rPr>
          <w:b w:val="0"/>
          <w:i w:val="0"/>
        </w:rPr>
        <w:t xml:space="preserve"> (Weeks 10‑12) – migrasi bertahap, monitoring pasca‑launch. -</w:t>
      </w:r>
      <w:r>
        <w:rPr>
          <w:b w:val="0"/>
          <w:i/>
        </w:rPr>
        <w:t xml:space="preserve"> Handover</w:t>
      </w:r>
      <w:r>
        <w:rPr>
          <w:b w:val="0"/>
          <w:i w:val="0"/>
        </w:rPr>
        <w:t xml:space="preserve"> (Weeks 13‑14) – transfer ke NOC, pelatihan tim operasional.</w:t>
      </w:r>
    </w:p>
    <w:p>
      <w:r>
        <w:rPr>
          <w:b w:val="0"/>
          <w:i w:val="0"/>
        </w:rPr>
        <w:t>Implementasi ini akan menghasilkan</w:t>
      </w:r>
      <w:r>
        <w:rPr>
          <w:b/>
          <w:i w:val="0"/>
        </w:rPr>
        <w:t xml:space="preserve"> service availability</w:t>
      </w:r>
      <w:r>
        <w:rPr>
          <w:b w:val="0"/>
          <w:i w:val="0"/>
        </w:rPr>
        <w:t xml:space="preserve"> dan</w:t>
      </w:r>
      <w:r>
        <w:rPr>
          <w:b/>
          <w:i w:val="0"/>
        </w:rPr>
        <w:t xml:space="preserve"> pengalaman pelanggan</w:t>
      </w:r>
      <w:r>
        <w:rPr>
          <w:b w:val="0"/>
          <w:i w:val="0"/>
        </w:rPr>
        <w:t xml:space="preserve"> yang meningkat dalam 6 bulan,</w:t>
      </w:r>
      <w:r>
        <w:rPr>
          <w:b/>
          <w:i w:val="0"/>
        </w:rPr>
        <w:t xml:space="preserve"> churn</w:t>
      </w:r>
      <w:r>
        <w:rPr>
          <w:b w:val="0"/>
          <w:i w:val="0"/>
        </w:rPr>
        <w:t xml:space="preserve"> menurun, serta</w:t>
      </w:r>
      <w:r>
        <w:rPr>
          <w:b/>
          <w:i w:val="0"/>
        </w:rPr>
        <w:t xml:space="preserve"> efisiensi operasi network support</w:t>
      </w:r>
      <w:r>
        <w:rPr>
          <w:b w:val="0"/>
          <w:i w:val="0"/>
        </w:rPr>
        <w:t xml:space="preserve"> yang terukur, selaras dengan tujuan strategis IOH</w:t>
      </w:r>
    </w:p>
    <w:p>
      <w:r>
        <w:rPr>
          <w:b w:val="0"/>
          <w:i w:val="0"/>
        </w:rPr>
        <w:t>Definisi masalah untuk Indosat Ooredoo Hutchison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w:t>
      </w:r>
    </w:p>
    <w:p>
      <w:pPr>
        <w:pStyle w:val="ListBullet"/>
        <w:spacing w:before="0" w:after="80"/>
        <w:numPr>
          <w:ilvl w:val="0"/>
          <w:numId w:val="19"/>
        </w:numPr>
      </w:pPr>
      <w:r>
        <w:rPr>
          <w:b w:val="0"/>
          <w:i w:val="0"/>
        </w:rPr>
        <w:t>Rumusan masalah ini menjadi dasar klasifikasi kebutuhan pada bab berikutnya.</w:t>
      </w:r>
    </w:p>
    <w:p>
      <w:r>
        <w:br w:type="page"/>
      </w:r>
    </w:p>
    <w:p>
      <w:pPr>
        <w:pStyle w:val="Heading1"/>
        <w:jc w:val="center"/>
      </w:pPr>
      <w:r>
        <w:rPr>
          <w:color w:val="7C7578"/>
        </w:rPr>
        <w:t>BAB III – KLASIFIKASI KEBUTUHAN</w:t>
      </w:r>
    </w:p>
    <w:p>
      <w:r>
        <w:rPr>
          <w:b w:val="0"/>
          <w:i w:val="0"/>
        </w:rPr>
        <w:t>Bab klasifikasi kebutuhan untuk Indosat Ooredoo Hutchison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Directive</w:t>
      </w:r>
      <w:r>
        <w:rPr>
          <w:b w:val="0"/>
          <w:i w:val="0"/>
        </w:rPr>
        <w:t>. Pilihan ini dibuat agar proposal tidak melebar, melainkan langsung mengunci prioritas yang paling berpengaruh pada outcome seperti Service availability dan pengalaman pelanggan meningkat dalam 6 bulan. | Churn pelanggan menurun dan quality of service membaik dalam 6 bulan. | Efisiensi operasi network support meningkat dalam 6 bulan.. Bab ini ditulis sebagai penajaman arah penawaran agar sponsor segera melihat fokus kerja yang paling relevan. (Data Internal, 2026).</w:t>
      </w:r>
    </w:p>
    <w:p>
      <w:pPr>
        <w:pStyle w:val="Heading2"/>
      </w:pPr>
      <w:r>
        <w:rPr>
          <w:rFonts w:ascii="Arial" w:hAnsi="Arial"/>
          <w:b/>
          <w:color w:val="7C7578"/>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Fokus utama</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Directive</w:t>
      </w:r>
      <w:r>
        <w:rPr>
          <w:b w:val="0"/>
          <w:i w:val="0"/>
        </w:rPr>
        <w:t>, sedangkan kebutuhan lain diposisikan sebagai konteks pendukung agar arah kerja tetap terkendali. Bagi Indosat Ooredoo Hutchison,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3: prioritas kerja masih tersebar, koordinasi bisnis-teknologi belum konsisten, dan dibutuhkan kejelasan ruang lingkup, deliverable... dan kaitannya dengan target bisnis Service availability dan pengalaman pelanggan meningkat dalam 6 bulan. | Churn pelanggan menurun dan quality of service membaik dalam 6 bulan. | Efisiensi operasi network support meningkat dalam 6 bulan..</w:t>
      </w:r>
    </w:p>
    <w:p>
      <w:pPr>
        <w:pStyle w:val="Heading2"/>
      </w:pPr>
      <w:r>
        <w:rPr>
          <w:rFonts w:ascii="Arial" w:hAnsi="Arial"/>
          <w:b/>
          <w:color w:val="7C7578"/>
        </w:rPr>
        <w:t>3.2 Tujuan Utama dan Jenis Proyek</w:t>
      </w:r>
    </w:p>
    <w:p>
      <w:r>
        <w:rPr>
          <w:b w:val="0"/>
          <w:i w:val="0"/>
        </w:rPr>
        <w:t>Dengan fokus kebutuhan yang sudah mengerucut, tujuan utama proyek dapat ditegaskan sebagai upaya membantu Indosat Ooredoo Hutchison mencapai gelombang uji beban 3: penguatan tata kelola delivery, percepatan keputusan lintas unit, dan penyusunan roadmap eksekusi yang lebih... melalui model kerja</w:t>
      </w:r>
      <w:r>
        <w:rPr>
          <w:b/>
          <w:i w:val="0"/>
        </w:rPr>
        <w:t xml:space="preserve"> Implementation</w:t>
      </w:r>
      <w:r>
        <w:rPr>
          <w:b w:val="0"/>
          <w:i w:val="0"/>
        </w:rPr>
        <w:t>. Jenis proyek ini dipandang paling tepat karena masih sejalan dengan baseline metodologi internal 1. Design 2. Configuration 3. UAT 4. Go-Live 5. Handover, sekaligus cukup kuat untuk menerjemahkan kebutuhan directive menjadi deliverable, keputusan, dan quality gate yang dapat dijalankan. - Tujuan utama proposal adalah mengubah kebutuhan directive menjadi program kerja yang lebih terstruktur, terukur, dan mudah dikendalikan. - Jenis proyek</w:t>
      </w:r>
      <w:r>
        <w:rPr>
          <w:b/>
          <w:i w:val="0"/>
        </w:rPr>
        <w:t xml:space="preserve"> Implementation</w:t>
      </w:r>
      <w:r>
        <w:rPr>
          <w:b w:val="0"/>
          <w:i w:val="0"/>
        </w:rPr>
        <w:t xml:space="preserve"> dipilih karena paling sesuai untuk menjaga outcome go-live yang lebih tertata, kualitas delivery yang lebih terjaga, transisi ke operasi yang lebih rapi tetap realistis dicapai oleh Indosat Ooredoo Hutchison. - Dengan penajaman ini, bab berikutnya dapat langsung berbicara tentang pendekatan, metodologi, dan solution design yang fokus pada kebutuhan yang benar-benar diputuskan untuk ditangani.</w:t>
      </w:r>
    </w:p>
    <w:p>
      <w:pPr>
        <w:pStyle w:val="ListNumber"/>
        <w:spacing w:before="0" w:after="80"/>
        <w:numPr>
          <w:ilvl w:val="0"/>
          <w:numId w:val="20"/>
        </w:numPr>
      </w:pPr>
      <w:r>
        <w:rPr>
          <w:b w:val="0"/>
          <w:i w:val="0"/>
        </w:rPr>
        <w:t>Prioritas implementasi untuk Indosat Ooredoo Hutchison diarahkan agar tetap selaras dengan Service availability dan pengalaman pelanggan meningkat dalam 6 bulan. | Churn pelanggan menurun dan quality of service membaik dalam 6 bulan..</w:t>
      </w:r>
    </w:p>
    <w:p>
      <w:pPr>
        <w:pStyle w:val="ListNumber"/>
        <w:spacing w:before="0" w:after="80"/>
        <w:numPr>
          <w:ilvl w:val="0"/>
          <w:numId w:val="20"/>
        </w:numPr>
      </w:pPr>
      <w:r>
        <w:rPr>
          <w:b w:val="0"/>
          <w:i w:val="0"/>
        </w:rPr>
        <w:t>Keputusan delivery dan quality gate pada bab ini harus konsisten dengan istilah kerja subscriber, network availability.</w:t>
      </w:r>
    </w:p>
    <w:p>
      <w:r>
        <w:br w:type="page"/>
      </w:r>
    </w:p>
    <w:p>
      <w:pPr>
        <w:pStyle w:val="Heading1"/>
        <w:jc w:val="center"/>
      </w:pPr>
      <w:r>
        <w:rPr>
          <w:color w:val="7C7578"/>
        </w:rPr>
        <w:t>BAB IV – PENDEKATAN</w:t>
      </w:r>
    </w:p>
    <w:p>
      <w:pPr>
        <w:pStyle w:val="Heading2"/>
      </w:pPr>
      <w:r>
        <w:rPr>
          <w:rFonts w:ascii="Arial" w:hAnsi="Arial"/>
          <w:b/>
          <w:color w:val="7C7578"/>
        </w:rPr>
        <w:t>4.1 Acuan Prinsip/Framework/Teori/Regulasi</w:t>
      </w:r>
    </w:p>
    <w:p>
      <w:pPr>
        <w:pStyle w:val="Heading3"/>
      </w:pPr>
      <w:r>
        <w:rPr>
          <w:rFonts w:ascii="Arial" w:hAnsi="Arial"/>
          <w:b/>
          <w:color w:val="7C7578"/>
        </w:rPr>
        <w:t>4.1.1 TOGAF – Enterprise Architecture</w:t>
      </w:r>
    </w:p>
    <w:p>
      <w:pPr>
        <w:pStyle w:val="ListNumber"/>
        <w:spacing w:before="0" w:after="80"/>
        <w:numPr>
          <w:ilvl w:val="0"/>
          <w:numId w:val="21"/>
        </w:numPr>
      </w:pPr>
      <w:r>
        <w:rPr>
          <w:b/>
          <w:i w:val="0"/>
        </w:rPr>
        <w:t>Preliminary → Requirements → Implementation Governance</w:t>
      </w:r>
    </w:p>
    <w:p>
      <w:pPr>
        <w:pStyle w:val="Heading2"/>
      </w:pPr>
      <w:r>
        <w:rPr>
          <w:rFonts w:ascii="Arial" w:hAnsi="Arial"/>
          <w:b/>
          <w:color w:val="7C7578"/>
        </w:rPr>
        <w:t>4.2 Standar Penyelesaian Masalah</w:t>
      </w:r>
    </w:p>
    <w:p>
      <w:pPr>
        <w:pStyle w:val="Heading3"/>
      </w:pPr>
      <w:r>
        <w:rPr>
          <w:rFonts w:ascii="Arial" w:hAnsi="Arial"/>
          <w:b/>
          <w:color w:val="7C7578"/>
        </w:rPr>
        <w:t>Rincian Inti</w:t>
      </w:r>
    </w:p>
    <w:p>
      <w:pPr>
        <w:pStyle w:val="ListNumber"/>
        <w:spacing w:before="0" w:after="80"/>
        <w:numPr>
          <w:ilvl w:val="0"/>
          <w:numId w:val="22"/>
        </w:numPr>
      </w:pPr>
      <w:r>
        <w:rPr>
          <w:b w:val="0"/>
          <w:i w:val="0"/>
        </w:rPr>
        <w:t>Aktivitas utama pada bagian ini disesuaikan langsung dengan kebutuhan bisnis klien. - Risiko, dependensi, dan indikator keberhasilan dijabarkan secara terukur untuk eksekusi. - Untuk Indosat Ooredoo Hutchison, isi bab ini tetap diarahkan pada keputusan dan langkah kerja yang konkret. - Istilah kerja yang tetap dijaga pada bab ini mencakup subscriber, network availability, service assurance. - KPI acuan yang tetap dijaga pada bab ini adalah Service availability dan pengalaman pelanggan meningkat dalam 6 bulan. | Churn pelanggan menurun dan quality of service membaik dalam 6 bulan..</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pPr>
        <w:pStyle w:val="ListBullet"/>
        <w:spacing w:before="0" w:after="80"/>
        <w:numPr>
          <w:ilvl w:val="0"/>
          <w:numId w:val="23"/>
        </w:numPr>
      </w:pPr>
      <w:r>
        <w:rPr>
          <w:b w:val="0"/>
          <w:i w:val="0"/>
        </w:rPr>
        <w:t>Implikasi eksekusinya harus tetap jelas agar sponsor dan tim delivery dapat menurunkan isi bab ini menjadi tindakan yang konkret.</w:t>
      </w:r>
    </w:p>
    <w:p>
      <w:pPr>
        <w:pStyle w:val="ListBullet"/>
        <w:spacing w:before="0" w:after="80"/>
        <w:numPr>
          <w:ilvl w:val="0"/>
          <w:numId w:val="23"/>
        </w:numPr>
      </w:pPr>
      <w:r>
        <w:rPr>
          <w:b w:val="0"/>
          <w:i w:val="0"/>
        </w:rPr>
        <w:t>Dengan pendekatan ini, narasi proposal tetap terhubung pada kebutuhan bisnis sekaligus tidak kehilangan kontrol implementasi.</w:t>
      </w:r>
    </w:p>
    <w:p>
      <w:r>
        <w:rPr>
          <w:b w:val="0"/>
          <w:i w:val="0"/>
        </w:rPr>
        <w:t>Secara praktis, hal ini membantu Indosat Ooredoo Hutchison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Indosat Ooredoo Hutchison. Artinya, isi bab tidak berhenti pada deskripsi, tetapi tetap menunjukkan keterkaitan antara keputusan kerja, KPI Service availability dan pengalaman pelanggan meningkat dalam 6 bulan. | Churn pelanggan menurun dan quality of service membaik dalam 6 bulan., bahasa operasional subscriber, network availability, dan konteks inisiatif yang sedang dijalankan.</w:t>
      </w:r>
    </w:p>
    <w:p>
      <w:r>
        <w:br w:type="page"/>
      </w:r>
    </w:p>
    <w:p>
      <w:pPr>
        <w:pStyle w:val="Heading1"/>
        <w:jc w:val="center"/>
      </w:pPr>
      <w:r>
        <w:rPr>
          <w:color w:val="7C7578"/>
        </w:rPr>
        <w:t>BAB V – METODOLOGI</w:t>
      </w:r>
    </w:p>
    <w:p>
      <w:pPr>
        <w:pStyle w:val="Heading2"/>
      </w:pPr>
      <w:r>
        <w:rPr>
          <w:rFonts w:ascii="Arial" w:hAnsi="Arial"/>
          <w:b/>
          <w:color w:val="7C7578"/>
        </w:rPr>
        <w:t>5.1 Alasan Pemilihan Metodologi</w:t>
      </w:r>
    </w:p>
    <w:p>
      <w:pPr>
        <w:pStyle w:val="ListNumber"/>
        <w:spacing w:before="0" w:after="80"/>
        <w:numPr>
          <w:ilvl w:val="0"/>
          <w:numId w:val="24"/>
        </w:numPr>
      </w:pPr>
      <w:r>
        <w:rPr>
          <w:b/>
          <w:i w:val="0"/>
        </w:rPr>
        <w:t>Tata kelola lintas unit</w:t>
      </w:r>
      <w:r>
        <w:rPr>
          <w:b w:val="0"/>
          <w:i w:val="0"/>
        </w:rPr>
        <w:t xml:space="preserve"> – Gelombang beban 3 menuntut integrasi bisnis, jaringan, dan keamanan. TOGAF memberi kerangka arsitektur enterprise yang memetakan alur</w:t>
      </w:r>
      <w:r>
        <w:rPr>
          <w:b w:val="0"/>
          <w:i/>
        </w:rPr>
        <w:t xml:space="preserve"> subscriber</w:t>
      </w:r>
      <w:r>
        <w:rPr>
          <w:b w:val="0"/>
          <w:i w:val="0"/>
        </w:rPr>
        <w:t xml:space="preserve"> →</w:t>
      </w:r>
      <w:r>
        <w:rPr>
          <w:b w:val="0"/>
          <w:i/>
        </w:rPr>
        <w:t xml:space="preserve"> network availability</w:t>
      </w:r>
      <w:r>
        <w:rPr>
          <w:b w:val="0"/>
          <w:i w:val="0"/>
        </w:rPr>
        <w:t xml:space="preserve"> →</w:t>
      </w:r>
      <w:r>
        <w:rPr>
          <w:b w:val="0"/>
          <w:i/>
        </w:rPr>
        <w:t xml:space="preserve"> service assurance</w:t>
      </w:r>
      <w:r>
        <w:rPr>
          <w:b w:val="0"/>
          <w:i w:val="0"/>
        </w:rPr>
        <w:t xml:space="preserve"> (Data Internal, 2026).</w:t>
      </w:r>
    </w:p>
    <w:p>
      <w:pPr>
        <w:pStyle w:val="ListNumber"/>
        <w:spacing w:before="0" w:after="80"/>
        <w:numPr>
          <w:ilvl w:val="0"/>
          <w:numId w:val="24"/>
        </w:numPr>
      </w:pPr>
      <w:r>
        <w:rPr>
          <w:b/>
          <w:i w:val="0"/>
        </w:rPr>
        <w:t>Kepatuhan regulasi &amp; keamanan</w:t>
      </w:r>
      <w:r>
        <w:rPr>
          <w:b w:val="0"/>
          <w:i w:val="0"/>
        </w:rPr>
        <w:t xml:space="preserve"> – ISO 27001 memastikan kontrol informasi pada NOC serta perlindungan data pelanggan, sejalan dengan kebijakan AI yang baru diluncurkan oleh Indosat (instagram.com, 2026).</w:t>
      </w:r>
    </w:p>
    <w:p>
      <w:pPr>
        <w:pStyle w:val="ListNumber"/>
        <w:spacing w:before="0" w:after="80"/>
        <w:numPr>
          <w:ilvl w:val="0"/>
          <w:numId w:val="24"/>
        </w:numPr>
      </w:pPr>
      <w:r>
        <w:rPr>
          <w:b/>
          <w:i w:val="0"/>
        </w:rPr>
        <w:t>Optimasi operasional</w:t>
      </w:r>
      <w:r>
        <w:rPr>
          <w:b w:val="0"/>
          <w:i w:val="0"/>
        </w:rPr>
        <w:t xml:space="preserve"> – ITIL v4 menstandardisasi proses incident‑to‑resolution, mempercepat keputusan pada</w:t>
      </w:r>
      <w:r>
        <w:rPr>
          <w:b w:val="0"/>
          <w:i/>
        </w:rPr>
        <w:t xml:space="preserve"> customer churn</w:t>
      </w:r>
      <w:r>
        <w:rPr>
          <w:b w:val="0"/>
          <w:i w:val="0"/>
        </w:rPr>
        <w:t xml:space="preserve"> dan menurunkan downtime dari baseline 99,5 % ke target 99,99 % (Data Internal, 2026).</w:t>
      </w:r>
    </w:p>
    <w:p>
      <w:pPr>
        <w:pStyle w:val="ListNumber"/>
        <w:spacing w:before="0" w:after="80"/>
        <w:numPr>
          <w:ilvl w:val="0"/>
          <w:numId w:val="24"/>
        </w:numPr>
      </w:pPr>
      <w:r>
        <w:rPr>
          <w:b/>
          <w:i w:val="0"/>
        </w:rPr>
        <w:t>Pengendalian nilai &amp; risiko</w:t>
      </w:r>
      <w:r>
        <w:rPr>
          <w:b w:val="0"/>
          <w:i w:val="0"/>
        </w:rPr>
        <w:t xml:space="preserve"> – COBIT 2019 menambahkan lapisan</w:t>
      </w:r>
      <w:r>
        <w:rPr>
          <w:b w:val="0"/>
          <w:i/>
        </w:rPr>
        <w:t xml:space="preserve"> governance</w:t>
      </w:r>
      <w:r>
        <w:rPr>
          <w:b w:val="0"/>
          <w:i w:val="0"/>
        </w:rPr>
        <w:t xml:space="preserve"> untuk mengukur KPI (availability, churn, efisiensi) serta memantau risiko kompatibilitas legacy hardware (Data Internal, 2026).</w:t>
      </w:r>
    </w:p>
    <w:p>
      <w:r>
        <w:rPr>
          <w:b w:val="0"/>
          <w:i w:val="0"/>
        </w:rPr>
        <w:t>Kombinasi keempat kerangka menghasilkan jalur end‑to‑end: desain arsitektur (TOGAF), kontrol keamanan (ISO 27001), proses layanan (ITIL), dan pengawasan nilai (COBIT). Pendekatan ini selaras dengan posisi Indosat sebagai pilar utama industri telekomunikasi Indonesia (startfriday.asia, 2025) dan pencapaian Fortune 100 Best Companies to Work For Southeast Asia 2025 (threads.com, 2026), yang menuntut standar operasional kelas dunia.</w:t>
      </w:r>
    </w:p>
    <w:p>
      <w:pPr>
        <w:pStyle w:val="Heading2"/>
      </w:pPr>
      <w:r>
        <w:rPr>
          <w:rFonts w:ascii="Arial" w:hAnsi="Arial"/>
          <w:b/>
          <w:color w:val="7C7578"/>
        </w:rPr>
        <w:t>5.2 Langkah Kerja dengan Framework Terpilih</w:t>
      </w:r>
    </w:p>
    <w:p>
      <w:pPr>
        <w:pStyle w:val="ListBullet"/>
        <w:spacing w:before="0" w:after="80"/>
        <w:numPr>
          <w:ilvl w:val="0"/>
          <w:numId w:val="25"/>
        </w:numPr>
      </w:pPr>
      <w:r>
        <w:rPr>
          <w:b/>
          <w:i w:val="0"/>
        </w:rPr>
        <w:t>Fase 1 – Design (TOGAF + COBIT)</w:t>
      </w:r>
    </w:p>
    <w:p>
      <w:pPr>
        <w:pStyle w:val="ListBullet"/>
        <w:spacing w:before="0" w:after="80"/>
        <w:numPr>
          <w:ilvl w:val="0"/>
          <w:numId w:val="25"/>
        </w:numPr>
      </w:pPr>
      <w:r>
        <w:rPr>
          <w:b w:val="0"/>
          <w:i/>
        </w:rPr>
        <w:t>Aktivitas</w:t>
      </w:r>
      <w:r>
        <w:rPr>
          <w:b w:val="0"/>
          <w:i w:val="0"/>
        </w:rPr>
        <w:t>: Analisis kebutuhan bisnis (journey subscriber, SLA NOC); penyusunan Architecture Vision &amp; Governance Map.</w:t>
      </w:r>
    </w:p>
    <w:p>
      <w:pPr>
        <w:pStyle w:val="ListBullet"/>
        <w:spacing w:before="0" w:after="80"/>
        <w:numPr>
          <w:ilvl w:val="0"/>
          <w:numId w:val="25"/>
        </w:numPr>
      </w:pPr>
      <w:r>
        <w:rPr>
          <w:b w:val="0"/>
          <w:i/>
        </w:rPr>
        <w:t>Output</w:t>
      </w:r>
      <w:r>
        <w:rPr>
          <w:b w:val="0"/>
          <w:i w:val="0"/>
        </w:rPr>
        <w:t>: Blueprint arsitektur jaringan dengan kontrol ISO 27001, dokumen Enterprise Architecture yang terhubung ke KPI target.</w:t>
      </w:r>
    </w:p>
    <w:p>
      <w:pPr>
        <w:pStyle w:val="ListBullet"/>
        <w:spacing w:before="0" w:after="80"/>
        <w:numPr>
          <w:ilvl w:val="0"/>
          <w:numId w:val="25"/>
        </w:numPr>
      </w:pPr>
      <w:r>
        <w:rPr>
          <w:b/>
          <w:i w:val="0"/>
        </w:rPr>
        <w:t>Fase 2 – Configuration (ITIL + ISO 27001)</w:t>
      </w:r>
    </w:p>
    <w:p>
      <w:pPr>
        <w:pStyle w:val="ListBullet"/>
        <w:spacing w:before="0" w:after="80"/>
        <w:numPr>
          <w:ilvl w:val="0"/>
          <w:numId w:val="25"/>
        </w:numPr>
      </w:pPr>
      <w:r>
        <w:rPr>
          <w:b w:val="0"/>
          <w:i/>
        </w:rPr>
        <w:t>Aktivitas</w:t>
      </w:r>
      <w:r>
        <w:rPr>
          <w:b w:val="0"/>
          <w:i w:val="0"/>
        </w:rPr>
        <w:t>: Penyediaan lingkungan staging; konfigurasi perangkat legacy &amp; virtualisasi; implementasi kontrol keamanan (access management, log monitoring).</w:t>
      </w:r>
    </w:p>
    <w:p>
      <w:pPr>
        <w:pStyle w:val="ListBullet"/>
        <w:spacing w:before="0" w:after="80"/>
        <w:numPr>
          <w:ilvl w:val="0"/>
          <w:numId w:val="25"/>
        </w:numPr>
      </w:pPr>
      <w:r>
        <w:rPr>
          <w:b w:val="0"/>
          <w:i/>
        </w:rPr>
        <w:t>Output</w:t>
      </w:r>
      <w:r>
        <w:rPr>
          <w:b w:val="0"/>
          <w:i w:val="0"/>
        </w:rPr>
        <w:t>: Sistem ter‑konfigurasi siap UAT, checklist compliance ISO 27001, prosedur Change Management ITIL.</w:t>
      </w:r>
    </w:p>
    <w:p>
      <w:pPr>
        <w:pStyle w:val="ListBullet"/>
        <w:spacing w:before="0" w:after="80"/>
        <w:numPr>
          <w:ilvl w:val="0"/>
          <w:numId w:val="25"/>
        </w:numPr>
      </w:pPr>
      <w:r>
        <w:rPr>
          <w:b/>
          <w:i w:val="0"/>
        </w:rPr>
        <w:t>Fase 3 – UAT (COBIT + ITIL)</w:t>
      </w:r>
    </w:p>
    <w:p>
      <w:pPr>
        <w:pStyle w:val="ListBullet"/>
        <w:spacing w:before="0" w:after="80"/>
        <w:numPr>
          <w:ilvl w:val="0"/>
          <w:numId w:val="25"/>
        </w:numPr>
      </w:pPr>
      <w:r>
        <w:rPr>
          <w:b w:val="0"/>
          <w:i/>
        </w:rPr>
        <w:t>Aktivitas</w:t>
      </w:r>
      <w:r>
        <w:rPr>
          <w:b w:val="0"/>
          <w:i w:val="0"/>
        </w:rPr>
        <w:t>: Eksekusi skenario beban 3 pada jaringan rural untuk menguji</w:t>
      </w:r>
      <w:r>
        <w:rPr>
          <w:b w:val="0"/>
          <w:i/>
        </w:rPr>
        <w:t xml:space="preserve"> network availability</w:t>
      </w:r>
      <w:r>
        <w:rPr>
          <w:b w:val="0"/>
          <w:i w:val="0"/>
        </w:rPr>
        <w:t xml:space="preserve"> dan</w:t>
      </w:r>
      <w:r>
        <w:rPr>
          <w:b w:val="0"/>
          <w:i/>
        </w:rPr>
        <w:t xml:space="preserve"> service assurance</w:t>
      </w:r>
      <w:r>
        <w:rPr>
          <w:b w:val="0"/>
          <w:i w:val="0"/>
        </w:rPr>
        <w:t>; pengukuran downtime, latency, dan indikator churn.</w:t>
      </w:r>
    </w:p>
    <w:p>
      <w:pPr>
        <w:pStyle w:val="ListBullet"/>
        <w:spacing w:before="0" w:after="80"/>
        <w:numPr>
          <w:ilvl w:val="0"/>
          <w:numId w:val="25"/>
        </w:numPr>
      </w:pPr>
      <w:r>
        <w:rPr>
          <w:b w:val="0"/>
          <w:i/>
        </w:rPr>
        <w:t>Output</w:t>
      </w:r>
      <w:r>
        <w:rPr>
          <w:b w:val="0"/>
          <w:i w:val="0"/>
        </w:rPr>
        <w:t>: Laporan UAT dengan gap analysis, rekomendasi mitigasi risiko legacy hardware.</w:t>
      </w:r>
    </w:p>
    <w:p>
      <w:pPr>
        <w:pStyle w:val="ListBullet"/>
        <w:spacing w:before="0" w:after="80"/>
        <w:numPr>
          <w:ilvl w:val="0"/>
          <w:numId w:val="25"/>
        </w:numPr>
      </w:pPr>
      <w:r>
        <w:rPr>
          <w:b/>
          <w:i w:val="0"/>
        </w:rPr>
        <w:t>Fase 4 – Go‑Live (ITIL Service Transition)</w:t>
      </w:r>
    </w:p>
    <w:p>
      <w:pPr>
        <w:pStyle w:val="ListBullet"/>
        <w:spacing w:before="0" w:after="80"/>
        <w:numPr>
          <w:ilvl w:val="0"/>
          <w:numId w:val="25"/>
        </w:numPr>
      </w:pPr>
      <w:r>
        <w:rPr>
          <w:b w:val="0"/>
          <w:i/>
        </w:rPr>
        <w:t>Aktivitas</w:t>
      </w:r>
      <w:r>
        <w:rPr>
          <w:b w:val="0"/>
          <w:i w:val="0"/>
        </w:rPr>
        <w:t>: Cut‑over terkoordinasi ke produksi; monitoring real‑time melalui NOC; aktivasi prosedur Incident Response berbasis ITIL.</w:t>
      </w:r>
    </w:p>
    <w:p>
      <w:pPr>
        <w:pStyle w:val="ListBullet"/>
        <w:spacing w:before="0" w:after="80"/>
        <w:numPr>
          <w:ilvl w:val="0"/>
          <w:numId w:val="25"/>
        </w:numPr>
      </w:pPr>
      <w:r>
        <w:rPr>
          <w:b w:val="0"/>
          <w:i/>
        </w:rPr>
        <w:t>Output</w:t>
      </w:r>
      <w:r>
        <w:rPr>
          <w:b w:val="0"/>
          <w:i w:val="0"/>
        </w:rPr>
        <w:t>: Sistem live dengan SLA ≥ 99,99 %, run‑book operasional, dan Post‑Implementation Review.</w:t>
      </w:r>
    </w:p>
    <w:p>
      <w:pPr>
        <w:pStyle w:val="ListBullet"/>
        <w:spacing w:before="0" w:after="80"/>
        <w:numPr>
          <w:ilvl w:val="0"/>
          <w:numId w:val="25"/>
        </w:numPr>
      </w:pPr>
      <w:r>
        <w:rPr>
          <w:b/>
          <w:i w:val="0"/>
        </w:rPr>
        <w:t>Fase 5 – Handover (COBIT + ISO 27001 Audit)</w:t>
      </w:r>
    </w:p>
    <w:p>
      <w:pPr>
        <w:pStyle w:val="ListBullet"/>
        <w:spacing w:before="0" w:after="80"/>
        <w:numPr>
          <w:ilvl w:val="0"/>
          <w:numId w:val="25"/>
        </w:numPr>
      </w:pPr>
      <w:r>
        <w:rPr>
          <w:b w:val="0"/>
          <w:i/>
        </w:rPr>
        <w:t>Aktivitas</w:t>
      </w:r>
      <w:r>
        <w:rPr>
          <w:b w:val="0"/>
          <w:i w:val="0"/>
        </w:rPr>
        <w:t>: Transfer pengetahuan ke tim internal Indosat, pelatihan operasional NOC; audit akhir ISO 27001, penetapan KPI dashboard.</w:t>
      </w:r>
    </w:p>
    <w:p>
      <w:pPr>
        <w:pStyle w:val="ListBullet"/>
        <w:spacing w:before="0" w:after="80"/>
        <w:numPr>
          <w:ilvl w:val="0"/>
          <w:numId w:val="25"/>
        </w:numPr>
      </w:pPr>
      <w:r>
        <w:rPr>
          <w:b w:val="0"/>
          <w:i/>
        </w:rPr>
        <w:t>Output</w:t>
      </w:r>
      <w:r>
        <w:rPr>
          <w:b w:val="0"/>
          <w:i w:val="0"/>
        </w:rPr>
        <w:t>: Kontrak layanan berkelanjutan, laporan audit, serta roadmap evolusi 12 bulan ke depan.</w:t>
      </w:r>
    </w:p>
    <w:p>
      <w:r>
        <w:rPr>
          <w:b w:val="0"/>
          <w:i w:val="0"/>
        </w:rPr>
        <w:t>Setiap fase dilengkapi</w:t>
      </w:r>
      <w:r>
        <w:rPr>
          <w:b w:val="0"/>
          <w:i/>
        </w:rPr>
        <w:t xml:space="preserve"> milestone</w:t>
      </w:r>
      <w:r>
        <w:rPr>
          <w:b w:val="0"/>
          <w:i w:val="0"/>
        </w:rPr>
        <w:t xml:space="preserve"> terukur (mis. 95 % konfigurasi selesai minggu 4, downtime ≤ 0,2 % selama UAT) dan</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pPr>
        <w:pStyle w:val="ListBullet"/>
        <w:spacing w:before="0" w:after="80"/>
        <w:numPr>
          <w:ilvl w:val="0"/>
          <w:numId w:val="26"/>
        </w:numPr>
      </w:pPr>
      <w:r>
        <w:rPr>
          <w:b w:val="0"/>
          <w:i w:val="0"/>
        </w:rPr>
        <w:t>Implikasi eksekusinya harus tetap jelas agar sponsor dan tim delivery dapat menurunkan isi bab ini menjadi tindakan yang konkret.</w:t>
      </w:r>
    </w:p>
    <w:p>
      <w:pPr>
        <w:pStyle w:val="ListBullet"/>
        <w:spacing w:before="0" w:after="80"/>
        <w:numPr>
          <w:ilvl w:val="0"/>
          <w:numId w:val="26"/>
        </w:numPr>
      </w:pPr>
      <w:r>
        <w:rPr>
          <w:b w:val="0"/>
          <w:i w:val="0"/>
        </w:rPr>
        <w:t>Dengan pendekatan ini, narasi proposal tetap terhubung pada kebutuhan bisnis sekaligus tidak kehilangan kontrol implementasi.</w:t>
      </w:r>
    </w:p>
    <w:p>
      <w:r>
        <w:rPr>
          <w:b w:val="0"/>
          <w:i w:val="0"/>
        </w:rPr>
        <w:t>Secara praktis, hal ini membantu Indosat Ooredoo Hutchison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Indosat Ooredoo Hutchison. Artinya, isi bab tidak berhenti pada deskripsi, tetapi tetap menunjukkan keterkaitan antara keputusan kerja, KPI Service availability dan pengalaman pelanggan meningkat dalam 6 bulan. | Churn pelanggan menurun dan quality of service membaik dalam 6 bulan., bahasa operasional subscriber, network availability, dan konteks inisiatif yang sedang dijalankan.</w:t>
      </w:r>
    </w:p>
    <w:p>
      <w:r>
        <w:br w:type="page"/>
      </w:r>
    </w:p>
    <w:p>
      <w:pPr>
        <w:pStyle w:val="Heading1"/>
        <w:jc w:val="center"/>
      </w:pPr>
      <w:r>
        <w:rPr>
          <w:color w:val="7C7578"/>
        </w:rPr>
        <w:t>BAB VI – SOLUTION DESIGN</w:t>
      </w:r>
    </w:p>
    <w:p>
      <w:r>
        <w:rPr>
          <w:b w:val="0"/>
          <w:i w:val="0"/>
        </w:rPr>
        <w:t>Solution design untuk Indosat Ooredoo Hutchison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3: penguatan tata kelola delivery, percepatan keputusan lintas unit, dan penyusunan roadmap eksekusi yang lebih... secara nyata. Dengan pendekatan ini, desain solusi tetap terhubung ke KPI seperti Service availability dan pengalaman pelanggan meningkat dalam 6 bulan. | Churn pelanggan menurun dan quality of service membaik dalam 6 bulan. | Efisiensi operasi network support meningkat dalam 6 bulan., sekaligus menjaga nilai proposal tetap terasa konkret dan dapat dijalankan (Data Internal, 2026).</w:t>
      </w:r>
    </w:p>
    <w:p>
      <w:pPr>
        <w:pStyle w:val="Heading2"/>
      </w:pPr>
      <w:r>
        <w:rPr>
          <w:rFonts w:ascii="Arial" w:hAnsi="Arial"/>
          <w:b/>
          <w:color w:val="7C7578"/>
        </w:rPr>
        <w:t>6.1 Solusi/Output Metodologi yang Dibangun</w:t>
      </w:r>
    </w:p>
    <w:p>
      <w:r>
        <w:rPr>
          <w:b w:val="0"/>
          <w:i w:val="0"/>
        </w:rPr>
        <w:t>Solusi yang ditawarkan diarahkan untuk membantu Indosat Ooredoo Hutchison bergerak dari kebutuhan directive menuju target state yang lebih terukur. Karena itu, desain solusi tidak ditulis sebagai konsep yang berdiri sendiri, tetapi sebagai rangkaian output kerja yang diturunkan dari metodologi 1. Design 2. Configuration 3. UAT 4. Go-Live 5. Handover. - Output utama dirancang agar keputusan sponsor, kontrol delivery, dan koordinasi stakeholder tetap bergerak dengan istilah kerja subscriber, network availability, service assurance. - Target state yang dibangun harus tetap selaras dengan manfaat yang dijanjikan, terutama go-live yang lebih tertata, kualitas delivery yang lebih terjaga, transisi ke operasi yang lebih rapi. - Tiap output harus bisa diterjemahkan menjadi deliverable, quality gate, dan bahan keputusan pada fase berikutnya.</w:t>
      </w:r>
    </w:p>
    <w:p>
      <w:pPr>
        <w:pStyle w:val="Heading2"/>
      </w:pPr>
      <w:r>
        <w:rPr>
          <w:rFonts w:ascii="Arial" w:hAnsi="Arial"/>
          <w:b/>
          <w:color w:val="7C7578"/>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solution design, konfigurasi acuan, dan handover pack</w:t>
            </w:r>
          </w:p>
        </w:tc>
        <w:tc>
          <w:tcPr>
            <w:tcW w:type="dxa" w:w="3120"/>
          </w:tcPr>
          <w:p>
            <w:r>
              <w:rPr>
                <w:b w:val="0"/>
                <w:i w:val="0"/>
              </w:rPr>
              <w:t>menjadi referensi kerja yang siap dieksekusi</w:t>
            </w:r>
          </w:p>
        </w:tc>
      </w:tr>
      <w:tr>
        <w:tc>
          <w:tcPr>
            <w:tcW w:type="dxa" w:w="3120"/>
          </w:tcPr>
          <w:p>
            <w:r>
              <w:rPr>
                <w:b w:val="0"/>
                <w:i w:val="0"/>
              </w:rPr>
              <w:t>Pendampingan</w:t>
            </w:r>
          </w:p>
        </w:tc>
        <w:tc>
          <w:tcPr>
            <w:tcW w:type="dxa" w:w="3120"/>
          </w:tcPr>
          <w:p>
            <w:r>
              <w:rPr>
                <w:b w:val="0"/>
                <w:i w:val="0"/>
              </w:rPr>
              <w:t>pendampingan UAT, readiness review, dan issue resolution</w:t>
            </w:r>
          </w:p>
        </w:tc>
        <w:tc>
          <w:tcPr>
            <w:tcW w:type="dxa" w:w="3120"/>
          </w:tcPr>
          <w:p>
            <w:r>
              <w:rPr>
                <w:b w:val="0"/>
                <w:i w:val="0"/>
              </w:rPr>
              <w:t>memastikan kesiapan implementasi dan kualitas hasil</w:t>
            </w:r>
          </w:p>
        </w:tc>
      </w:tr>
      <w:tr>
        <w:tc>
          <w:tcPr>
            <w:tcW w:type="dxa" w:w="3120"/>
          </w:tcPr>
          <w:p>
            <w:r>
              <w:rPr>
                <w:b w:val="0"/>
                <w:i w:val="0"/>
              </w:rPr>
              <w:t>Kegiatan</w:t>
            </w:r>
          </w:p>
        </w:tc>
        <w:tc>
          <w:tcPr>
            <w:tcW w:type="dxa" w:w="3120"/>
          </w:tcPr>
          <w:p>
            <w:r>
              <w:rPr>
                <w:b w:val="0"/>
                <w:i w:val="0"/>
              </w:rPr>
              <w:t>workshop teknis, review design, dan sesi cut-over preparation</w:t>
            </w:r>
          </w:p>
        </w:tc>
        <w:tc>
          <w:tcPr>
            <w:tcW w:type="dxa" w:w="3120"/>
          </w:tcPr>
          <w:p>
            <w:r>
              <w:rPr>
                <w:b w:val="0"/>
                <w:i w:val="0"/>
              </w:rPr>
              <w:t>menjaga kesiapan tim dan alignment antar pihak</w:t>
            </w:r>
          </w:p>
        </w:tc>
      </w:tr>
      <w:tr>
        <w:tc>
          <w:tcPr>
            <w:tcW w:type="dxa" w:w="3120"/>
          </w:tcPr>
          <w:p>
            <w:r>
              <w:rPr>
                <w:b w:val="0"/>
                <w:i w:val="0"/>
              </w:rPr>
              <w:t>Implementation Support</w:t>
            </w:r>
          </w:p>
        </w:tc>
        <w:tc>
          <w:tcPr>
            <w:tcW w:type="dxa" w:w="3120"/>
          </w:tcPr>
          <w:p>
            <w:r>
              <w:rPr>
                <w:b w:val="0"/>
                <w:i w:val="0"/>
              </w:rPr>
              <w:t>go-live assistance dan early stabilization</w:t>
            </w:r>
          </w:p>
        </w:tc>
        <w:tc>
          <w:tcPr>
            <w:tcW w:type="dxa" w:w="3120"/>
          </w:tcPr>
          <w:p>
            <w:r>
              <w:rPr>
                <w:b w:val="0"/>
                <w:i w:val="0"/>
              </w:rPr>
              <w:t>membantu transisi ke operasi berjalan lebih rapi</w:t>
            </w:r>
          </w:p>
        </w:tc>
      </w:tr>
    </w:tbl>
    <w:p>
      <w:r>
        <w:rPr>
          <w:b w:val="0"/>
          <w:i w:val="0"/>
        </w:rPr>
        <w:t>Dengan struktur keluaran seperti ini, Indosat Ooredoo Hutchison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7"/>
        </w:numPr>
      </w:pPr>
      <w:r>
        <w:rPr>
          <w:b w:val="0"/>
          <w:i w:val="0"/>
        </w:rPr>
        <w:t>Prioritas implementasi untuk Indosat Ooredoo Hutchison diarahkan agar tetap selaras dengan Service availability dan pengalaman pelanggan meningkat dalam 6 bulan. | Churn pelanggan menurun dan quality of service membaik dalam 6 bulan..</w:t>
      </w:r>
    </w:p>
    <w:p>
      <w:pPr>
        <w:pStyle w:val="ListNumber"/>
        <w:spacing w:before="0" w:after="80"/>
        <w:numPr>
          <w:ilvl w:val="0"/>
          <w:numId w:val="27"/>
        </w:numPr>
      </w:pPr>
      <w:r>
        <w:rPr>
          <w:b w:val="0"/>
          <w:i w:val="0"/>
        </w:rPr>
        <w:t>Keputusan delivery dan quality gate pada bab ini harus konsisten dengan istilah kerja subscriber, network availability.</w:t>
      </w:r>
    </w:p>
    <w:p>
      <w:r>
        <w:br w:type="page"/>
      </w:r>
    </w:p>
    <w:p>
      <w:pPr>
        <w:pStyle w:val="Heading1"/>
        <w:jc w:val="center"/>
      </w:pPr>
      <w:r>
        <w:rPr>
          <w:color w:val="7C7578"/>
        </w:rPr>
        <w:t>BAB VII – RUANG LINGKUP PEKERJAAN</w:t>
      </w:r>
    </w:p>
    <w:p>
      <w:r>
        <w:rPr>
          <w:b w:val="0"/>
          <w:i w:val="0"/>
        </w:rPr>
        <w:t>Ruang lingkup pekerjaan untuk Indosat Ooredoo Hutchison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C7578"/>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3: penguatan tata kelola delivery, percepatan keputusan... dan ruang problem yang direspons sudah selaras</w:t>
            </w:r>
          </w:p>
        </w:tc>
        <w:tc>
          <w:tcPr>
            <w:tcW w:type="dxa" w:w="2340"/>
          </w:tcPr>
          <w:p>
            <w:r>
              <w:rPr>
                <w:b w:val="0"/>
                <w:i w:val="0"/>
              </w:rPr>
              <w:t>solution design, konfigurasi acuan, dan handover pack</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3: prioritas kerja masih tersebar, koordinasi bisnis-teknologi belum konsisten... ke solusi, prioritas, dan kontrol delivery</w:t>
            </w:r>
          </w:p>
        </w:tc>
        <w:tc>
          <w:tcPr>
            <w:tcW w:type="dxa" w:w="2340"/>
          </w:tcPr>
          <w:p>
            <w:r>
              <w:rPr>
                <w:b w:val="0"/>
                <w:i w:val="0"/>
              </w:rPr>
              <w:t>pendampingan UAT, readiness review, dan issue resolution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workshop teknis, review design, dan sesi cut-over preparation</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go-live assistance dan early stabilization</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directive dan tidak melebar ke area yang belum menjadi prioritas keputusan Indosat Ooredoo Hutchison. Karena itu, setiap lingkup kerja selalu dikaitkan ke bentuk keluaran yang nyata, bukan sekadar aktivitas generik.</w:t>
      </w:r>
    </w:p>
    <w:p>
      <w:pPr>
        <w:pStyle w:val="Heading2"/>
      </w:pPr>
      <w:r>
        <w:rPr>
          <w:rFonts w:ascii="Arial" w:hAnsi="Arial"/>
          <w:b/>
          <w:color w:val="7C7578"/>
        </w:rPr>
        <w:t>7.2 Batasan Pekerjaan dan Asumsi</w:t>
      </w:r>
    </w:p>
    <w:p>
      <w:pPr>
        <w:pStyle w:val="ListNumber"/>
        <w:spacing w:before="0" w:after="80"/>
        <w:numPr>
          <w:ilvl w:val="0"/>
          <w:numId w:val="28"/>
        </w:numPr>
      </w:pPr>
      <w:r>
        <w:rPr>
          <w:b w:val="0"/>
          <w:i w:val="0"/>
        </w:rPr>
        <w:t>Prioritas implementasi untuk Indosat Ooredoo Hutchison diarahkan agar tetap selaras dengan Service availability dan pengalaman pelanggan meningkat dalam 6 bulan. | Churn pelanggan menurun dan quality of service membaik dalam 6 bulan..</w:t>
      </w:r>
    </w:p>
    <w:p>
      <w:pPr>
        <w:pStyle w:val="ListNumber"/>
        <w:spacing w:before="0" w:after="80"/>
        <w:numPr>
          <w:ilvl w:val="0"/>
          <w:numId w:val="28"/>
        </w:numPr>
      </w:pPr>
      <w:r>
        <w:rPr>
          <w:b w:val="0"/>
          <w:i w:val="0"/>
        </w:rPr>
        <w:t>Keputusan delivery dan quality gate pada bab ini harus konsisten dengan istilah kerja subscriber, network availability. - Konteks Indosat Ooredoo Hutchison tetap menjadi acuan utama agar isi bab tidak bergeser menjadi generik. - Setiap butir pada bab ini harus bisa ditelusuri ke KPI, risiko, atau keputusan kerja yang nyata.</w:t>
      </w:r>
    </w:p>
    <w:p>
      <w:r>
        <w:br w:type="page"/>
      </w:r>
    </w:p>
    <w:p>
      <w:pPr>
        <w:pStyle w:val="Heading1"/>
        <w:jc w:val="center"/>
      </w:pPr>
      <w:r>
        <w:rPr>
          <w:color w:val="7C7578"/>
        </w:rPr>
        <w:t>BAB VIII – TIMELINE PEKERJAAN</w:t>
      </w:r>
    </w:p>
    <w:p>
      <w:r>
        <w:drawing>
          <wp:inline xmlns:a="http://schemas.openxmlformats.org/drawingml/2006/main" xmlns:pic="http://schemas.openxmlformats.org/drawingml/2006/picture">
            <wp:extent cx="5486400" cy="259533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95336"/>
                    </a:xfrm>
                    <a:prstGeom prst="rect"/>
                  </pic:spPr>
                </pic:pic>
              </a:graphicData>
            </a:graphic>
          </wp:inline>
        </w:drawing>
      </w:r>
    </w:p>
    <w:p>
      <w:r>
        <w:rPr>
          <w:b w:val="0"/>
          <w:i w:val="0"/>
        </w:rPr>
        <w:t>Untuk Indosat Ooredoo Hutchison, timeline pekerjaan disusun agar inisiatif Gelombang uji beban 3: penguatan tata kelola delivery, percepatan keputusan lintas unit, dan penyusunan roadmap eksekusi yang lebih... dapat bergerak stabil selama 6 Bulan.</w:t>
      </w:r>
    </w:p>
    <w:p>
      <w:pPr>
        <w:pStyle w:val="Heading2"/>
      </w:pPr>
      <w:r>
        <w:rPr>
          <w:rFonts w:ascii="Arial" w:hAnsi="Arial"/>
          <w:b/>
          <w:color w:val="7C7578"/>
        </w:rPr>
        <w:t>8.1 Aktivitas per Fase</w:t>
      </w:r>
    </w:p>
    <w:p>
      <w:pPr>
        <w:pStyle w:val="ListNumber"/>
        <w:spacing w:before="0" w:after="80"/>
        <w:numPr>
          <w:ilvl w:val="0"/>
          <w:numId w:val="29"/>
        </w:numPr>
      </w:pPr>
      <w:r>
        <w:rPr>
          <w:b/>
          <w:i w:val="0"/>
        </w:rPr>
        <w:t>Design</w:t>
      </w:r>
      <w:r>
        <w:rPr>
          <w:b w:val="0"/>
          <w:i w:val="0"/>
        </w:rPr>
        <w:t xml:space="preserve"> (Bulan 1): Finalisasi desain rinci, integrasi, dan acceptance criteria. Output utama: solution design dan backlog implementasi.</w:t>
      </w:r>
    </w:p>
    <w:p>
      <w:pPr>
        <w:pStyle w:val="ListNumber"/>
        <w:spacing w:before="0" w:after="80"/>
        <w:numPr>
          <w:ilvl w:val="0"/>
          <w:numId w:val="29"/>
        </w:numPr>
      </w:pPr>
      <w:r>
        <w:rPr>
          <w:b/>
          <w:i w:val="0"/>
        </w:rPr>
        <w:t>Build &amp; Configure</w:t>
      </w:r>
      <w:r>
        <w:rPr>
          <w:b w:val="0"/>
          <w:i w:val="0"/>
        </w:rPr>
        <w:t xml:space="preserve"> (Bulan 2-3): Bangun komponen, konfigurasi, dan siapkan data/akses. Output utama: build package dan konfigurasi inti.</w:t>
      </w:r>
    </w:p>
    <w:p>
      <w:pPr>
        <w:pStyle w:val="ListNumber"/>
        <w:spacing w:before="0" w:after="80"/>
        <w:numPr>
          <w:ilvl w:val="0"/>
          <w:numId w:val="29"/>
        </w:numPr>
      </w:pPr>
      <w:r>
        <w:rPr>
          <w:b/>
          <w:i w:val="0"/>
        </w:rPr>
        <w:t>UAT &amp; Readiness</w:t>
      </w:r>
      <w:r>
        <w:rPr>
          <w:b w:val="0"/>
          <w:i w:val="0"/>
        </w:rPr>
        <w:t xml:space="preserve"> (Bulan 4): Uji end-to-end, tutup defect penting, dan siapkan go-live. Output utama: UAT sign-off dan readiness checklist.</w:t>
      </w:r>
    </w:p>
    <w:p>
      <w:pPr>
        <w:pStyle w:val="ListNumber"/>
        <w:spacing w:before="0" w:after="80"/>
        <w:numPr>
          <w:ilvl w:val="0"/>
          <w:numId w:val="29"/>
        </w:numPr>
      </w:pPr>
      <w:r>
        <w:rPr>
          <w:b/>
          <w:i w:val="0"/>
        </w:rPr>
        <w:t>Go-Live &amp; Handover</w:t>
      </w:r>
      <w:r>
        <w:rPr>
          <w:b w:val="0"/>
          <w:i w:val="0"/>
        </w:rPr>
        <w:t xml:space="preserve"> (Bulan 5-6): Jalankan cut-over, hypercare awal, dan transfer kontrol operasi. Output utama: go-live report dan handover pack.</w:t>
      </w:r>
    </w:p>
    <w:p>
      <w:pPr>
        <w:pStyle w:val="Heading2"/>
      </w:pPr>
      <w:r>
        <w:rPr>
          <w:rFonts w:ascii="Arial" w:hAnsi="Arial"/>
          <w:b/>
          <w:color w:val="7C7578"/>
        </w:rPr>
        <w:t>8.2 Waktu Pelaksanaan dan Deliverable Tiap Fase</w:t>
      </w:r>
    </w:p>
    <w:p>
      <w:r>
        <w:rPr>
          <w:b w:val="0"/>
          <w:i w:val="0"/>
        </w:rPr>
        <w:t>Pengaturan waktu tidak hanya membagi durasi, tetapi memastikan setiap deliverable langsung mendukung kebutuhan directive dan memberi bahan keputusan yang rapi pada forum pengarah proyek Indosat Ooredoo Hutchison.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Design</w:t>
            </w:r>
          </w:p>
        </w:tc>
        <w:tc>
          <w:tcPr>
            <w:tcW w:type="dxa" w:w="2340"/>
          </w:tcPr>
          <w:p>
            <w:r>
              <w:rPr>
                <w:b w:val="0"/>
                <w:i w:val="0"/>
              </w:rPr>
              <w:t>Bulan 1</w:t>
            </w:r>
          </w:p>
        </w:tc>
        <w:tc>
          <w:tcPr>
            <w:tcW w:type="dxa" w:w="2340"/>
          </w:tcPr>
          <w:p>
            <w:r>
              <w:rPr>
                <w:b w:val="0"/>
                <w:i w:val="0"/>
              </w:rPr>
              <w:t>solution design dan backlog implementasi</w:t>
            </w:r>
          </w:p>
        </w:tc>
        <w:tc>
          <w:tcPr>
            <w:tcW w:type="dxa" w:w="2340"/>
          </w:tcPr>
          <w:p>
            <w:r>
              <w:rPr>
                <w:b w:val="0"/>
                <w:i w:val="0"/>
              </w:rPr>
              <w:t>Menjaga progres directive</w:t>
            </w:r>
          </w:p>
        </w:tc>
      </w:tr>
      <w:tr>
        <w:tc>
          <w:tcPr>
            <w:tcW w:type="dxa" w:w="2340"/>
          </w:tcPr>
          <w:p>
            <w:r>
              <w:rPr>
                <w:b w:val="0"/>
                <w:i w:val="0"/>
              </w:rPr>
              <w:t>Build &amp; Configure</w:t>
            </w:r>
          </w:p>
        </w:tc>
        <w:tc>
          <w:tcPr>
            <w:tcW w:type="dxa" w:w="2340"/>
          </w:tcPr>
          <w:p>
            <w:r>
              <w:rPr>
                <w:b w:val="0"/>
                <w:i w:val="0"/>
              </w:rPr>
              <w:t>Bulan 2-3</w:t>
            </w:r>
          </w:p>
        </w:tc>
        <w:tc>
          <w:tcPr>
            <w:tcW w:type="dxa" w:w="2340"/>
          </w:tcPr>
          <w:p>
            <w:r>
              <w:rPr>
                <w:b w:val="0"/>
                <w:i w:val="0"/>
              </w:rPr>
              <w:t>build package dan konfigurasi inti</w:t>
            </w:r>
          </w:p>
        </w:tc>
        <w:tc>
          <w:tcPr>
            <w:tcW w:type="dxa" w:w="2340"/>
          </w:tcPr>
          <w:p>
            <w:r>
              <w:rPr>
                <w:b w:val="0"/>
                <w:i w:val="0"/>
              </w:rPr>
              <w:t>Menjaga progres directive</w:t>
            </w:r>
          </w:p>
        </w:tc>
      </w:tr>
      <w:tr>
        <w:tc>
          <w:tcPr>
            <w:tcW w:type="dxa" w:w="2340"/>
          </w:tcPr>
          <w:p>
            <w:r>
              <w:rPr>
                <w:b w:val="0"/>
                <w:i w:val="0"/>
              </w:rPr>
              <w:t>UAT &amp; Readiness</w:t>
            </w:r>
          </w:p>
        </w:tc>
        <w:tc>
          <w:tcPr>
            <w:tcW w:type="dxa" w:w="2340"/>
          </w:tcPr>
          <w:p>
            <w:r>
              <w:rPr>
                <w:b w:val="0"/>
                <w:i w:val="0"/>
              </w:rPr>
              <w:t>Bulan 4</w:t>
            </w:r>
          </w:p>
        </w:tc>
        <w:tc>
          <w:tcPr>
            <w:tcW w:type="dxa" w:w="2340"/>
          </w:tcPr>
          <w:p>
            <w:r>
              <w:rPr>
                <w:b w:val="0"/>
                <w:i w:val="0"/>
              </w:rPr>
              <w:t>UAT sign-off dan readiness checklist</w:t>
            </w:r>
          </w:p>
        </w:tc>
        <w:tc>
          <w:tcPr>
            <w:tcW w:type="dxa" w:w="2340"/>
          </w:tcPr>
          <w:p>
            <w:r>
              <w:rPr>
                <w:b w:val="0"/>
                <w:i w:val="0"/>
              </w:rPr>
              <w:t>Menjaga progres directive</w:t>
            </w:r>
          </w:p>
        </w:tc>
      </w:tr>
      <w:tr>
        <w:tc>
          <w:tcPr>
            <w:tcW w:type="dxa" w:w="2340"/>
          </w:tcPr>
          <w:p>
            <w:r>
              <w:rPr>
                <w:b w:val="0"/>
                <w:i w:val="0"/>
              </w:rPr>
              <w:t>Go-Live &amp; Handover</w:t>
            </w:r>
          </w:p>
        </w:tc>
        <w:tc>
          <w:tcPr>
            <w:tcW w:type="dxa" w:w="2340"/>
          </w:tcPr>
          <w:p>
            <w:r>
              <w:rPr>
                <w:b w:val="0"/>
                <w:i w:val="0"/>
              </w:rPr>
              <w:t>Bulan 5-6</w:t>
            </w:r>
          </w:p>
        </w:tc>
        <w:tc>
          <w:tcPr>
            <w:tcW w:type="dxa" w:w="2340"/>
          </w:tcPr>
          <w:p>
            <w:r>
              <w:rPr>
                <w:b w:val="0"/>
                <w:i w:val="0"/>
              </w:rPr>
              <w:t>go-live report dan handover pack</w:t>
            </w:r>
          </w:p>
        </w:tc>
        <w:tc>
          <w:tcPr>
            <w:tcW w:type="dxa" w:w="2340"/>
          </w:tcPr>
          <w:p>
            <w:r>
              <w:rPr>
                <w:b w:val="0"/>
                <w:i w:val="0"/>
              </w:rPr>
              <w:t>Menjaga progres directive</w:t>
            </w:r>
          </w:p>
        </w:tc>
      </w:tr>
      <w:tr>
        <w:tc>
          <w:tcPr>
            <w:tcW w:type="dxa" w:w="2340"/>
          </w:tcPr>
          <w:p>
            <w:r>
              <w:rPr>
                <w:b w:val="0"/>
                <w:i w:val="0"/>
              </w:rPr>
              <w:t>- Konteks Indosat Ooredoo Hutchison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r>
        <w:tc>
          <w:tcPr>
            <w:tcW w:type="dxa" w:w="2340"/>
          </w:tcPr>
          <w:p>
            <w:r>
              <w:rPr>
                <w:b w:val="0"/>
                <w:i w:val="0"/>
              </w:rPr>
              <w:t>- KPI acuan yang tetap dijaga pada bab ini adalah Service availability dan pengalaman pelanggan meningkat dalam 6 bulan.</w:t>
            </w:r>
          </w:p>
        </w:tc>
        <w:tc>
          <w:tcPr>
            <w:tcW w:type="dxa" w:w="2340"/>
          </w:tcPr>
          <w:p>
            <w:r>
              <w:rPr>
                <w:b w:val="0"/>
                <w:i w:val="0"/>
              </w:rPr>
              <w:t>Churn pelanggan menurun dan quality of service membaik dalam 6 bulan..</w:t>
            </w:r>
          </w:p>
        </w:tc>
        <w:tc>
          <w:tcPr>
            <w:tcW w:type="dxa" w:w="2340"/>
          </w:tcPr>
          <w:p/>
        </w:tc>
        <w:tc>
          <w:tcPr>
            <w:tcW w:type="dxa" w:w="2340"/>
          </w:tcPr>
          <w:p/>
        </w:tc>
      </w:tr>
    </w:tbl>
    <w:p>
      <w:r>
        <w:br w:type="page"/>
      </w:r>
    </w:p>
    <w:p>
      <w:pPr>
        <w:pStyle w:val="Heading1"/>
        <w:jc w:val="center"/>
      </w:pPr>
      <w:r>
        <w:rPr>
          <w:color w:val="7C7578"/>
        </w:rPr>
        <w:t>BAB IX – TATA KELOLA PROYEK</w:t>
      </w:r>
    </w:p>
    <w:p>
      <w:r>
        <w:rPr>
          <w:b w:val="0"/>
          <w:i w:val="0"/>
        </w:rPr>
        <w:t>Tata kelola proyek untuk Indosat Ooredoo Hutchison dirancang agar keputusan strategis, kontrol eksekusi, dan penanganan risiko berjalan dalam satu sistem kerja yang konsisten. Fokusnya adalah menjaga gelombang uji beban 3: penguatan tata kelola delivery, percepatan keputusan lintas unit, dan penyusunan roadmap eksekusi yang lebih...</w:t>
      </w:r>
    </w:p>
    <w:p>
      <w:pPr>
        <w:pStyle w:val="Heading2"/>
      </w:pPr>
      <w:r>
        <w:rPr>
          <w:rFonts w:ascii="Arial" w:hAnsi="Arial"/>
          <w:b/>
          <w:color w:val="7C7578"/>
        </w:rPr>
        <w:t>9.1 Mekanisme Pengambilan Keputusan</w:t>
      </w:r>
    </w:p>
    <w:p>
      <w:pPr>
        <w:pStyle w:val="ListNumber"/>
        <w:spacing w:before="0" w:after="80"/>
        <w:numPr>
          <w:ilvl w:val="0"/>
          <w:numId w:val="30"/>
        </w:numPr>
      </w:pPr>
      <w:r>
        <w:rPr>
          <w:b/>
          <w:i w:val="0"/>
        </w:rPr>
        <w:t>Steering Committee</w:t>
      </w:r>
      <w:r>
        <w:rPr>
          <w:b w:val="0"/>
          <w:i w:val="0"/>
        </w:rPr>
        <w:t xml:space="preserve"> menetapkan arah, prioritas, dan keputusan yang berdampak pada scope, biaya, atau timeline program Indosat Ooredoo Hutchison.</w:t>
      </w:r>
    </w:p>
    <w:p>
      <w:pPr>
        <w:pStyle w:val="ListNumber"/>
        <w:spacing w:before="0" w:after="80"/>
        <w:numPr>
          <w:ilvl w:val="0"/>
          <w:numId w:val="30"/>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0"/>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0"/>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C7578"/>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Indosat Ooredoo Hutchison, pengendalian semacam ini penting karena program gelombang uji beban 3: penguatan tata kelola delivery, percepatan keputusan lintas unit, dan penyusunan roadmap eksekusi yang lebih... berpotensi melibatkan banyak dependency dan keputusan cepat.</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Konteks Indosat Ooredoo Hutchison tetap menjadi acuan utama agar isi bab tidak bergeser menjadi generik. - Setiap butir pada bab ini harus bisa ditelusuri ke KPI, risiko, atau keputusan kerja yang nyata.</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r>
        <w:br w:type="page"/>
      </w:r>
    </w:p>
    <w:p>
      <w:pPr>
        <w:pStyle w:val="Heading1"/>
        <w:jc w:val="center"/>
      </w:pPr>
      <w:r>
        <w:rPr>
          <w:color w:val="7C7578"/>
        </w:rPr>
        <w:t>BAB X – PROFIL PERUSAHAAN</w:t>
      </w:r>
    </w:p>
    <w:p>
      <w:r>
        <w:rPr>
          <w:b w:val="0"/>
          <w:i w:val="0"/>
        </w:rPr>
        <w:t>Profil perusahaan pada proposal ini tidak dimaksudkan sebagai brosur umum, melainkan sebagai bukti bahwa Inixindo Jogja memiliki modal kerja yang relevan untuk membantu Indosat Ooredoo Hutchison. Yang ditekankan bukan hanya deskripsi perusahaan, tetapi keterkaitan antara kapabilitas, pengalaman serupa, dan bentuk dukungan yang dibutuhkan oleh inisiatif gelombang uji beban 3: penguatan tata kelola delivery, percepatan keputusan lintas unit, dan penyusunan roadmap eksekusi yang lebih...</w:t>
      </w:r>
    </w:p>
    <w:p>
      <w:pPr>
        <w:pStyle w:val="Heading2"/>
      </w:pPr>
      <w:r>
        <w:rPr>
          <w:rFonts w:ascii="Arial" w:hAnsi="Arial"/>
          <w:b/>
          <w:color w:val="7C7578"/>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subscriber, network availability, service assurance.</w:t>
      </w:r>
    </w:p>
    <w:p>
      <w:pPr>
        <w:pStyle w:val="Heading2"/>
      </w:pPr>
      <w:r>
        <w:rPr>
          <w:rFonts w:ascii="Arial" w:hAnsi="Arial"/>
          <w:b/>
          <w:color w:val="7C7578"/>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implementation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Design 2. Configuration 3. UAT 4. Go-Live 5. Handover, 1x PM, 1x Lead Engineer, 3x Implementers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Indosat Ooredoo Hutchison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1"/>
        </w:numPr>
      </w:pPr>
      <w:r>
        <w:rPr>
          <w:b w:val="0"/>
          <w:i w:val="0"/>
        </w:rPr>
        <w:t>Prioritas implementasi untuk Indosat Ooredoo Hutchison diarahkan agar tetap selaras dengan Service availability dan pengalaman pelanggan meningkat dalam 6 bulan. | Churn pelanggan menurun dan quality of service membaik dalam 6 bulan..</w:t>
      </w:r>
    </w:p>
    <w:p>
      <w:pPr>
        <w:pStyle w:val="ListNumber"/>
        <w:spacing w:before="0" w:after="80"/>
        <w:numPr>
          <w:ilvl w:val="0"/>
          <w:numId w:val="31"/>
        </w:numPr>
      </w:pPr>
      <w:r>
        <w:rPr>
          <w:b w:val="0"/>
          <w:i w:val="0"/>
        </w:rPr>
        <w:t>Keputusan delivery dan quality gate pada bab ini harus konsisten dengan istilah kerja subscriber, network availability. - Konteks Indosat Ooredoo Hutchison tetap menjadi acuan utama agar isi bab tidak bergeser menjadi generik. - Setiap butir pada bab ini harus bisa ditelusuri ke KPI, risiko, atau keputusan kerja yang nyata.</w:t>
      </w:r>
    </w:p>
    <w:p>
      <w:r>
        <w:br w:type="page"/>
      </w:r>
    </w:p>
    <w:p>
      <w:pPr>
        <w:pStyle w:val="Heading1"/>
        <w:jc w:val="center"/>
      </w:pPr>
      <w:r>
        <w:rPr>
          <w:color w:val="7C7578"/>
        </w:rPr>
        <w:t>BAB XI – STRUKTUR &amp; TENAGA AHLI PROYEK</w:t>
      </w:r>
    </w:p>
    <w:p>
      <w:r>
        <w:rPr>
          <w:b w:val="0"/>
          <w:i w:val="0"/>
        </w:rPr>
        <w:t>Struktur tim proyek untuk Indosat Ooredoo Hutchison dibentuk agar pengambilan keputusan, pengawasan mutu, dan eksekusi lapangan bergerak seirama. Komposisi tim tidak diperlakukan sebagai daftar jabatan semata, tetapi sebagai mekanisme untuk menjaga kualitas output terhadap target Service availability dan pengalaman pelanggan meningkat dalam 6 bulan.</w:t>
      </w:r>
    </w:p>
    <w:p>
      <w:pPr>
        <w:pStyle w:val="Heading2"/>
      </w:pPr>
      <w:r>
        <w:rPr>
          <w:rFonts w:ascii="Arial" w:hAnsi="Arial"/>
          <w:b/>
          <w:color w:val="7C7578"/>
        </w:rPr>
        <w:t>11.1 Struktur Tim Proyek</w:t>
      </w:r>
    </w:p>
    <w:p>
      <w:pPr>
        <w:pStyle w:val="ListNumber"/>
        <w:spacing w:before="0" w:after="80"/>
        <w:numPr>
          <w:ilvl w:val="0"/>
          <w:numId w:val="32"/>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2"/>
        </w:numPr>
      </w:pPr>
      <w:r>
        <w:rPr>
          <w:b/>
          <w:i w:val="0"/>
        </w:rPr>
        <w:t>Project Manager / PMO Lead</w:t>
      </w:r>
      <w:r>
        <w:rPr>
          <w:b w:val="0"/>
          <w:i w:val="0"/>
        </w:rPr>
        <w:t xml:space="preserve"> mengendalikan ritme kerja, milestone, dan quality gate.</w:t>
      </w:r>
    </w:p>
    <w:p>
      <w:pPr>
        <w:pStyle w:val="ListNumber"/>
        <w:spacing w:before="0" w:after="80"/>
        <w:numPr>
          <w:ilvl w:val="0"/>
          <w:numId w:val="32"/>
        </w:numPr>
      </w:pPr>
      <w:r>
        <w:rPr>
          <w:b/>
          <w:i w:val="0"/>
        </w:rPr>
        <w:t>Lead Fungsional / Solusi</w:t>
      </w:r>
      <w:r>
        <w:rPr>
          <w:b w:val="0"/>
          <w:i w:val="0"/>
        </w:rPr>
        <w:t xml:space="preserve"> menjaga kualitas desain solusi dan relevansi output kerja.</w:t>
      </w:r>
    </w:p>
    <w:p>
      <w:pPr>
        <w:pStyle w:val="ListNumber"/>
        <w:spacing w:before="0" w:after="80"/>
        <w:numPr>
          <w:ilvl w:val="0"/>
          <w:numId w:val="32"/>
        </w:numPr>
      </w:pPr>
      <w:r>
        <w:rPr>
          <w:b/>
          <w:i w:val="0"/>
        </w:rPr>
        <w:t>Reviewer Governance / Quality</w:t>
      </w:r>
      <w:r>
        <w:rPr>
          <w:b w:val="0"/>
          <w:i w:val="0"/>
        </w:rPr>
        <w:t xml:space="preserve"> memastikan disiplin review, sign-off, dan kontrol risiko.</w:t>
      </w:r>
    </w:p>
    <w:p>
      <w:pPr>
        <w:pStyle w:val="Heading2"/>
      </w:pPr>
      <w:r>
        <w:rPr>
          <w:rFonts w:ascii="Arial" w:hAnsi="Arial"/>
          <w:b/>
          <w:color w:val="7C7578"/>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implementation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PM, 1x Lead Engineer, 3x Implementers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Indosat Ooredoo Hutchison memperoleh gambaran yang lebih konkret mengenai siapa yang menjaga keputusan, siapa yang mengawal delivery, dan siapa yang mengamankan mutu hasil kerja. Pendekatan ini membuat bab tenaga ahli lebih mudah diaudit dan lebih meyakinkan bagi sponsor proyek. - Konteks Indosat Ooredoo Hutchison tetap menjadi acuan utama agar isi bab tidak bergeser menjadi generik. - Setiap butir pada bab ini harus bisa ditelusuri ke KPI, risiko, atau keputusan kerja yang nyata. - Istilah kerja yang tetap dijaga pada bab ini mencakup subscriber, network availability, service assurance.</w:t>
      </w:r>
    </w:p>
    <w:p>
      <w:r>
        <w:br w:type="page"/>
      </w:r>
    </w:p>
    <w:p>
      <w:pPr>
        <w:pStyle w:val="Heading1"/>
        <w:jc w:val="center"/>
      </w:pPr>
      <w:r>
        <w:rPr>
          <w:color w:val="7C7578"/>
        </w:rPr>
        <w:t>BAB XII – MODEL PEMBIAYAAN</w:t>
      </w:r>
    </w:p>
    <w:p>
      <w:r>
        <w:rPr>
          <w:b w:val="0"/>
          <w:i w:val="0"/>
        </w:rPr>
        <w:t>Model pembiayaan untuk Indosat Ooredoo Hutchison disusun agar komitmen biaya, mekanisme pembayaran, dan batas ruang lingkup tetap jelas sejak awal. Tujuannya adalah menjaga proyek gelombang uji beban 3: penguatan tata kelola delivery, percepatan keputusan lintas unit, dan penyusunan roadmap eksekusi yang lebih...</w:t>
      </w:r>
    </w:p>
    <w:p>
      <w:pPr>
        <w:pStyle w:val="Heading2"/>
      </w:pPr>
      <w:r>
        <w:rPr>
          <w:rFonts w:ascii="Arial" w:hAnsi="Arial"/>
          <w:b/>
          <w:color w:val="7C7578"/>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Implementation</w:t>
      </w:r>
      <w:r>
        <w:rPr>
          <w:b w:val="0"/>
          <w:i w:val="0"/>
        </w:rPr>
        <w:t xml:space="preserve"> selama</w:t>
      </w:r>
      <w:r>
        <w:rPr>
          <w:b/>
          <w:i w:val="0"/>
        </w:rPr>
        <w:t xml:space="preserve"> 6 Bulan</w:t>
      </w:r>
      <w:r>
        <w:rPr>
          <w:b w:val="0"/>
          <w:i w:val="0"/>
        </w:rPr>
        <w:t>. Baseline komersial internal yang menjadi acuan adalah Milestones: 20% Kickoff, 40% UAT, 30% Go-Live, 10% Handover.</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Implementation</w:t>
            </w:r>
          </w:p>
        </w:tc>
      </w:tr>
      <w:tr>
        <w:tc>
          <w:tcPr>
            <w:tcW w:type="dxa" w:w="4680"/>
          </w:tcPr>
          <w:p>
            <w:r>
              <w:rPr>
                <w:b w:val="0"/>
                <w:i w:val="0"/>
              </w:rPr>
              <w:t>Durasi acuan</w:t>
            </w:r>
          </w:p>
        </w:tc>
        <w:tc>
          <w:tcPr>
            <w:tcW w:type="dxa" w:w="4680"/>
          </w:tcPr>
          <w:p>
            <w:r>
              <w:rPr>
                <w:b w:val="0"/>
                <w:i w:val="0"/>
              </w:rPr>
              <w:t>6 Bulan</w:t>
            </w:r>
          </w:p>
        </w:tc>
      </w:tr>
      <w:tr>
        <w:tc>
          <w:tcPr>
            <w:tcW w:type="dxa" w:w="4680"/>
          </w:tcPr>
          <w:p>
            <w:r>
              <w:rPr>
                <w:b w:val="0"/>
                <w:i w:val="0"/>
              </w:rPr>
              <w:t>Basis commercial</w:t>
            </w:r>
          </w:p>
        </w:tc>
        <w:tc>
          <w:tcPr>
            <w:tcW w:type="dxa" w:w="4680"/>
          </w:tcPr>
          <w:p>
            <w:r>
              <w:rPr>
                <w:b w:val="0"/>
                <w:i w:val="0"/>
              </w:rPr>
              <w:t>Milestones: 20% Kickoff, 40% UAT, 30% Go-Live, 10% Handover.</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3"/>
        </w:numPr>
      </w:pPr>
      <w:r>
        <w:rPr>
          <w:b/>
          <w:i w:val="0"/>
        </w:rPr>
        <w:t>Kickoff &amp; design sign-off</w:t>
      </w:r>
      <w:r>
        <w:rPr>
          <w:b w:val="0"/>
          <w:i w:val="0"/>
        </w:rPr>
        <w:t xml:space="preserve"> sebesar 20% dari estimasi investasi, ditagihkan setelah milestone terkait diterima.</w:t>
      </w:r>
    </w:p>
    <w:p>
      <w:pPr>
        <w:pStyle w:val="ListNumber"/>
        <w:spacing w:before="0" w:after="80"/>
        <w:numPr>
          <w:ilvl w:val="0"/>
          <w:numId w:val="33"/>
        </w:numPr>
      </w:pPr>
      <w:r>
        <w:rPr>
          <w:b/>
          <w:i w:val="0"/>
        </w:rPr>
        <w:t>Build/configuration milestone</w:t>
      </w:r>
      <w:r>
        <w:rPr>
          <w:b w:val="0"/>
          <w:i w:val="0"/>
        </w:rPr>
        <w:t xml:space="preserve"> sebesar 30% dari estimasi investasi, ditagihkan setelah milestone terkait diterima.</w:t>
      </w:r>
    </w:p>
    <w:p>
      <w:pPr>
        <w:pStyle w:val="ListNumber"/>
        <w:spacing w:before="0" w:after="80"/>
        <w:numPr>
          <w:ilvl w:val="0"/>
          <w:numId w:val="33"/>
        </w:numPr>
      </w:pPr>
      <w:r>
        <w:rPr>
          <w:b/>
          <w:i w:val="0"/>
        </w:rPr>
        <w:t>UAT &amp; readiness sign-off</w:t>
      </w:r>
      <w:r>
        <w:rPr>
          <w:b w:val="0"/>
          <w:i w:val="0"/>
        </w:rPr>
        <w:t xml:space="preserve"> sebesar 30% dari estimasi investasi, ditagihkan setelah milestone terkait diterima.</w:t>
      </w:r>
    </w:p>
    <w:p>
      <w:pPr>
        <w:pStyle w:val="ListNumber"/>
        <w:spacing w:before="0" w:after="80"/>
        <w:numPr>
          <w:ilvl w:val="0"/>
          <w:numId w:val="33"/>
        </w:numPr>
      </w:pPr>
      <w:r>
        <w:rPr>
          <w:b/>
          <w:i w:val="0"/>
        </w:rPr>
        <w:t>Go-live &amp; handover</w:t>
      </w:r>
      <w:r>
        <w:rPr>
          <w:b w:val="0"/>
          <w:i w:val="0"/>
        </w:rPr>
        <w:t xml:space="preserve"> sebesar 20% dari estimasi investasi, ditagihkan setelah milestone terkait diterima.</w:t>
      </w:r>
    </w:p>
    <w:p>
      <w:pPr>
        <w:pStyle w:val="Heading2"/>
      </w:pPr>
      <w:r>
        <w:rPr>
          <w:rFonts w:ascii="Arial" w:hAnsi="Arial"/>
          <w:b/>
          <w:color w:val="7C7578"/>
        </w:rPr>
        <w:t>12.2 Model Pekerjaan dan Batasan Pekerjaan</w:t>
      </w:r>
    </w:p>
    <w:p>
      <w:r>
        <w:rPr>
          <w:b w:val="0"/>
          <w:i w:val="0"/>
        </w:rPr>
        <w:t>Model kerja dirancang agar ruang lingkup delivery tetap fokus pada kebutuhan directive dan KPI seperti Service availability dan pengalaman pelanggan meningkat dalam 6 bulan. | Churn pelanggan menurun dan quality of service membaik dalam 6 bulan. Untuk Indosat Ooredoo Hutchison,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Indosat Ooredoo Hutchison tetap menjadi acuan utama agar isi bab tidak bergeser menjadi generik. - Setiap butir pada bab ini harus bisa ditelusuri ke KPI, risiko, atau keputusan kerja yang nyata.</w:t>
      </w:r>
    </w:p>
    <w:p>
      <w:r>
        <w:br w:type="page"/>
      </w:r>
    </w:p>
    <w:p>
      <w:pPr>
        <w:pStyle w:val="Heading1"/>
        <w:jc w:val="center"/>
      </w:pPr>
      <w:r>
        <w:rPr>
          <w:color w:val="7C7578"/>
        </w:rPr>
        <w:t>PENUTUP &amp; APRESIASI KEMITRAAN</w:t>
      </w:r>
    </w:p>
    <w:p>
      <w:r>
        <w:rPr>
          <w:b w:val="0"/>
          <w:i w:val="0"/>
        </w:rPr>
        <w:t>Terima kasih atas kesempatan yang diberikan kepada Inixindo Jogja untuk menyusun proposal bagi Indosat Ooredoo Hutchison. Kami memandang inisiatif gelombang uji beban 3: penguatan tata kelola delivery, percepatan keputusan lintas unit, dan penyusunan roadmap eksekusi yang lebih...</w:t>
      </w:r>
    </w:p>
    <w:p>
      <w:pPr>
        <w:pStyle w:val="Heading2"/>
      </w:pPr>
      <w:r>
        <w:rPr>
          <w:rFonts w:ascii="Arial" w:hAnsi="Arial"/>
          <w:b/>
          <w:color w:val="7C7578"/>
        </w:rPr>
        <w:t>Apresiasi dan Komitmen Kemitraan</w:t>
      </w:r>
    </w:p>
    <w:p>
      <w:pPr>
        <w:pStyle w:val="ListNumber"/>
        <w:spacing w:before="0" w:after="80"/>
        <w:numPr>
          <w:ilvl w:val="0"/>
          <w:numId w:val="34"/>
        </w:numPr>
      </w:pPr>
      <w:r>
        <w:rPr>
          <w:b w:val="0"/>
          <w:i w:val="0"/>
        </w:rPr>
        <w:t>Kami mengapresiasi keterbukaan Indosat Ooredoo Hutchison dalam mengangkat konteks, tantangan, dan target bisnis yang menjadi dasar proposal ini.</w:t>
      </w:r>
    </w:p>
    <w:p>
      <w:pPr>
        <w:pStyle w:val="ListNumber"/>
        <w:spacing w:before="0" w:after="80"/>
        <w:numPr>
          <w:ilvl w:val="0"/>
          <w:numId w:val="34"/>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4"/>
        </w:numPr>
      </w:pPr>
      <w:r>
        <w:rPr>
          <w:b w:val="0"/>
          <w:i w:val="0"/>
        </w:rPr>
        <w:t>Fokus awal kemitraan diarahkan pada prioritas seperti Service availability dan pengalaman pelanggan meningkat dalam 6 bulan. | Churn pelanggan menurun dan quality of service membaik dalam 6 bulan. | Efisiensi operasi network support meningkat dalam 6 bulan., dengan tata kelola dan ritme eksekusi yang stabil sejak kickoff.</w:t>
      </w:r>
    </w:p>
    <w:p>
      <w:pPr>
        <w:pStyle w:val="Heading2"/>
      </w:pPr>
      <w:r>
        <w:rPr>
          <w:rFonts w:ascii="Arial" w:hAnsi="Arial"/>
          <w:b/>
          <w:color w:val="7C7578"/>
        </w:rPr>
        <w:t>Informasi Kontak dan Langkah Lanjutan</w:t>
      </w:r>
    </w:p>
    <w:p>
      <w:r>
        <w:rPr>
          <w:b w:val="0"/>
          <w:i w:val="0"/>
        </w:rPr>
        <w:t>Untuk melanjutkan pembahasan, Inixindo Jogja siap menindaklanjuti review proposal, penajaman ruang lingkup, dan penyesuaian komersial yang diperlukan. - Konteks Indosat Ooredoo Hutchison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7"/>
  </w:num>
  <w:num w:numId="12">
    <w:abstractNumId w:val="8"/>
  </w:num>
  <w:num w:numId="13">
    <w:abstractNumId w:val="8"/>
  </w:num>
  <w:num w:numId="14">
    <w:abstractNumId w:val="8"/>
  </w:num>
  <w:num w:numId="15">
    <w:abstractNumId w:val="7"/>
  </w:num>
  <w:num w:numId="16">
    <w:abstractNumId w:val="7"/>
  </w:num>
  <w:num w:numId="17">
    <w:abstractNumId w:val="8"/>
  </w:num>
  <w:num w:numId="18">
    <w:abstractNumId w:val="7"/>
  </w:num>
  <w:num w:numId="19">
    <w:abstractNumId w:val="8"/>
  </w:num>
  <w:num w:numId="20">
    <w:abstractNumId w:val="7"/>
  </w:num>
  <w:num w:numId="21">
    <w:abstractNumId w:val="7"/>
  </w:num>
  <w:num w:numId="22">
    <w:abstractNumId w:val="7"/>
  </w:num>
  <w:num w:numId="23">
    <w:abstractNumId w:val="8"/>
  </w:num>
  <w:num w:numId="24">
    <w:abstractNumId w:val="7"/>
  </w:num>
  <w:num w:numId="25">
    <w:abstractNumId w:val="8"/>
  </w:num>
  <w:num w:numId="26">
    <w:abstractNumId w:val="8"/>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