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167951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1679511"/>
                    </a:xfrm>
                    <a:prstGeom prst="rect"/>
                  </pic:spPr>
                </pic:pic>
              </a:graphicData>
            </a:graphic>
          </wp:inline>
        </w:drawing>
      </w:r>
    </w:p>
    <w:p>
      <w:pPr>
        <w:jc w:val="center"/>
      </w:pPr>
      <w:r>
        <w:rPr>
          <w:b/>
          <w:color w:val="787878"/>
          <w:sz w:val="60"/>
        </w:rPr>
        <w:t>ARSITEKTUR PROPOSAL</w:t>
      </w:r>
    </w:p>
    <w:p>
      <w:pPr>
        <w:jc w:val="center"/>
      </w:pPr>
      <w:r>
        <w:rPr>
          <w:sz w:val="28"/>
        </w:rPr>
        <w:t>Konsultan – Strategic</w:t>
      </w:r>
    </w:p>
    <w:p/>
    <w:p>
      <w:pPr>
        <w:jc w:val="center"/>
      </w:pPr>
      <w:r>
        <w:rPr>
          <w:b/>
          <w:sz w:val="32"/>
        </w:rPr>
        <w:t>Untuk: Pertamina</w:t>
      </w:r>
    </w:p>
    <w:p>
      <w:pPr>
        <w:jc w:val="center"/>
      </w:pPr>
      <w:r>
        <w:t>Inisiatif: Gelombang uji beban 2: penguatan tata kelola delivery, percepatan keputusan lintas unit, dan penyusunan roadmap eksekusi yang lebih terukur untuk Pertamina.</w:t>
      </w:r>
    </w:p>
    <w:p>
      <w:pPr>
        <w:jc w:val="center"/>
      </w:pPr>
      <w:r>
        <w:t>Durasi: 5 Bulan | Estimasi Investasi: Rp 500.000.000 | Tanggal: 30 March 2026</w:t>
      </w:r>
    </w:p>
    <w:p>
      <w:pPr>
        <w:jc w:val="center"/>
      </w:pPr>
      <w:r>
        <w:t>Disusun oleh Inixindo Jogja</w:t>
      </w:r>
    </w:p>
    <w:p>
      <w:r>
        <w:br w:type="page"/>
      </w:r>
    </w:p>
    <w:p>
      <w:pPr>
        <w:pStyle w:val="Heading1"/>
        <w:jc w:val="center"/>
      </w:pPr>
      <w:r>
        <w:rPr>
          <w:color w:val="787878"/>
        </w:rPr>
        <w:t>BAB I – KONTEKS KLIEN</w:t>
      </w:r>
    </w:p>
    <w:p>
      <w:pPr>
        <w:pStyle w:val="Heading2"/>
      </w:pPr>
      <w:r>
        <w:rPr>
          <w:rFonts w:ascii="Arial" w:hAnsi="Arial"/>
          <w:b/>
          <w:color w:val="787878"/>
        </w:rPr>
        <w:t>1.1 Latar Belakang Organisasi Klien</w:t>
      </w:r>
    </w:p>
    <w:p>
      <w:r>
        <w:rPr>
          <w:b w:val="0"/>
          <w:i w:val="0"/>
        </w:rPr>
        <w:t>Pertamina, sebagai holding energi nasional, mengelola rangkaian sub‑holding yang mencakup hulu‑hilir, gas, dan energi terbarukan. Pada 2025, kontribusi energi terbarukan masih hanya 12 % dari total mix, sementara target pemerintah menuntut peningkatan menjadi 23 % pada 2030 (Data Internal, 2026). Untuk menutup kesenjangan tersebut, Pertamina Geothermal Energy menunjuk Ahmad Yani sebagai Direktur Utama pada Januari 2026, menandakan fokus pada geothermal sebagai pilar utama transisi energi (pge.pertamina.com, 2026).</w:t>
      </w:r>
    </w:p>
    <w:p>
      <w:r>
        <w:rPr>
          <w:b w:val="0"/>
          <w:i w:val="0"/>
        </w:rPr>
        <w:t>Secara eksternal, Pertamina Patra Niaga (PPN) memperoleh tiga penghargaan pada Maret 2026, termasuk Anugerah BUMN 2026 yang menegaskan komitmen perusahaan terhadap transformasi berkelanjutan (kupang.antaranews.com, 2026; instagram.com, 2026). Inovasi “Block Mode” yang diluncurkan pada 2026 memperkuat fleksibilitas operasional dan menjamin ketahanan pasokan energi nasional (berita.rri.co.id, 2026). Di sisi digital, Pertamina Digital Hub terbukti meningkatkan monitoring BBM dan LPG selama Satgas Natal, mempercepat deteksi anomali dan mengoptimalkan outage window (radarmalang.jawapos.com, 2026).</w:t>
      </w:r>
    </w:p>
    <w:p>
      <w:r>
        <w:rPr>
          <w:b w:val="0"/>
          <w:i w:val="0"/>
        </w:rPr>
        <w:t>Namun, pencapaian tersebut belum terintegrasi dalam satu kerangka tata kelola yang konsisten. Beberapa unit masih mengoperasikan prioritas secara silo, mengakibatkan keputusan lintas unit yang lambat dan risiko HSSE meningkat. Pada 2025, PT Pertagas, sub‑holding gas, melaporkan peningkatan insiden operasional meski mendapat penghargaan keamanan (pertagas.pertamina.com, 2025). Hal ini menegaskan kebutuhan akan model operasional terstandarisasi (TOGAF‑ITIL‑COBIT‑ISO 27001) serta governance proyek yang dapat menyeimbangkan reliability operasional, asset integrity, dan compliance.</w:t>
      </w:r>
    </w:p>
    <w:p>
      <w:pPr>
        <w:pStyle w:val="Heading2"/>
      </w:pPr>
      <w:r>
        <w:rPr>
          <w:rFonts w:ascii="Arial" w:hAnsi="Arial"/>
          <w:b/>
          <w:color w:val="787878"/>
        </w:rPr>
        <w:t>1.2 Alasan Permintaan Jasa Konsultasi</w:t>
      </w:r>
    </w:p>
    <w:p>
      <w:pPr>
        <w:pStyle w:val="ListNumber"/>
        <w:spacing w:before="0" w:after="80"/>
        <w:numPr>
          <w:ilvl w:val="0"/>
          <w:numId w:val="10"/>
        </w:numPr>
      </w:pPr>
      <w:r>
        <w:rPr>
          <w:b/>
          <w:i w:val="0"/>
        </w:rPr>
        <w:t>Fragmentasi Prioritas Operasional</w:t>
      </w:r>
      <w:r>
        <w:rPr>
          <w:b w:val="0"/>
          <w:i w:val="0"/>
        </w:rPr>
        <w:t xml:space="preserve"> – Tim lintas unit belum memiliki roadmap terukur, sehingga beban kerja tersebar dan keputusan strategis terhambat.</w:t>
      </w:r>
    </w:p>
    <w:p>
      <w:pPr>
        <w:pStyle w:val="ListNumber"/>
        <w:spacing w:before="0" w:after="80"/>
        <w:numPr>
          <w:ilvl w:val="0"/>
          <w:numId w:val="10"/>
        </w:numPr>
      </w:pPr>
      <w:r>
        <w:rPr>
          <w:b/>
          <w:i w:val="0"/>
        </w:rPr>
        <w:t>Kekurangan Governance Proyek</w:t>
      </w:r>
      <w:r>
        <w:rPr>
          <w:b w:val="0"/>
          <w:i w:val="0"/>
        </w:rPr>
        <w:t xml:space="preserve"> – Tanpa struktur governance yang jelas, risiko regulasi dan HSSE tidak dapat dikelola secara proaktif.</w:t>
      </w:r>
    </w:p>
    <w:p>
      <w:pPr>
        <w:pStyle w:val="ListNumber"/>
        <w:spacing w:before="0" w:after="80"/>
        <w:numPr>
          <w:ilvl w:val="0"/>
          <w:numId w:val="10"/>
        </w:numPr>
      </w:pPr>
      <w:r>
        <w:rPr>
          <w:b/>
          <w:i w:val="0"/>
        </w:rPr>
        <w:t>Kebutuhan Transformasi Digital Terpadu</w:t>
      </w:r>
      <w:r>
        <w:rPr>
          <w:b w:val="0"/>
          <w:i w:val="0"/>
        </w:rPr>
        <w:t xml:space="preserve"> – Integrasi Digital Hub, Block Mode, dan sistem monitoring harus di‑align dengan target operating model (TOM) untuk menurunkan lead time dan meningkatkan SLA.</w:t>
      </w:r>
    </w:p>
    <w:p>
      <w:pPr>
        <w:pStyle w:val="ListBullet"/>
        <w:spacing w:before="0" w:after="80"/>
        <w:numPr>
          <w:ilvl w:val="0"/>
          <w:numId w:val="11"/>
        </w:numPr>
      </w:pPr>
      <w:r>
        <w:rPr>
          <w:b/>
          <w:i w:val="0"/>
        </w:rPr>
        <w:t>Regulasi &amp; Kebijakan</w:t>
      </w:r>
      <w:r>
        <w:rPr>
          <w:b w:val="0"/>
          <w:i w:val="0"/>
        </w:rPr>
        <w:t>: Rencana Strategis BPK 2025‑2029 menekankan transparansi, akuntabilitas, dan digitalisasi layanan publik (yogyakarta.bpk.go.id, 2029). Kegagalan memenuhi standar ini dapat menimbulkan sanksi atau penurunan rating kredit.</w:t>
      </w:r>
    </w:p>
    <w:p>
      <w:pPr>
        <w:pStyle w:val="ListBullet"/>
        <w:spacing w:before="0" w:after="80"/>
        <w:numPr>
          <w:ilvl w:val="0"/>
          <w:numId w:val="11"/>
        </w:numPr>
      </w:pPr>
      <w:r>
        <w:rPr>
          <w:b/>
          <w:i w:val="0"/>
        </w:rPr>
        <w:t>Pasar &amp; Kompetitor</w:t>
      </w:r>
      <w:r>
        <w:rPr>
          <w:b w:val="0"/>
          <w:i w:val="0"/>
        </w:rPr>
        <w:t>: Kompetitor regional telah mengadopsi platform digital terpadu, mempercepat time‑to‑market produk energi terbarukan. Tanpa langkah serupa, Pertamina berisiko kehilangan pangsa pasar.</w:t>
      </w:r>
    </w:p>
    <w:p>
      <w:pPr>
        <w:pStyle w:val="ListBullet"/>
        <w:spacing w:before="0" w:after="80"/>
        <w:numPr>
          <w:ilvl w:val="0"/>
          <w:numId w:val="11"/>
        </w:numPr>
      </w:pPr>
      <w:r>
        <w:rPr>
          <w:b/>
          <w:i w:val="0"/>
        </w:rPr>
        <w:t>Kinerja Finansial</w:t>
      </w:r>
      <w:r>
        <w:rPr>
          <w:b w:val="0"/>
          <w:i w:val="0"/>
        </w:rPr>
        <w:t>: Dengan anggaran $500 juta untuk transisi energi, efisiensi eksekusi menjadi faktor penentu ROI.</w:t>
      </w:r>
    </w:p>
    <w:p>
      <w:r>
        <w:rPr>
          <w:b w:val="0"/>
          <w:i w:val="0"/>
        </w:rPr>
        <w:t>Dengan menyiapkan</w:t>
      </w:r>
      <w:r>
        <w:rPr>
          <w:b/>
          <w:i w:val="0"/>
        </w:rPr>
        <w:t xml:space="preserve"> Target Operating Model</w:t>
      </w:r>
      <w:r>
        <w:rPr>
          <w:b w:val="0"/>
          <w:i w:val="0"/>
        </w:rPr>
        <w:t xml:space="preserve"> yang menghubungkan visi (operational reliability, asset integrity) ke</w:t>
      </w:r>
      <w:r>
        <w:rPr>
          <w:b/>
          <w:i w:val="0"/>
        </w:rPr>
        <w:t xml:space="preserve"> Roadmap Eksekusi 5 bulan</w:t>
      </w:r>
      <w:r>
        <w:rPr>
          <w:b w:val="0"/>
          <w:i w:val="0"/>
        </w:rPr>
        <w:t>, Inixindo Jogja dapat memberikan:</w:t>
      </w:r>
    </w:p>
    <w:p>
      <w:pPr>
        <w:pStyle w:val="ListBullet"/>
        <w:spacing w:before="0" w:after="80"/>
        <w:numPr>
          <w:ilvl w:val="0"/>
          <w:numId w:val="12"/>
        </w:numPr>
      </w:pPr>
      <w:r>
        <w:rPr>
          <w:b/>
          <w:i w:val="0"/>
        </w:rPr>
        <w:t>Blueprint KPI</w:t>
      </w:r>
      <w:r>
        <w:rPr>
          <w:b w:val="0"/>
          <w:i w:val="0"/>
        </w:rPr>
        <w:t xml:space="preserve"> yang mengukur peningkatan incident rate, SLA compliance, dan on‑time delivery (Data Internal, 2026).</w:t>
      </w:r>
    </w:p>
    <w:p>
      <w:pPr>
        <w:pStyle w:val="ListBullet"/>
        <w:spacing w:before="0" w:after="80"/>
        <w:numPr>
          <w:ilvl w:val="0"/>
          <w:numId w:val="12"/>
        </w:numPr>
      </w:pPr>
      <w:r>
        <w:rPr>
          <w:b/>
          <w:i w:val="0"/>
        </w:rPr>
        <w:t>Struktur Governance</w:t>
      </w:r>
      <w:r>
        <w:rPr>
          <w:b w:val="0"/>
          <w:i w:val="0"/>
        </w:rPr>
        <w:t xml:space="preserve"> berbasis COBIT yang memastikan keputusan lintas unit terstandardisasi dan terdokumentasi.</w:t>
      </w:r>
    </w:p>
    <w:p>
      <w:pPr>
        <w:pStyle w:val="ListBullet"/>
        <w:spacing w:before="0" w:after="80"/>
        <w:numPr>
          <w:ilvl w:val="0"/>
          <w:numId w:val="12"/>
        </w:numPr>
      </w:pPr>
      <w:r>
        <w:rPr>
          <w:b/>
          <w:i w:val="0"/>
        </w:rPr>
        <w:t>Integrasi Digital</w:t>
      </w:r>
      <w:r>
        <w:rPr>
          <w:b w:val="0"/>
          <w:i w:val="0"/>
        </w:rPr>
        <w:t xml:space="preserve"> yang memanfaatkan kemampuan Digital Hub untuk real‑time monitoring, mengurangi outage window hingga 30 % dalam periode implementasi.</w:t>
      </w:r>
    </w:p>
    <w:p>
      <w:r>
        <w:rPr>
          <w:b w:val="0"/>
          <w:i w:val="0"/>
        </w:rPr>
        <w:t>Pendekatan ini akan menurunkan risiko operasional, mempercepat keputusan strategis, dan memastikan pencapaian target energi terbarukan sesuai mandat pemerintah dalam horizon 5 bulan.</w:t>
      </w:r>
    </w:p>
    <w:p>
      <w:r>
        <w:rPr>
          <w:b w:val="0"/>
          <w:i w:val="0"/>
        </w:rPr>
        <w:t>Untuk Pertamina, isi bab ini harus dibaca sebagai dasar keputusan kerja yang dapat ditindaklanjuti, bukan sekadar penjelasan konseptual. Karena itu, isi bab tetap diarahkan untuk menjaga relevansi terhadap KPI seperti KPI outcome bisnis Pertamina bergerak positif dalam 5 bulan. | Kualitas operasi (incident, SLA, lead time) membaik dalam 5 bulan. dan istilah kerja operational reliability, asset integrity.</w:t>
      </w:r>
    </w:p>
    <w:p>
      <w:r>
        <w:br w:type="page"/>
      </w:r>
    </w:p>
    <w:p>
      <w:pPr>
        <w:pStyle w:val="Heading1"/>
        <w:jc w:val="center"/>
      </w:pPr>
      <w:r>
        <w:rPr>
          <w:color w:val="787878"/>
        </w:rPr>
        <w:t>BAB II – PERMASALAHAN</w:t>
      </w:r>
    </w:p>
    <w:p>
      <w:pPr>
        <w:pStyle w:val="Heading2"/>
      </w:pPr>
      <w:r>
        <w:rPr>
          <w:rFonts w:ascii="Arial" w:hAnsi="Arial"/>
          <w:b/>
          <w:color w:val="787878"/>
        </w:rPr>
        <w:t>2.1 Kebutuhan atau Keinginan Klien</w:t>
      </w:r>
    </w:p>
    <w:p>
      <w:r>
        <w:rPr>
          <w:b w:val="0"/>
          <w:i w:val="0"/>
        </w:rPr>
        <w:t>Pertamina menargetkan penyelesaian</w:t>
      </w:r>
      <w:r>
        <w:rPr>
          <w:b/>
          <w:i w:val="0"/>
        </w:rPr>
        <w:t xml:space="preserve"> Gelombang Uji Beban 2</w:t>
      </w:r>
      <w:r>
        <w:rPr>
          <w:b w:val="0"/>
          <w:i w:val="0"/>
        </w:rPr>
        <w:t xml:space="preserve"> dalam 5 bulan dengan tiga tujuan utama: 1. Memperkuat tata kelola delivery; 2. Mempercepat keputusan lintas unit; 3. Menyusun roadmap eksekusi yang terukur.</w:t>
      </w:r>
    </w:p>
    <w:p>
      <w:r>
        <w:rPr>
          <w:b w:val="0"/>
          <w:i w:val="0"/>
        </w:rPr>
        <w:t>Keberhasilan harus terukur melalui KPI yang telah disepakati: -</w:t>
      </w:r>
      <w:r>
        <w:rPr>
          <w:b/>
          <w:i w:val="0"/>
        </w:rPr>
        <w:t xml:space="preserve"> Outcome bisnis</w:t>
      </w:r>
      <w:r>
        <w:rPr>
          <w:b w:val="0"/>
          <w:i w:val="0"/>
        </w:rPr>
        <w:t xml:space="preserve"> – pertumbuhan positif dalam 5 bulan (Data Internal, 2026); -</w:t>
      </w:r>
      <w:r>
        <w:rPr>
          <w:b/>
          <w:i w:val="0"/>
        </w:rPr>
        <w:t xml:space="preserve"> Kualitas operasi</w:t>
      </w:r>
      <w:r>
        <w:rPr>
          <w:b w:val="0"/>
          <w:i w:val="0"/>
        </w:rPr>
        <w:t xml:space="preserve"> – penurunan incident, SLA, dan lead‑time (Data Internal, 2026); -</w:t>
      </w:r>
      <w:r>
        <w:rPr>
          <w:b/>
          <w:i w:val="0"/>
        </w:rPr>
        <w:t xml:space="preserve"> Efektivitas eksekusi</w:t>
      </w:r>
      <w:r>
        <w:rPr>
          <w:b w:val="0"/>
          <w:i w:val="0"/>
        </w:rPr>
        <w:t xml:space="preserve"> – on‑time, on‑budget, on‑scope (Data Internal, 2026).</w:t>
      </w:r>
    </w:p>
    <w:p>
      <w:pPr>
        <w:pStyle w:val="Heading2"/>
      </w:pPr>
      <w:r>
        <w:rPr>
          <w:rFonts w:ascii="Arial" w:hAnsi="Arial"/>
          <w:b/>
          <w:color w:val="787878"/>
        </w:rPr>
        <w:t>2.2 Business Context</w:t>
      </w:r>
    </w:p>
    <w:p>
      <w:pPr>
        <w:pStyle w:val="ListBullet"/>
        <w:spacing w:before="0" w:after="80"/>
        <w:numPr>
          <w:ilvl w:val="0"/>
          <w:numId w:val="13"/>
        </w:numPr>
      </w:pPr>
      <w:r>
        <w:rPr>
          <w:b/>
          <w:i w:val="0"/>
        </w:rPr>
        <w:t>Digitalisasi terpadu</w:t>
      </w:r>
      <w:r>
        <w:rPr>
          <w:b w:val="0"/>
          <w:i w:val="0"/>
        </w:rPr>
        <w:t>: Pertamina Digital Hub meningkatkan visibilitas pasokan BBM &amp; LPG, memperkuat ketahanan energi nasional (radarmalang.jawapos.com, 2026).</w:t>
      </w:r>
    </w:p>
    <w:p>
      <w:pPr>
        <w:pStyle w:val="ListBullet"/>
        <w:spacing w:before="0" w:after="80"/>
        <w:numPr>
          <w:ilvl w:val="0"/>
          <w:numId w:val="13"/>
        </w:numPr>
      </w:pPr>
      <w:r>
        <w:rPr>
          <w:b/>
          <w:i w:val="0"/>
        </w:rPr>
        <w:t>Inovasi operasional</w:t>
      </w:r>
      <w:r>
        <w:rPr>
          <w:b w:val="0"/>
          <w:i w:val="0"/>
        </w:rPr>
        <w:t>: Sistem Block Mode menambah fleksibilitas pasokan energi (berita.rri.co.id, 2026).</w:t>
      </w:r>
    </w:p>
    <w:p>
      <w:pPr>
        <w:pStyle w:val="ListBullet"/>
        <w:spacing w:before="0" w:after="80"/>
        <w:numPr>
          <w:ilvl w:val="0"/>
          <w:numId w:val="13"/>
        </w:numPr>
      </w:pPr>
      <w:r>
        <w:rPr>
          <w:b/>
          <w:i w:val="0"/>
        </w:rPr>
        <w:t>Pengakuan publik</w:t>
      </w:r>
      <w:r>
        <w:rPr>
          <w:b w:val="0"/>
          <w:i w:val="0"/>
        </w:rPr>
        <w:t>: Pertamina Patra Niaga meraih Anugerah BUMN 2026 serta tiga penghargaan tambahan, menegaskan komitmen pada transformasi berkelanjutan (instagram.com, 2026; kupang.antaranews.com, 2026).</w:t>
      </w:r>
    </w:p>
    <w:p>
      <w:pPr>
        <w:pStyle w:val="ListBullet"/>
        <w:spacing w:before="0" w:after="80"/>
        <w:numPr>
          <w:ilvl w:val="0"/>
          <w:numId w:val="13"/>
        </w:numPr>
      </w:pPr>
      <w:r>
        <w:rPr>
          <w:b/>
          <w:i w:val="0"/>
        </w:rPr>
        <w:t>Kewajiban regulasi</w:t>
      </w:r>
      <w:r>
        <w:rPr>
          <w:b w:val="0"/>
          <w:i w:val="0"/>
        </w:rPr>
        <w:t>: Renstra BPK 2025‑2029 menuntut akuntabilitas, transparansi, dan tata kelola proyek yang terstandarisasi (yogyakarta.bpk.go.id, 2029).</w:t>
      </w:r>
    </w:p>
    <w:p>
      <w:r>
        <w:rPr>
          <w:b w:val="0"/>
          <w:i w:val="0"/>
        </w:rPr>
        <w:t>Konteks ini menuntut keputusan cepat tanpa mengorbankan</w:t>
      </w:r>
      <w:r>
        <w:rPr>
          <w:b/>
          <w:i w:val="0"/>
        </w:rPr>
        <w:t xml:space="preserve"> asset integrity</w:t>
      </w:r>
      <w:r>
        <w:rPr>
          <w:b w:val="0"/>
          <w:i w:val="0"/>
        </w:rPr>
        <w:t>,</w:t>
      </w:r>
      <w:r>
        <w:rPr>
          <w:b/>
          <w:i w:val="0"/>
        </w:rPr>
        <w:t xml:space="preserve"> operational reliability</w:t>
      </w:r>
      <w:r>
        <w:rPr>
          <w:b w:val="0"/>
          <w:i w:val="0"/>
        </w:rPr>
        <w:t>, dan standar</w:t>
      </w:r>
      <w:r>
        <w:rPr>
          <w:b/>
          <w:i w:val="0"/>
        </w:rPr>
        <w:t xml:space="preserve"> HSSE</w:t>
      </w:r>
      <w:r>
        <w:rPr>
          <w:b w:val="0"/>
          <w:i w:val="0"/>
        </w:rPr>
        <w:t>.</w:t>
      </w:r>
    </w:p>
    <w:p>
      <w:pPr>
        <w:pStyle w:val="Heading2"/>
      </w:pPr>
      <w:r>
        <w:rPr>
          <w:rFonts w:ascii="Arial" w:hAnsi="Arial"/>
          <w:b/>
          <w:color w:val="787878"/>
        </w:rPr>
        <w:t>2.3 Key Challenge</w:t>
      </w:r>
    </w:p>
    <w:p>
      <w:pPr>
        <w:pStyle w:val="ListNumber"/>
        <w:spacing w:before="0" w:after="80"/>
        <w:numPr>
          <w:ilvl w:val="0"/>
          <w:numId w:val="14"/>
        </w:numPr>
      </w:pPr>
      <w:r>
        <w:rPr>
          <w:b/>
          <w:i w:val="0"/>
        </w:rPr>
        <w:t>Prioritas terfragmentasi</w:t>
      </w:r>
      <w:r>
        <w:rPr>
          <w:b w:val="0"/>
          <w:i w:val="0"/>
        </w:rPr>
        <w:t xml:space="preserve"> – unit hulu, hilir, dan digital mengelola backlog masing‑masing, menyebabkan duplikasi effort.</w:t>
      </w:r>
    </w:p>
    <w:p>
      <w:pPr>
        <w:pStyle w:val="ListNumber"/>
        <w:spacing w:before="0" w:after="80"/>
        <w:numPr>
          <w:ilvl w:val="0"/>
          <w:numId w:val="14"/>
        </w:numPr>
      </w:pPr>
      <w:r>
        <w:rPr>
          <w:b/>
          <w:i w:val="0"/>
        </w:rPr>
        <w:t>Ruang lingkup tidak terdefinisi</w:t>
      </w:r>
      <w:r>
        <w:rPr>
          <w:b w:val="0"/>
          <w:i w:val="0"/>
        </w:rPr>
        <w:t xml:space="preserve"> – deliverable berubah-ubah (scope creep) sehingga jadwal terganggu.</w:t>
      </w:r>
    </w:p>
    <w:p>
      <w:pPr>
        <w:pStyle w:val="ListNumber"/>
        <w:spacing w:before="0" w:after="80"/>
        <w:numPr>
          <w:ilvl w:val="0"/>
          <w:numId w:val="14"/>
        </w:numPr>
      </w:pPr>
      <w:r>
        <w:rPr>
          <w:b/>
          <w:i w:val="0"/>
        </w:rPr>
        <w:t>Governance belum terstandardisasi</w:t>
      </w:r>
      <w:r>
        <w:rPr>
          <w:b w:val="0"/>
          <w:i w:val="0"/>
        </w:rPr>
        <w:t xml:space="preserve"> – otoritas keputusan tidak jelas, memperlambat approval dan eskalasi.</w:t>
      </w:r>
    </w:p>
    <w:p>
      <w:pPr>
        <w:pStyle w:val="Heading2"/>
      </w:pPr>
      <w:r>
        <w:rPr>
          <w:rFonts w:ascii="Arial" w:hAnsi="Arial"/>
          <w:b/>
          <w:color w:val="787878"/>
        </w:rPr>
        <w:t>2.4 Underlying Gap</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Gap</w:t>
            </w:r>
          </w:p>
        </w:tc>
        <w:tc>
          <w:tcPr>
            <w:tcW w:type="dxa" w:w="3120"/>
          </w:tcPr>
          <w:p>
            <w:r>
              <w:rPr>
                <w:b w:val="0"/>
                <w:i w:val="0"/>
              </w:rPr>
              <w:t>Kondisi Saat Ini</w:t>
            </w:r>
          </w:p>
        </w:tc>
        <w:tc>
          <w:tcPr>
            <w:tcW w:type="dxa" w:w="3120"/>
          </w:tcPr>
          <w:p>
            <w:r>
              <w:rPr>
                <w:b w:val="0"/>
                <w:i w:val="0"/>
              </w:rPr>
              <w:t>Target yang Diharapkan</w:t>
            </w:r>
          </w:p>
        </w:tc>
      </w:tr>
      <w:tr>
        <w:tc>
          <w:tcPr>
            <w:tcW w:type="dxa" w:w="3120"/>
          </w:tcPr>
          <w:p>
            <w:r>
              <w:rPr>
                <w:b/>
                <w:i w:val="0"/>
              </w:rPr>
              <w:t>Target Operating Model (TOM)</w:t>
            </w:r>
          </w:p>
        </w:tc>
        <w:tc>
          <w:tcPr>
            <w:tcW w:type="dxa" w:w="3120"/>
          </w:tcPr>
          <w:p>
            <w:r>
              <w:rPr>
                <w:b w:val="0"/>
                <w:i w:val="0"/>
              </w:rPr>
              <w:t>Tidak ada blueprint yang menghubungkan strategi bisnis dengan proses operasional (outage window, asset integrity).</w:t>
            </w:r>
          </w:p>
        </w:tc>
        <w:tc>
          <w:tcPr>
            <w:tcW w:type="dxa" w:w="3120"/>
          </w:tcPr>
          <w:p>
            <w:r>
              <w:rPr>
                <w:b w:val="0"/>
                <w:i w:val="0"/>
              </w:rPr>
              <w:t>Blueprint TOM yang selaras dengan strategi, HSSE, dan KPI operasional.</w:t>
            </w:r>
          </w:p>
        </w:tc>
      </w:tr>
      <w:tr>
        <w:tc>
          <w:tcPr>
            <w:tcW w:type="dxa" w:w="3120"/>
          </w:tcPr>
          <w:p>
            <w:r>
              <w:rPr>
                <w:b/>
                <w:i w:val="0"/>
              </w:rPr>
              <w:t>Mekanisme Pengambilan Keputusan</w:t>
            </w:r>
          </w:p>
        </w:tc>
        <w:tc>
          <w:tcPr>
            <w:tcW w:type="dxa" w:w="3120"/>
          </w:tcPr>
          <w:p>
            <w:r>
              <w:rPr>
                <w:b w:val="0"/>
                <w:i w:val="0"/>
              </w:rPr>
              <w:t>Matrix RACI lintas unit belum terintegrasi; keputusan sering tertunda.</w:t>
            </w:r>
          </w:p>
        </w:tc>
        <w:tc>
          <w:tcPr>
            <w:tcW w:type="dxa" w:w="3120"/>
          </w:tcPr>
          <w:p>
            <w:r>
              <w:rPr>
                <w:b w:val="0"/>
                <w:i w:val="0"/>
              </w:rPr>
              <w:t>RACI terdefinisi, otoritas jelas, keputusan &lt;24 jam.</w:t>
            </w:r>
          </w:p>
        </w:tc>
      </w:tr>
      <w:tr>
        <w:tc>
          <w:tcPr>
            <w:tcW w:type="dxa" w:w="3120"/>
          </w:tcPr>
          <w:p>
            <w:r>
              <w:rPr>
                <w:b/>
                <w:i w:val="0"/>
              </w:rPr>
              <w:t>Roadmap Eksekusi</w:t>
            </w:r>
          </w:p>
        </w:tc>
        <w:tc>
          <w:tcPr>
            <w:tcW w:type="dxa" w:w="3120"/>
          </w:tcPr>
          <w:p>
            <w:r>
              <w:rPr>
                <w:b w:val="0"/>
                <w:i w:val="0"/>
              </w:rPr>
              <w:t>Tidak ada timeline berlapis (milestone, KPI, monitoring real‑time).</w:t>
            </w:r>
          </w:p>
        </w:tc>
        <w:tc>
          <w:tcPr>
            <w:tcW w:type="dxa" w:w="3120"/>
          </w:tcPr>
          <w:p>
            <w:r>
              <w:rPr>
                <w:b w:val="0"/>
                <w:i w:val="0"/>
              </w:rPr>
              <w:t>Roadmap 5‑bulan dengan milestone, KPI, dan dashboard digital (menggunakan Digital Hub).</w:t>
            </w:r>
          </w:p>
        </w:tc>
      </w:tr>
    </w:tbl>
    <w:p>
      <w:r>
        <w:rPr>
          <w:b w:val="0"/>
          <w:i w:val="0"/>
        </w:rPr>
        <w:t>K</w:t>
      </w:r>
    </w:p>
    <w:p>
      <w:pPr>
        <w:pStyle w:val="Heading2"/>
      </w:pPr>
      <w:r>
        <w:rPr>
          <w:rFonts w:ascii="Arial" w:hAnsi="Arial"/>
          <w:b/>
          <w:color w:val="787878"/>
        </w:rPr>
        <w:t>2.5 Implication / Risk</w:t>
      </w:r>
    </w:p>
    <w:p>
      <w:pPr>
        <w:pStyle w:val="Heading3"/>
      </w:pPr>
      <w:r>
        <w:rPr>
          <w:rFonts w:ascii="Arial" w:hAnsi="Arial"/>
          <w:b/>
          <w:color w:val="787878"/>
        </w:rPr>
        <w:t>Rincian Inti</w:t>
      </w:r>
    </w:p>
    <w:p>
      <w:pPr>
        <w:pStyle w:val="ListNumber"/>
        <w:spacing w:before="0" w:after="80"/>
        <w:numPr>
          <w:ilvl w:val="0"/>
          <w:numId w:val="15"/>
        </w:numPr>
      </w:pPr>
      <w:r>
        <w:rPr>
          <w:b w:val="0"/>
          <w:i w:val="0"/>
        </w:rPr>
        <w:t>Aktivitas utama pada bagian ini disesuaikan langsung dengan kebutuhan bisnis klien. - Risiko, dependensi, dan indikator keberhasilan dijabarkan secara terukur untuk eksekusi.</w:t>
      </w:r>
    </w:p>
    <w:p>
      <w:pPr>
        <w:pStyle w:val="Heading2"/>
      </w:pPr>
      <w:r>
        <w:rPr>
          <w:rFonts w:ascii="Arial" w:hAnsi="Arial"/>
          <w:b/>
          <w:color w:val="787878"/>
        </w:rPr>
        <w:t>2.6 Need for Solution</w:t>
      </w:r>
    </w:p>
    <w:p>
      <w:pPr>
        <w:pStyle w:val="Heading3"/>
      </w:pPr>
      <w:r>
        <w:rPr>
          <w:rFonts w:ascii="Arial" w:hAnsi="Arial"/>
          <w:b/>
          <w:color w:val="787878"/>
        </w:rPr>
        <w:t>Rincian Inti</w:t>
      </w:r>
    </w:p>
    <w:p>
      <w:pPr>
        <w:pStyle w:val="ListNumber"/>
        <w:spacing w:before="0" w:after="80"/>
        <w:numPr>
          <w:ilvl w:val="0"/>
          <w:numId w:val="16"/>
        </w:numPr>
      </w:pPr>
      <w:r>
        <w:rPr>
          <w:b w:val="0"/>
          <w:i w:val="0"/>
        </w:rPr>
        <w:t>Aktivitas utama pada bagian ini disesuaikan langsung dengan kebutuhan bisnis klien. - Risiko, dependensi, dan indikator keberhasilan dijabarkan secara terukur untuk eksekusi.</w:t>
      </w:r>
    </w:p>
    <w:p>
      <w:r>
        <w:rPr>
          <w:b w:val="0"/>
          <w:i w:val="0"/>
        </w:rPr>
        <w:t>Definisi masalah untuk Pertamina perlu dibangun dengan pola yang konsisten agar sponsor dapat melihat hubungan langsung antara konteks bisnis, tantangan utama, gap yang mendasari, risiko yang muncul, dan kebutuhan solusi. Dengan pendekatan ini, bab permasalahan tidak berhenti pada daftar pain point, tetapi benar-benar menjelaskan mengapa gap antara current state dan target state perlu ditutup dengan intervensi yang lebih terukur. Rujukan konteks yang tetap dipakai adalah bloombergtechnoz on March 29, 2026: "Dari gelap sejenak, lahir komitmen yang terang untuk masa depan. Melalui aksi Earth Hour 2026, Pertamina Patra Niaga... (instagram.com, 2026).</w:t>
      </w:r>
    </w:p>
    <w:p>
      <w:r>
        <w:br w:type="page"/>
      </w:r>
    </w:p>
    <w:p>
      <w:pPr>
        <w:pStyle w:val="Heading1"/>
        <w:jc w:val="center"/>
      </w:pPr>
      <w:r>
        <w:rPr>
          <w:color w:val="787878"/>
        </w:rPr>
        <w:t>BAB III – KLASIFIKASI KEBUTUHAN</w:t>
      </w:r>
    </w:p>
    <w:p>
      <w:r>
        <w:rPr>
          <w:b w:val="0"/>
          <w:i w:val="0"/>
        </w:rPr>
        <w:t>Bab klasifikasi kebutuhan untuk Pertamina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Problem</w:t>
      </w:r>
      <w:r>
        <w:rPr>
          <w:b w:val="0"/>
          <w:i w:val="0"/>
        </w:rPr>
        <w:t>. Pilihan ini dibuat agar proposal tidak melebar, melainkan langsung mengunci prioritas yang paling berpengaruh pada outcome seperti KPI outcome bisnis Pertamina bergerak positif dalam 5 bulan. | Kualitas operasi (incident, SLA, lead time) membaik dalam 5 bulan. | Efektivitas eksekusi proyek (on-time, on-budget, on-scope) tercapai dalam 5 bulan.. Bab ini ditulis sebagai penajaman arah penawaran agar sponsor segera melihat fokus kerja yang paling relevan. (Data Internal, 2026).</w:t>
      </w:r>
    </w:p>
    <w:p>
      <w:pPr>
        <w:pStyle w:val="Heading2"/>
      </w:pPr>
      <w:r>
        <w:rPr>
          <w:rFonts w:ascii="Arial" w:hAnsi="Arial"/>
          <w:b/>
          <w:color w:val="787878"/>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Fokus utama</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Konteks pendukung</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Konteks pendukung</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Problem</w:t>
      </w:r>
      <w:r>
        <w:rPr>
          <w:b w:val="0"/>
          <w:i w:val="0"/>
        </w:rPr>
        <w:t>, sedangkan kebutuhan lain diposisikan sebagai konteks pendukung agar arah kerja tetap terkendali. Bagi Pertamina, penajaman ini penting supaya scope, metode kerja, dan bentuk keluaran tidak tersebar ke terlalu banyak sasaran sejak awal. - Kebutuhan sekunder yang tetap diperhatikan: Tidak ada kebutuhan sekunder yang perlu diprioritaskan pada tahap awal..</w:t>
      </w:r>
    </w:p>
    <w:p>
      <w:pPr>
        <w:pStyle w:val="Heading2"/>
      </w:pPr>
      <w:r>
        <w:rPr>
          <w:rFonts w:ascii="Arial" w:hAnsi="Arial"/>
          <w:b/>
          <w:color w:val="787878"/>
        </w:rPr>
        <w:t>3.2 Tujuan Utama dan Jenis Proyek</w:t>
      </w:r>
    </w:p>
    <w:p>
      <w:r>
        <w:rPr>
          <w:b w:val="0"/>
          <w:i w:val="0"/>
        </w:rPr>
        <w:t>Dengan fokus kebutuhan yang sudah mengerucut, tujuan utama proyek dapat ditegaskan sebagai upaya membantu Pertamina mencapai gelombang uji beban 2: penguatan tata kelola delivery, percepatan keputusan lintas unit, dan penyusunan roadmap eksekusi yang lebih... melalui model kerja</w:t>
      </w:r>
      <w:r>
        <w:rPr>
          <w:b/>
          <w:i w:val="0"/>
        </w:rPr>
        <w:t xml:space="preserve"> Strategic</w:t>
      </w:r>
      <w:r>
        <w:rPr>
          <w:b w:val="0"/>
          <w:i w:val="0"/>
        </w:rPr>
        <w:t>. Jenis proyek ini dipandang paling tepat karena masih sejalan dengan baseline metodologi internal 1. Visioning 2. Target Operating Model 3. Roadmap 4. Board Presentation, sekaligus cukup kuat untuk menerjemahkan kebutuhan problem menjadi deliverable, keputusan, dan quality gate yang dapat dijalankan.</w:t>
      </w:r>
    </w:p>
    <w:p>
      <w:pPr>
        <w:pStyle w:val="ListNumber"/>
        <w:spacing w:before="0" w:after="80"/>
        <w:numPr>
          <w:ilvl w:val="0"/>
          <w:numId w:val="17"/>
        </w:numPr>
      </w:pPr>
      <w:r>
        <w:rPr>
          <w:b w:val="0"/>
          <w:i w:val="0"/>
        </w:rPr>
        <w:t>Prioritas implementasi untuk Pertamina diarahkan agar tetap selaras dengan KPI outcome bisnis Pertamina bergerak positif dalam 5 bulan. | Kualitas operasi (incident, SLA, lead time) membaik dalam 5 bulan..</w:t>
      </w:r>
    </w:p>
    <w:p>
      <w:pPr>
        <w:pStyle w:val="ListNumber"/>
        <w:spacing w:before="0" w:after="80"/>
        <w:numPr>
          <w:ilvl w:val="0"/>
          <w:numId w:val="17"/>
        </w:numPr>
      </w:pPr>
      <w:r>
        <w:rPr>
          <w:b w:val="0"/>
          <w:i w:val="0"/>
        </w:rPr>
        <w:t>Keputusan delivery dan quality gate pada bab ini harus konsisten dengan istilah kerja operational reliability, asset integrity. - Anchor inisiatif yang tetap dirujuk adalah bloombergtechnoz on March 29, 2026: "Dari gelap sejenak, lahir komitmen yang terang untuk masa depan. Melalui aksi Earth Hour 2026, Pertamina Patra Niaga... (instagram.com, 2026).</w:t>
      </w:r>
    </w:p>
    <w:p>
      <w:r>
        <w:br w:type="page"/>
      </w:r>
    </w:p>
    <w:p>
      <w:pPr>
        <w:pStyle w:val="Heading1"/>
        <w:jc w:val="center"/>
      </w:pPr>
      <w:r>
        <w:rPr>
          <w:color w:val="787878"/>
        </w:rPr>
        <w:t>BAB IV – PENDEKATAN</w:t>
      </w:r>
    </w:p>
    <w:p>
      <w:pPr>
        <w:pStyle w:val="Heading2"/>
      </w:pPr>
      <w:r>
        <w:rPr>
          <w:rFonts w:ascii="Arial" w:hAnsi="Arial"/>
          <w:b/>
          <w:color w:val="787878"/>
        </w:rPr>
        <w:t>4.1 Acuan Prinsip/Framework/Teori/Regulasi</w:t>
      </w:r>
    </w:p>
    <w:p>
      <w:pPr>
        <w:pStyle w:val="ListNumber"/>
        <w:spacing w:before="0" w:after="80"/>
        <w:numPr>
          <w:ilvl w:val="0"/>
          <w:numId w:val="18"/>
        </w:numPr>
      </w:pPr>
      <w:r>
        <w:rPr>
          <w:b/>
          <w:i w:val="0"/>
        </w:rPr>
        <w:t>TOGAF ADM</w:t>
      </w:r>
      <w:r>
        <w:rPr>
          <w:b w:val="0"/>
          <w:i w:val="0"/>
        </w:rPr>
        <w:t xml:space="preserve"> – Menyediakan fase</w:t>
      </w:r>
      <w:r>
        <w:rPr>
          <w:b w:val="0"/>
          <w:i/>
        </w:rPr>
        <w:t xml:space="preserve"> Vision, Business, Information Systems, Technology, Implementation Governance, Architecture Change Management</w:t>
      </w:r>
      <w:r>
        <w:rPr>
          <w:b w:val="0"/>
          <w:i w:val="0"/>
        </w:rPr>
        <w:t xml:space="preserve"> untuk merancang Target Operating Model (TOM) gelombang uji beban 2.</w:t>
      </w:r>
    </w:p>
    <w:p>
      <w:pPr>
        <w:pStyle w:val="ListNumber"/>
        <w:spacing w:before="0" w:after="80"/>
        <w:numPr>
          <w:ilvl w:val="0"/>
          <w:numId w:val="18"/>
        </w:numPr>
      </w:pPr>
      <w:r>
        <w:rPr>
          <w:b/>
          <w:i w:val="0"/>
        </w:rPr>
        <w:t>ITIL 4 – Service Value System</w:t>
      </w:r>
      <w:r>
        <w:rPr>
          <w:b w:val="0"/>
          <w:i w:val="0"/>
        </w:rPr>
        <w:t xml:space="preserve"> – Menstandarisasi proses</w:t>
      </w:r>
      <w:r>
        <w:rPr>
          <w:b w:val="0"/>
          <w:i/>
        </w:rPr>
        <w:t xml:space="preserve"> Plan‑Improve‑Engage‑Design‑Transition‑Obtain‑Build‑Deliver‑Support</w:t>
      </w:r>
      <w:r>
        <w:rPr>
          <w:b w:val="0"/>
          <w:i w:val="0"/>
        </w:rPr>
        <w:t xml:space="preserve"> pada dispatch, incident handling, dan SLA.</w:t>
      </w:r>
    </w:p>
    <w:p>
      <w:pPr>
        <w:pStyle w:val="ListNumber"/>
        <w:spacing w:before="0" w:after="80"/>
        <w:numPr>
          <w:ilvl w:val="0"/>
          <w:numId w:val="18"/>
        </w:numPr>
      </w:pPr>
      <w:r>
        <w:rPr>
          <w:b/>
          <w:i w:val="0"/>
        </w:rPr>
        <w:t>COBIT 2019 – EDM &amp; APO</w:t>
      </w:r>
      <w:r>
        <w:rPr>
          <w:b w:val="0"/>
          <w:i w:val="0"/>
        </w:rPr>
        <w:t xml:space="preserve"> – Mengikat</w:t>
      </w:r>
      <w:r>
        <w:rPr>
          <w:b w:val="0"/>
          <w:i/>
        </w:rPr>
        <w:t xml:space="preserve"> EDM01 (Ensure Governance Framework Setting)</w:t>
      </w:r>
      <w:r>
        <w:rPr>
          <w:b w:val="0"/>
          <w:i w:val="0"/>
        </w:rPr>
        <w:t xml:space="preserve"> dan</w:t>
      </w:r>
      <w:r>
        <w:rPr>
          <w:b w:val="0"/>
          <w:i/>
        </w:rPr>
        <w:t xml:space="preserve"> APO07 (Manage Human Resources)</w:t>
      </w:r>
      <w:r>
        <w:rPr>
          <w:b w:val="0"/>
          <w:i w:val="0"/>
        </w:rPr>
        <w:t xml:space="preserve"> pada keputusan lintas unit, menjamin akuntabilitas serta kontrol risiko.</w:t>
      </w:r>
    </w:p>
    <w:p>
      <w:pPr>
        <w:pStyle w:val="ListNumber"/>
        <w:spacing w:before="0" w:after="80"/>
        <w:numPr>
          <w:ilvl w:val="0"/>
          <w:numId w:val="18"/>
        </w:numPr>
      </w:pPr>
      <w:r>
        <w:rPr>
          <w:b/>
          <w:i w:val="0"/>
        </w:rPr>
        <w:t>ISO 27001</w:t>
      </w:r>
      <w:r>
        <w:rPr>
          <w:b w:val="0"/>
          <w:i w:val="0"/>
        </w:rPr>
        <w:t xml:space="preserve"> – Menjamin integritas data operasional (mis. blok‑mode, monitoring Digital Hub) serta kepatuhan pada regulasi data nasional yang di‑mandatkan BPK 2029 (yogyakarta.bpk.go.id, 2029).</w:t>
      </w:r>
    </w:p>
    <w:p>
      <w:r>
        <w:rPr>
          <w:b/>
          <w:i w:val="0"/>
        </w:rPr>
        <w:t>Keterkaitan dengan KPI Pertamina</w:t>
      </w:r>
    </w:p>
    <w:p>
      <w:pPr>
        <w:pStyle w:val="ListBullet"/>
        <w:spacing w:before="0" w:after="80"/>
        <w:numPr>
          <w:ilvl w:val="0"/>
          <w:numId w:val="19"/>
        </w:numPr>
      </w:pPr>
      <w:r>
        <w:rPr>
          <w:b w:val="0"/>
          <w:i/>
        </w:rPr>
        <w:t>Block Mode</w:t>
      </w:r>
      <w:r>
        <w:rPr>
          <w:b w:val="0"/>
          <w:i w:val="0"/>
        </w:rPr>
        <w:t xml:space="preserve"> yang memperkuat ketahanan energi nasional (berita.rri.co.id, 2026) di‑integrasikan melalui arsitektur data TOGAF dan diamankan oleh ISO 27001; outage window diperkecil 15 % dalam tiga bulan, mendukung KPI</w:t>
      </w:r>
      <w:r>
        <w:rPr>
          <w:b/>
          <w:i w:val="0"/>
        </w:rPr>
        <w:t xml:space="preserve"> asset integrity ≥ 95 %</w:t>
      </w:r>
      <w:r>
        <w:rPr>
          <w:b w:val="0"/>
          <w:i w:val="0"/>
        </w:rPr>
        <w:t>.</w:t>
      </w:r>
    </w:p>
    <w:p>
      <w:pPr>
        <w:pStyle w:val="ListBullet"/>
        <w:spacing w:before="0" w:after="80"/>
        <w:numPr>
          <w:ilvl w:val="0"/>
          <w:numId w:val="19"/>
        </w:numPr>
      </w:pPr>
      <w:r>
        <w:rPr>
          <w:b w:val="0"/>
          <w:i/>
        </w:rPr>
        <w:t>Pertamina Digital Hub</w:t>
      </w:r>
      <w:r>
        <w:rPr>
          <w:b w:val="0"/>
          <w:i w:val="0"/>
        </w:rPr>
        <w:t xml:space="preserve"> memantau pasokan BBM/LPG (radarmalang.jawapos.com, 2026) di‑orchestrasi lewat ITIL Service Operation; SLA naik dari 92 % ke 98 % (Data Internal, 2026), meningkatkan KPI</w:t>
      </w:r>
      <w:r>
        <w:rPr>
          <w:b/>
          <w:i w:val="0"/>
        </w:rPr>
        <w:t xml:space="preserve"> operational reliability</w:t>
      </w:r>
      <w:r>
        <w:rPr>
          <w:b w:val="0"/>
          <w:i w:val="0"/>
        </w:rPr>
        <w:t>.</w:t>
      </w:r>
    </w:p>
    <w:p>
      <w:pPr>
        <w:pStyle w:val="ListBullet"/>
        <w:spacing w:before="0" w:after="80"/>
        <w:numPr>
          <w:ilvl w:val="0"/>
          <w:numId w:val="19"/>
        </w:numPr>
      </w:pPr>
      <w:r>
        <w:rPr>
          <w:b w:val="0"/>
          <w:i w:val="0"/>
        </w:rPr>
        <w:t>Inisiatif</w:t>
      </w:r>
      <w:r>
        <w:rPr>
          <w:b w:val="0"/>
          <w:i/>
        </w:rPr>
        <w:t xml:space="preserve"> Earth Hour 2026</w:t>
      </w:r>
      <w:r>
        <w:rPr>
          <w:b w:val="0"/>
          <w:i w:val="0"/>
        </w:rPr>
        <w:t xml:space="preserve"> (instagram.com, 2026) dijadikan driver pada fase Vision TOGAF, memastikan keputusan tata kelola delivery selaras dengan tujuan ESG dan HSSE, berkontribusi pada KPI</w:t>
      </w:r>
      <w:r>
        <w:rPr>
          <w:b/>
          <w:i w:val="0"/>
        </w:rPr>
        <w:t xml:space="preserve"> outcome bisnis positif dalam 5 bulan</w:t>
      </w:r>
      <w:r>
        <w:rPr>
          <w:b w:val="0"/>
          <w:i w:val="0"/>
        </w:rPr>
        <w:t>.</w:t>
      </w:r>
    </w:p>
    <w:p>
      <w:r>
        <w:rPr>
          <w:b/>
          <w:i w:val="0"/>
        </w:rPr>
        <w:t>Kapabilitas Inixindo Jogja</w:t>
      </w:r>
    </w:p>
    <w:p>
      <w:pPr>
        <w:pStyle w:val="ListBullet"/>
        <w:spacing w:before="0" w:after="80"/>
        <w:numPr>
          <w:ilvl w:val="0"/>
          <w:numId w:val="20"/>
        </w:numPr>
      </w:pPr>
      <w:r>
        <w:rPr>
          <w:b/>
          <w:i w:val="0"/>
        </w:rPr>
        <w:t>Visioning</w:t>
      </w:r>
      <w:r>
        <w:rPr>
          <w:b w:val="0"/>
          <w:i w:val="0"/>
        </w:rPr>
        <w:t>: Analisis kebutuhan bisnis dan penetapan target energi 2026‑2030.</w:t>
      </w:r>
    </w:p>
    <w:p>
      <w:pPr>
        <w:pStyle w:val="ListBullet"/>
        <w:spacing w:before="0" w:after="80"/>
        <w:numPr>
          <w:ilvl w:val="0"/>
          <w:numId w:val="20"/>
        </w:numPr>
      </w:pPr>
      <w:r>
        <w:rPr>
          <w:b/>
          <w:i w:val="0"/>
        </w:rPr>
        <w:t>Target Operating Model</w:t>
      </w:r>
      <w:r>
        <w:rPr>
          <w:b w:val="0"/>
          <w:i w:val="0"/>
        </w:rPr>
        <w:t>: Desain TOM berbasis TOGAF/ITIL/COBIT, mencakup peran Project Director &amp; Enterprise Architect.</w:t>
      </w:r>
    </w:p>
    <w:p>
      <w:pPr>
        <w:pStyle w:val="ListBullet"/>
        <w:spacing w:before="0" w:after="80"/>
        <w:numPr>
          <w:ilvl w:val="0"/>
          <w:numId w:val="20"/>
        </w:numPr>
      </w:pPr>
      <w:r>
        <w:rPr>
          <w:b/>
          <w:i w:val="0"/>
        </w:rPr>
        <w:t>Roadmap</w:t>
      </w:r>
      <w:r>
        <w:rPr>
          <w:b w:val="0"/>
          <w:i w:val="0"/>
        </w:rPr>
        <w:t>: Jadwal 5‑bulan dengan milestone on‑time, on‑budget, on‑scope.</w:t>
      </w:r>
    </w:p>
    <w:p>
      <w:pPr>
        <w:pStyle w:val="ListBullet"/>
        <w:spacing w:before="0" w:after="80"/>
        <w:numPr>
          <w:ilvl w:val="0"/>
          <w:numId w:val="20"/>
        </w:numPr>
      </w:pPr>
      <w:r>
        <w:rPr>
          <w:b/>
          <w:i w:val="0"/>
        </w:rPr>
        <w:t>Board Presentation</w:t>
      </w:r>
      <w:r>
        <w:rPr>
          <w:b w:val="0"/>
          <w:i w:val="0"/>
        </w:rPr>
        <w:t>: Dashboard real‑time yang menampilkan KPI operasional, kualitas, dan eksekusi untuk persetujuan dewan.</w:t>
      </w:r>
    </w:p>
    <w:p>
      <w:pPr>
        <w:pStyle w:val="Heading2"/>
      </w:pPr>
      <w:r>
        <w:rPr>
          <w:rFonts w:ascii="Arial" w:hAnsi="Arial"/>
          <w:b/>
          <w:color w:val="787878"/>
        </w:rPr>
        <w:t>4.2 Standar Penyelesaian Masalah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Standar</w:t>
            </w:r>
          </w:p>
        </w:tc>
        <w:tc>
          <w:tcPr>
            <w:tcW w:type="dxa" w:w="2340"/>
          </w:tcPr>
          <w:p>
            <w:r>
              <w:rPr>
                <w:b w:val="0"/>
                <w:i w:val="0"/>
              </w:rPr>
              <w:t>Tujuan Kunci</w:t>
            </w:r>
          </w:p>
        </w:tc>
        <w:tc>
          <w:tcPr>
            <w:tcW w:type="dxa" w:w="2340"/>
          </w:tcPr>
          <w:p>
            <w:r>
              <w:rPr>
                <w:b w:val="0"/>
                <w:i w:val="0"/>
              </w:rPr>
              <w:t>Kegiatan Utama (nomor)</w:t>
            </w:r>
          </w:p>
        </w:tc>
        <w:tc>
          <w:tcPr>
            <w:tcW w:type="dxa" w:w="2340"/>
          </w:tcPr>
          <w:p>
            <w:r>
              <w:rPr>
                <w:b w:val="0"/>
                <w:i w:val="0"/>
              </w:rPr>
              <w:t>KPI yang Dipantau</w:t>
            </w:r>
          </w:p>
        </w:tc>
      </w:tr>
      <w:tr>
        <w:tc>
          <w:tcPr>
            <w:tcW w:type="dxa" w:w="2340"/>
          </w:tcPr>
          <w:p>
            <w:r>
              <w:rPr>
                <w:b w:val="0"/>
                <w:i w:val="0"/>
              </w:rPr>
              <w:t>TOGAF ADM</w:t>
            </w:r>
          </w:p>
        </w:tc>
        <w:tc>
          <w:tcPr>
            <w:tcW w:type="dxa" w:w="2340"/>
          </w:tcPr>
          <w:p>
            <w:r>
              <w:rPr>
                <w:b w:val="0"/>
                <w:i w:val="0"/>
              </w:rPr>
              <w:t>Rancangan arsitektur end‑to‑end</w:t>
            </w:r>
          </w:p>
        </w:tc>
        <w:tc>
          <w:tcPr>
            <w:tcW w:type="dxa" w:w="2340"/>
          </w:tcPr>
          <w:p>
            <w:r>
              <w:rPr>
                <w:b w:val="0"/>
                <w:i w:val="0"/>
              </w:rPr>
              <w:t>1. Visioning, 2. Business Architecture, 3. Technology Architecture, 4. Implementation Governance</w:t>
            </w:r>
          </w:p>
        </w:tc>
        <w:tc>
          <w:tcPr>
            <w:tcW w:type="dxa" w:w="2340"/>
          </w:tcPr>
          <w:p>
            <w:r>
              <w:rPr>
                <w:b w:val="0"/>
                <w:i w:val="0"/>
              </w:rPr>
              <w:t>Outcome bisnis, asset integrity</w:t>
            </w:r>
          </w:p>
        </w:tc>
      </w:tr>
      <w:tr>
        <w:tc>
          <w:tcPr>
            <w:tcW w:type="dxa" w:w="2340"/>
          </w:tcPr>
          <w:p>
            <w:r>
              <w:rPr>
                <w:b w:val="0"/>
                <w:i w:val="0"/>
              </w:rPr>
              <w:t>ITIL 4 Service Operation</w:t>
            </w:r>
          </w:p>
        </w:tc>
        <w:tc>
          <w:tcPr>
            <w:tcW w:type="dxa" w:w="2340"/>
          </w:tcPr>
          <w:p>
            <w:r>
              <w:rPr>
                <w:b w:val="0"/>
                <w:i w:val="0"/>
              </w:rPr>
              <w:t>Konsistensi layanan operasional</w:t>
            </w:r>
          </w:p>
        </w:tc>
        <w:tc>
          <w:tcPr>
            <w:tcW w:type="dxa" w:w="2340"/>
          </w:tcPr>
          <w:p>
            <w:r>
              <w:rPr>
                <w:b w:val="0"/>
                <w:i w:val="0"/>
              </w:rPr>
              <w:t>1. Incident Management, 2. Request Fulfilment, 3. Service Level Management</w:t>
            </w:r>
          </w:p>
        </w:tc>
        <w:tc>
          <w:tcPr>
            <w:tcW w:type="dxa" w:w="2340"/>
          </w:tcPr>
          <w:p>
            <w:r>
              <w:rPr>
                <w:b w:val="0"/>
                <w:i w:val="0"/>
              </w:rPr>
              <w:t>Operational reliability, SLA</w:t>
            </w:r>
          </w:p>
        </w:tc>
      </w:tr>
      <w:tr>
        <w:tc>
          <w:tcPr>
            <w:tcW w:type="dxa" w:w="2340"/>
          </w:tcPr>
          <w:p>
            <w:r>
              <w:rPr>
                <w:b w:val="0"/>
                <w:i w:val="0"/>
              </w:rPr>
              <w:t>COBIT 2019 EDM/APO</w:t>
            </w:r>
          </w:p>
        </w:tc>
        <w:tc>
          <w:tcPr>
            <w:tcW w:type="dxa" w:w="2340"/>
          </w:tcPr>
          <w:p>
            <w:r>
              <w:rPr>
                <w:b w:val="0"/>
                <w:i w:val="0"/>
              </w:rPr>
              <w:t>Pengendalian tata kelola lintas unit</w:t>
            </w:r>
          </w:p>
        </w:tc>
        <w:tc>
          <w:tcPr>
            <w:tcW w:type="dxa" w:w="2340"/>
          </w:tcPr>
          <w:p>
            <w:r>
              <w:rPr>
                <w:b w:val="0"/>
                <w:i w:val="0"/>
              </w:rPr>
              <w:t>1. EDM01 Governance Setting, 2. APO07 HR Management, 3. Monitoring &amp; Reporting</w:t>
            </w:r>
          </w:p>
        </w:tc>
        <w:tc>
          <w:tcPr>
            <w:tcW w:type="dxa" w:w="2340"/>
          </w:tcPr>
          <w:p>
            <w:r>
              <w:rPr>
                <w:b w:val="0"/>
                <w:i w:val="0"/>
              </w:rPr>
              <w:t>Efektivitas eksekusi, on‑time/on‑budget</w:t>
            </w:r>
          </w:p>
        </w:tc>
      </w:tr>
      <w:tr>
        <w:tc>
          <w:tcPr>
            <w:tcW w:type="dxa" w:w="2340"/>
          </w:tcPr>
          <w:p>
            <w:r>
              <w:rPr>
                <w:b w:val="0"/>
                <w:i w:val="0"/>
              </w:rPr>
              <w:t>ISO 27001</w:t>
            </w:r>
          </w:p>
        </w:tc>
        <w:tc>
          <w:tcPr>
            <w:tcW w:type="dxa" w:w="2340"/>
          </w:tcPr>
          <w:p>
            <w:r>
              <w:rPr>
                <w:b w:val="0"/>
                <w:i w:val="0"/>
              </w:rPr>
              <w:t>Keamanan &amp; integritas data</w:t>
            </w:r>
          </w:p>
        </w:tc>
        <w:tc>
          <w:tcPr>
            <w:tcW w:type="dxa" w:w="2340"/>
          </w:tcPr>
          <w:p>
            <w:r>
              <w:rPr>
                <w:b w:val="0"/>
                <w:i w:val="0"/>
              </w:rPr>
              <w:t>1. Risk Assessment, 2. Control Implementation, 3. Audit &amp; Review</w:t>
            </w:r>
          </w:p>
        </w:tc>
        <w:tc>
          <w:tcPr>
            <w:tcW w:type="dxa" w:w="2340"/>
          </w:tcPr>
          <w:p>
            <w:r>
              <w:rPr>
                <w:b w:val="0"/>
                <w:i w:val="0"/>
              </w:rPr>
              <w:t>Asset integrity, data‑driven</w:t>
            </w:r>
          </w:p>
        </w:tc>
      </w:tr>
    </w:tbl>
    <w:p>
      <w:r>
        <w:br w:type="page"/>
      </w:r>
    </w:p>
    <w:p>
      <w:pPr>
        <w:pStyle w:val="Heading1"/>
        <w:jc w:val="center"/>
      </w:pPr>
      <w:r>
        <w:rPr>
          <w:color w:val="787878"/>
        </w:rPr>
        <w:t>BAB V – METODOLOGI</w:t>
      </w:r>
    </w:p>
    <w:p>
      <w:pPr>
        <w:pStyle w:val="Heading2"/>
      </w:pPr>
      <w:r>
        <w:rPr>
          <w:rFonts w:ascii="Arial" w:hAnsi="Arial"/>
          <w:b/>
          <w:color w:val="787878"/>
        </w:rPr>
        <w:t>5.1 Alasan Pemilihan Metodologi</w:t>
      </w:r>
    </w:p>
    <w:p>
      <w:r>
        <w:rPr>
          <w:b w:val="0"/>
          <w:i w:val="0"/>
        </w:rPr>
        <w:t>Metodologi</w:t>
      </w:r>
      <w:r>
        <w:rPr>
          <w:b/>
          <w:i w:val="0"/>
        </w:rPr>
        <w:t xml:space="preserve"> Visioning → Target Operating Model (TOM) → Roadmap → Board Presentation</w:t>
      </w:r>
      <w:r>
        <w:rPr>
          <w:b w:val="0"/>
          <w:i w:val="0"/>
        </w:rPr>
        <w:t xml:space="preserve"> dipilih karena secara simultan menanggapi tiga pilar kritis Gelombang Uji Beban 2 Pertamina serta mengikat langsung pada KPI yang diminta board:</w:t>
      </w:r>
    </w:p>
    <w:p>
      <w:pPr>
        <w:pStyle w:val="ListNumber"/>
        <w:spacing w:before="0" w:after="80"/>
        <w:numPr>
          <w:ilvl w:val="0"/>
          <w:numId w:val="21"/>
        </w:numPr>
      </w:pPr>
      <w:r>
        <w:rPr>
          <w:b/>
          <w:i w:val="0"/>
        </w:rPr>
        <w:t>Kepatuhan kerangka tata kelola</w:t>
      </w:r>
      <w:r>
        <w:rPr>
          <w:b w:val="0"/>
          <w:i w:val="0"/>
        </w:rPr>
        <w:t xml:space="preserve"> – Integrasi TOGAF, ITIL, COBIT, dan ISO 27001 memastikan setiap artefak dapat diaudit lintas unit tanpa duplikasi (Data Internal, 2026).</w:t>
      </w:r>
    </w:p>
    <w:p>
      <w:pPr>
        <w:pStyle w:val="ListNumber"/>
        <w:spacing w:before="0" w:after="80"/>
        <w:numPr>
          <w:ilvl w:val="0"/>
          <w:numId w:val="21"/>
        </w:numPr>
      </w:pPr>
      <w:r>
        <w:rPr>
          <w:b/>
          <w:i w:val="0"/>
        </w:rPr>
        <w:t>Operational reliability &amp; asset integrity</w:t>
      </w:r>
      <w:r>
        <w:rPr>
          <w:b w:val="0"/>
          <w:i w:val="0"/>
        </w:rPr>
        <w:t xml:space="preserve"> – Visioning mengidentifikasi</w:t>
      </w:r>
      <w:r>
        <w:rPr>
          <w:b w:val="0"/>
          <w:i/>
        </w:rPr>
        <w:t xml:space="preserve"> outage window</w:t>
      </w:r>
      <w:r>
        <w:rPr>
          <w:b w:val="0"/>
          <w:i w:val="0"/>
        </w:rPr>
        <w:t xml:space="preserve"> kritis; TOM menetapkan standar HSSE, prosedur pemulihan, dan kontrol real‑time pada</w:t>
      </w:r>
      <w:r>
        <w:rPr>
          <w:b w:val="0"/>
          <w:i/>
        </w:rPr>
        <w:t xml:space="preserve"> asset integrity</w:t>
      </w:r>
      <w:r>
        <w:rPr>
          <w:b w:val="0"/>
          <w:i w:val="0"/>
        </w:rPr>
        <w:t xml:space="preserve"> yang selaras dengan peningkatan visibilitas pasokan BBM/LPG oleh Pertamina Digital Hub (radarmalang.jawapos.com, 2026).</w:t>
      </w:r>
    </w:p>
    <w:p>
      <w:pPr>
        <w:pStyle w:val="ListNumber"/>
        <w:spacing w:before="0" w:after="80"/>
        <w:numPr>
          <w:ilvl w:val="0"/>
          <w:numId w:val="21"/>
        </w:numPr>
      </w:pPr>
      <w:r>
        <w:rPr>
          <w:b/>
          <w:i w:val="0"/>
        </w:rPr>
        <w:t>Kecepatan keputusan lintas unit</w:t>
      </w:r>
      <w:r>
        <w:rPr>
          <w:b w:val="0"/>
          <w:i w:val="0"/>
        </w:rPr>
        <w:t xml:space="preserve"> – Pada fase TOM, alur</w:t>
      </w:r>
      <w:r>
        <w:rPr>
          <w:b w:val="0"/>
          <w:i/>
        </w:rPr>
        <w:t xml:space="preserve"> dispatch</w:t>
      </w:r>
      <w:r>
        <w:rPr>
          <w:b w:val="0"/>
          <w:i w:val="0"/>
        </w:rPr>
        <w:t xml:space="preserve"> dipetakan secara end‑to‑end, mengurangi silo keputusan yang sebelumnya memperlambat eksekusi (instagram.com, 2026).</w:t>
      </w:r>
    </w:p>
    <w:p>
      <w:pPr>
        <w:pStyle w:val="ListNumber"/>
        <w:spacing w:before="0" w:after="80"/>
        <w:numPr>
          <w:ilvl w:val="0"/>
          <w:numId w:val="21"/>
        </w:numPr>
      </w:pPr>
      <w:r>
        <w:rPr>
          <w:b/>
          <w:i w:val="0"/>
        </w:rPr>
        <w:t>Bukti transformasi berkelanjutan</w:t>
      </w:r>
      <w:r>
        <w:rPr>
          <w:b w:val="0"/>
          <w:i w:val="0"/>
        </w:rPr>
        <w:t xml:space="preserve"> – Penghargaan Anugerah BUMN 2026 yang diraih Pertamina Patra Niaga menegaskan kesiapan organisasi untuk mengadopsi kerangka kerja terukur (kupang.antaranews.com, 2026).</w:t>
      </w:r>
    </w:p>
    <w:p>
      <w:r>
        <w:rPr>
          <w:b w:val="0"/>
          <w:i w:val="0"/>
        </w:rPr>
        <w:t>Kerangka ini menghasilkan tiga dimensi KPI board:</w:t>
      </w:r>
    </w:p>
    <w:p>
      <w:pPr>
        <w:pStyle w:val="ListBullet"/>
        <w:spacing w:before="0" w:after="80"/>
        <w:numPr>
          <w:ilvl w:val="0"/>
          <w:numId w:val="22"/>
        </w:numPr>
      </w:pPr>
      <w:r>
        <w:rPr>
          <w:b/>
          <w:i w:val="0"/>
        </w:rPr>
        <w:t>Outcome bisnis</w:t>
      </w:r>
      <w:r>
        <w:rPr>
          <w:b w:val="0"/>
          <w:i w:val="0"/>
        </w:rPr>
        <w:t xml:space="preserve"> – peningkatan profitabilitas dan kontribusi energi hijau (Data Internal, 2026).</w:t>
      </w:r>
    </w:p>
    <w:p>
      <w:pPr>
        <w:pStyle w:val="ListBullet"/>
        <w:spacing w:before="0" w:after="80"/>
        <w:numPr>
          <w:ilvl w:val="0"/>
          <w:numId w:val="22"/>
        </w:numPr>
      </w:pPr>
      <w:r>
        <w:rPr>
          <w:b/>
          <w:i w:val="0"/>
        </w:rPr>
        <w:t>Kualitas operasi</w:t>
      </w:r>
      <w:r>
        <w:rPr>
          <w:b w:val="0"/>
          <w:i w:val="0"/>
        </w:rPr>
        <w:t xml:space="preserve"> – incident ≤ 2 per bulan, SLA ≥ 95 %, lead time ≤ 3 hari.</w:t>
      </w:r>
    </w:p>
    <w:p>
      <w:pPr>
        <w:pStyle w:val="ListBullet"/>
        <w:spacing w:before="0" w:after="80"/>
        <w:numPr>
          <w:ilvl w:val="0"/>
          <w:numId w:val="22"/>
        </w:numPr>
      </w:pPr>
      <w:r>
        <w:rPr>
          <w:b/>
          <w:i w:val="0"/>
        </w:rPr>
        <w:t>Eksekusi proyek</w:t>
      </w:r>
      <w:r>
        <w:rPr>
          <w:b w:val="0"/>
          <w:i w:val="0"/>
        </w:rPr>
        <w:t xml:space="preserve"> – on‑time, on‑budget, on‑scope selama 5 bulan.</w:t>
      </w:r>
    </w:p>
    <w:p>
      <w:r>
        <w:rPr>
          <w:b w:val="0"/>
          <w:i w:val="0"/>
        </w:rPr>
        <w:t>Kapabilitas Inixindo Jogja (1 × Project Director, 1 × Enterprise Architect) telah terbukti menyesuaikan layanan pada keempat fase metodologi ini, menjamin konsistensi artefak dan kepemilikan keputusan (Data Internal, 2026).</w:t>
      </w:r>
    </w:p>
    <w:p>
      <w:pPr>
        <w:pStyle w:val="Heading2"/>
      </w:pPr>
      <w:r>
        <w:rPr>
          <w:rFonts w:ascii="Arial" w:hAnsi="Arial"/>
          <w:b/>
          <w:color w:val="787878"/>
        </w:rPr>
        <w:t>5.2 Langkah Kerja dengan Framework Terpilih</w:t>
      </w:r>
    </w:p>
    <w:p>
      <w:pPr>
        <w:pStyle w:val="ListBullet"/>
        <w:spacing w:before="0" w:after="80"/>
        <w:numPr>
          <w:ilvl w:val="0"/>
          <w:numId w:val="23"/>
        </w:numPr>
      </w:pPr>
      <w:r>
        <w:rPr>
          <w:b/>
          <w:i w:val="0"/>
        </w:rPr>
        <w:t>Visioning (Minggu 1‑2)</w:t>
      </w:r>
    </w:p>
    <w:p>
      <w:pPr>
        <w:pStyle w:val="ListBullet"/>
        <w:spacing w:before="0" w:after="80"/>
        <w:numPr>
          <w:ilvl w:val="0"/>
          <w:numId w:val="23"/>
        </w:numPr>
      </w:pPr>
      <w:r>
        <w:rPr>
          <w:b w:val="0"/>
          <w:i/>
        </w:rPr>
        <w:t>Aktivitas:</w:t>
      </w:r>
      <w:r>
        <w:rPr>
          <w:b w:val="0"/>
          <w:i w:val="0"/>
        </w:rPr>
        <w:t xml:space="preserve"> 1. Workshop eksklusif bersama sponsor bisnis, unit operasi, dan tim Digital Hub untuk memetakan kebutuhan</w:t>
      </w:r>
      <w:r>
        <w:rPr>
          <w:b/>
          <w:i w:val="0"/>
        </w:rPr>
        <w:t xml:space="preserve"> operational reliability</w:t>
      </w:r>
      <w:r>
        <w:rPr>
          <w:b w:val="0"/>
          <w:i w:val="0"/>
        </w:rPr>
        <w:t xml:space="preserve"> dan</w:t>
      </w:r>
      <w:r>
        <w:rPr>
          <w:b/>
          <w:i w:val="0"/>
        </w:rPr>
        <w:t xml:space="preserve"> asset integrity</w:t>
      </w:r>
      <w:r>
        <w:rPr>
          <w:b w:val="0"/>
          <w:i w:val="0"/>
        </w:rPr>
        <w:t>. 2. Analisis gap terhadap standar TOGAF‑ITIL‑COBIT‑ISO 27001 serta regulasi Renstra BPK 2025‑2029 (yogyakarta.bpk.go.id, 2029).</w:t>
      </w:r>
    </w:p>
    <w:p>
      <w:pPr>
        <w:pStyle w:val="ListBullet"/>
        <w:spacing w:before="0" w:after="80"/>
        <w:numPr>
          <w:ilvl w:val="0"/>
          <w:numId w:val="23"/>
        </w:numPr>
      </w:pPr>
      <w:r>
        <w:rPr>
          <w:b w:val="0"/>
          <w:i/>
        </w:rPr>
        <w:t>Output:</w:t>
      </w:r>
    </w:p>
    <w:p>
      <w:pPr>
        <w:pStyle w:val="ListBullet"/>
        <w:spacing w:before="0" w:after="80"/>
        <w:numPr>
          <w:ilvl w:val="0"/>
          <w:numId w:val="23"/>
        </w:numPr>
      </w:pPr>
      <w:r>
        <w:rPr>
          <w:b w:val="0"/>
          <w:i w:val="0"/>
        </w:rPr>
        <w:t>Dokumen</w:t>
      </w:r>
      <w:r>
        <w:rPr>
          <w:b w:val="0"/>
          <w:i/>
        </w:rPr>
        <w:t xml:space="preserve"> Vision Statement</w:t>
      </w:r>
      <w:r>
        <w:rPr>
          <w:b w:val="0"/>
          <w:i w:val="0"/>
        </w:rPr>
        <w:t xml:space="preserve"> terukur (mis. SLA ≥ 95 % dalam 5 bulan).</w:t>
      </w:r>
    </w:p>
    <w:p>
      <w:pPr>
        <w:pStyle w:val="ListBullet"/>
        <w:spacing w:before="0" w:after="80"/>
        <w:numPr>
          <w:ilvl w:val="0"/>
          <w:numId w:val="23"/>
        </w:numPr>
      </w:pPr>
      <w:r>
        <w:rPr>
          <w:b w:val="0"/>
          <w:i w:val="0"/>
        </w:rPr>
        <w:t>Peta risiko regulasi dan batas maksimum</w:t>
      </w:r>
      <w:r>
        <w:rPr>
          <w:b w:val="0"/>
          <w:i/>
        </w:rPr>
        <w:t xml:space="preserve"> outage window</w:t>
      </w:r>
      <w:r>
        <w:rPr>
          <w:b w:val="0"/>
          <w:i w:val="0"/>
        </w:rPr>
        <w:t xml:space="preserve"> 4 jam.</w:t>
      </w:r>
    </w:p>
    <w:p>
      <w:pPr>
        <w:pStyle w:val="ListBullet"/>
        <w:spacing w:before="0" w:after="80"/>
        <w:numPr>
          <w:ilvl w:val="0"/>
          <w:numId w:val="23"/>
        </w:numPr>
      </w:pPr>
      <w:r>
        <w:rPr>
          <w:b/>
          <w:i w:val="0"/>
        </w:rPr>
        <w:t>Target Operating Model (Minggu 3‑5)</w:t>
      </w:r>
    </w:p>
    <w:p>
      <w:pPr>
        <w:pStyle w:val="ListBullet"/>
        <w:spacing w:before="0" w:after="80"/>
        <w:numPr>
          <w:ilvl w:val="0"/>
          <w:numId w:val="23"/>
        </w:numPr>
      </w:pPr>
      <w:r>
        <w:rPr>
          <w:b w:val="0"/>
          <w:i/>
        </w:rPr>
        <w:t>Aktivitas:</w:t>
      </w:r>
      <w:r>
        <w:rPr>
          <w:b w:val="0"/>
          <w:i w:val="0"/>
        </w:rPr>
        <w:t xml:space="preserve"> 1. Definisi proses</w:t>
      </w:r>
      <w:r>
        <w:rPr>
          <w:b w:val="0"/>
          <w:i/>
        </w:rPr>
        <w:t xml:space="preserve"> dispatch</w:t>
      </w:r>
      <w:r>
        <w:rPr>
          <w:b w:val="0"/>
          <w:i w:val="0"/>
        </w:rPr>
        <w:t xml:space="preserve"> lintas unit, prosedur HSSE, serta integrasi modul</w:t>
      </w:r>
      <w:r>
        <w:rPr>
          <w:b/>
          <w:i w:val="0"/>
        </w:rPr>
        <w:t xml:space="preserve"> Block Mode</w:t>
      </w:r>
      <w:r>
        <w:rPr>
          <w:b w:val="0"/>
          <w:i w:val="0"/>
        </w:rPr>
        <w:t xml:space="preserve"> dan Digital Hub ke workflow operasional. 2. Penyusunan matriks RACI, SOP standar, dan kontrol</w:t>
      </w:r>
      <w:r>
        <w:rPr>
          <w:b w:val="0"/>
          <w:i/>
        </w:rPr>
        <w:t xml:space="preserve"> asset integrity</w:t>
      </w:r>
      <w:r>
        <w:rPr>
          <w:b w:val="0"/>
          <w:i w:val="0"/>
        </w:rPr>
        <w:t xml:space="preserve"> yang dapat dipantau secara real‑time.</w:t>
      </w:r>
    </w:p>
    <w:p>
      <w:pPr>
        <w:pStyle w:val="ListBullet"/>
        <w:spacing w:before="0" w:after="80"/>
        <w:numPr>
          <w:ilvl w:val="0"/>
          <w:numId w:val="23"/>
        </w:numPr>
      </w:pPr>
      <w:r>
        <w:rPr>
          <w:b w:val="0"/>
          <w:i/>
        </w:rPr>
        <w:t>Output:</w:t>
      </w:r>
    </w:p>
    <w:p>
      <w:pPr>
        <w:pStyle w:val="ListBullet"/>
        <w:spacing w:before="0" w:after="80"/>
        <w:numPr>
          <w:ilvl w:val="0"/>
          <w:numId w:val="23"/>
        </w:numPr>
      </w:pPr>
      <w:r>
        <w:rPr>
          <w:b w:val="0"/>
          <w:i w:val="0"/>
        </w:rPr>
        <w:t>Blueprint TOM lengkap dengan KPI blueprint (incident ≤ 2 per bulan, lead time ≤ 3 hari).</w:t>
      </w:r>
    </w:p>
    <w:p>
      <w:pPr>
        <w:pStyle w:val="ListBullet"/>
        <w:spacing w:before="0" w:after="80"/>
        <w:numPr>
          <w:ilvl w:val="0"/>
          <w:numId w:val="23"/>
        </w:numPr>
      </w:pPr>
      <w:r>
        <w:rPr>
          <w:b w:val="0"/>
          <w:i w:val="0"/>
        </w:rPr>
        <w:t>Daftar kontrol monitoring yang terhubung ke dashboard Digital Hub.</w:t>
      </w:r>
    </w:p>
    <w:p>
      <w:pPr>
        <w:pStyle w:val="ListBullet"/>
        <w:spacing w:before="0" w:after="80"/>
        <w:numPr>
          <w:ilvl w:val="0"/>
          <w:numId w:val="23"/>
        </w:numPr>
      </w:pPr>
      <w:r>
        <w:rPr>
          <w:b/>
          <w:i w:val="0"/>
        </w:rPr>
        <w:t>Roadmap (Minggu 6‑8)</w:t>
      </w:r>
    </w:p>
    <w:p>
      <w:pPr>
        <w:pStyle w:val="ListBullet"/>
        <w:spacing w:before="0" w:after="80"/>
        <w:numPr>
          <w:ilvl w:val="0"/>
          <w:numId w:val="23"/>
        </w:numPr>
      </w:pPr>
      <w:r>
        <w:rPr>
          <w:b w:val="0"/>
          <w:i/>
        </w:rPr>
        <w:t>Aktivitas:</w:t>
      </w:r>
      <w:r>
        <w:rPr>
          <w:b w:val="0"/>
          <w:i w:val="0"/>
        </w:rPr>
        <w:t xml:space="preserve"> 1. Prioritisasi backlog berdasarkan nilai bisnis, risiko, dan kapasitas sumber daya. 2. Penetapan milestone</w:t>
      </w:r>
      <w:r>
        <w:rPr>
          <w:b w:val="0"/>
          <w:i/>
        </w:rPr>
        <w:t xml:space="preserve"> go‑live</w:t>
      </w:r>
      <w:r>
        <w:rPr>
          <w:b w:val="0"/>
          <w:i w:val="0"/>
        </w:rPr>
        <w:t xml:space="preserve"> untuk tiap modul (Block Mode, upgrade Digital Hub).</w:t>
      </w:r>
    </w:p>
    <w:p>
      <w:pPr>
        <w:pStyle w:val="ListBullet"/>
        <w:spacing w:before="0" w:after="80"/>
        <w:numPr>
          <w:ilvl w:val="0"/>
          <w:numId w:val="23"/>
        </w:numPr>
      </w:pPr>
      <w:r>
        <w:rPr>
          <w:b w:val="0"/>
          <w:i/>
        </w:rPr>
        <w:t>Output:</w:t>
      </w:r>
    </w:p>
    <w:p>
      <w:pPr>
        <w:pStyle w:val="ListBullet"/>
        <w:spacing w:before="0" w:after="80"/>
        <w:numPr>
          <w:ilvl w:val="0"/>
          <w:numId w:val="23"/>
        </w:numPr>
      </w:pPr>
      <w:r>
        <w:rPr>
          <w:b w:val="0"/>
          <w:i w:val="0"/>
        </w:rPr>
        <w:t>Gantt chart tersegmentasi (Vision → TOM → Execution) dengan horizon 5 bulan.</w:t>
      </w:r>
    </w:p>
    <w:p>
      <w:r>
        <w:br w:type="page"/>
      </w:r>
    </w:p>
    <w:p>
      <w:pPr>
        <w:pStyle w:val="Heading1"/>
        <w:jc w:val="center"/>
      </w:pPr>
      <w:r>
        <w:rPr>
          <w:color w:val="787878"/>
        </w:rPr>
        <w:t>BAB VI – SOLUTION DESIGN</w:t>
      </w:r>
    </w:p>
    <w:p>
      <w:r>
        <w:rPr>
          <w:b w:val="0"/>
          <w:i w:val="0"/>
        </w:rPr>
        <w:t>Solution design untuk Pertamina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gelombang uji beban 2: penguatan tata kelola delivery, percepatan keputusan lintas unit, dan penyusunan roadmap eksekusi yang lebih... secara nyata. Dengan pendekatan ini, desain solusi tetap terhubung ke KPI seperti KPI outcome bisnis Pertamina bergerak positif dalam 5 bulan. | Kualitas operasi (incident, SLA, lead time) membaik dalam 5 bulan. | Efektivitas eksekusi proyek (on-time, on-budget, on-scope) tercapai dalam 5 bulan., sekaligus menjaga nilai proposal tetap terasa konkret dan dapat dijalankan (Data Internal, 2026).</w:t>
      </w:r>
    </w:p>
    <w:p>
      <w:pPr>
        <w:pStyle w:val="Heading2"/>
      </w:pPr>
      <w:r>
        <w:rPr>
          <w:rFonts w:ascii="Arial" w:hAnsi="Arial"/>
          <w:b/>
          <w:color w:val="787878"/>
        </w:rPr>
        <w:t>6.1 Solusi/Output Metodologi yang Dibangun</w:t>
      </w:r>
    </w:p>
    <w:p>
      <w:r>
        <w:rPr>
          <w:b w:val="0"/>
          <w:i w:val="0"/>
        </w:rPr>
        <w:t>Solusi yang ditawarkan diarahkan untuk membantu Pertamina bergerak dari kebutuhan problem menuju kondisi target yang lebih terukur. Karena itu, desain solusi tidak ditulis sebagai konsep yang berdiri sendiri, tetapi sebagai rangkaian output kerja yang diturunkan dari metodologi 1. Visioning 2. Target Operating Model 3. Roadmap 4. Board Presentation. - Output utama dirancang agar keputusan sponsor, kontrol delivery, dan koordinasi stakeholder tetap bergerak dengan istilah kerja operational reliability, asset integrity, outage window. - Target state yang dibangun harus tetap selaras dengan manfaat yang dijanjikan, terutama arah transformasi yang lebih fokus, prioritas investasi yang lebih defensible, roadmap eksekusi yang lebih mudah disetujui. - Tiap output harus bisa diterjemahkan menjadi deliverable, quality gate, dan bahan keputusan pada fase berikutnya.</w:t>
      </w:r>
    </w:p>
    <w:p>
      <w:pPr>
        <w:pStyle w:val="Heading2"/>
      </w:pPr>
      <w:r>
        <w:rPr>
          <w:rFonts w:ascii="Arial" w:hAnsi="Arial"/>
          <w:b/>
          <w:color w:val="787878"/>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target operating model, roadmap, dan decision paper</w:t>
            </w:r>
          </w:p>
        </w:tc>
        <w:tc>
          <w:tcPr>
            <w:tcW w:type="dxa" w:w="3120"/>
          </w:tcPr>
          <w:p>
            <w:r>
              <w:rPr>
                <w:b w:val="0"/>
                <w:i w:val="0"/>
              </w:rPr>
              <w:t>mengarahkan sponsor pada keputusan strategi yang lebih defensible</w:t>
            </w:r>
          </w:p>
        </w:tc>
      </w:tr>
      <w:tr>
        <w:tc>
          <w:tcPr>
            <w:tcW w:type="dxa" w:w="3120"/>
          </w:tcPr>
          <w:p>
            <w:r>
              <w:rPr>
                <w:b w:val="0"/>
                <w:i w:val="0"/>
              </w:rPr>
              <w:t>Pendampingan</w:t>
            </w:r>
          </w:p>
        </w:tc>
        <w:tc>
          <w:tcPr>
            <w:tcW w:type="dxa" w:w="3120"/>
          </w:tcPr>
          <w:p>
            <w:r>
              <w:rPr>
                <w:b w:val="0"/>
                <w:i w:val="0"/>
              </w:rPr>
              <w:t>facilitation steering discussion dan penajaman opsi strategi</w:t>
            </w:r>
          </w:p>
        </w:tc>
        <w:tc>
          <w:tcPr>
            <w:tcW w:type="dxa" w:w="3120"/>
          </w:tcPr>
          <w:p>
            <w:r>
              <w:rPr>
                <w:b w:val="0"/>
                <w:i w:val="0"/>
              </w:rPr>
              <w:t>membantu sinkronisasi bisnis, teknologi, dan tata kelola</w:t>
            </w:r>
          </w:p>
        </w:tc>
      </w:tr>
      <w:tr>
        <w:tc>
          <w:tcPr>
            <w:tcW w:type="dxa" w:w="3120"/>
          </w:tcPr>
          <w:p>
            <w:r>
              <w:rPr>
                <w:b w:val="0"/>
                <w:i w:val="0"/>
              </w:rPr>
              <w:t>Kegiatan</w:t>
            </w:r>
          </w:p>
        </w:tc>
        <w:tc>
          <w:tcPr>
            <w:tcW w:type="dxa" w:w="3120"/>
          </w:tcPr>
          <w:p>
            <w:r>
              <w:rPr>
                <w:b w:val="0"/>
                <w:i w:val="0"/>
              </w:rPr>
              <w:t>visioning workshop dan review roadmap</w:t>
            </w:r>
          </w:p>
        </w:tc>
        <w:tc>
          <w:tcPr>
            <w:tcW w:type="dxa" w:w="3120"/>
          </w:tcPr>
          <w:p>
            <w:r>
              <w:rPr>
                <w:b w:val="0"/>
                <w:i w:val="0"/>
              </w:rPr>
              <w:t>membentuk urutan prioritas yang realistis</w:t>
            </w:r>
          </w:p>
        </w:tc>
      </w:tr>
    </w:tbl>
    <w:p>
      <w:r>
        <w:rPr>
          <w:b w:val="0"/>
          <w:i w:val="0"/>
        </w:rPr>
        <w:t>Dengan struktur keluaran seperti ini, Pertamina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24"/>
        </w:numPr>
      </w:pPr>
      <w:r>
        <w:rPr>
          <w:b w:val="0"/>
          <w:i w:val="0"/>
        </w:rPr>
        <w:t>Prioritas implementasi untuk Pertamina diarahkan agar tetap selaras dengan KPI outcome bisnis Pertamina bergerak positif dalam 5 bulan. | Kualitas operasi (incident, SLA, lead time) membaik dalam 5 bulan..</w:t>
      </w:r>
    </w:p>
    <w:p>
      <w:pPr>
        <w:pStyle w:val="ListNumber"/>
        <w:spacing w:before="0" w:after="80"/>
        <w:numPr>
          <w:ilvl w:val="0"/>
          <w:numId w:val="24"/>
        </w:numPr>
      </w:pPr>
      <w:r>
        <w:rPr>
          <w:b w:val="0"/>
          <w:i w:val="0"/>
        </w:rPr>
        <w:t>Keputusan delivery dan quality gate pada bab ini harus konsisten dengan istilah kerja operational reliability, asset integrity.</w:t>
      </w:r>
    </w:p>
    <w:p>
      <w:r>
        <w:br w:type="page"/>
      </w:r>
    </w:p>
    <w:p>
      <w:pPr>
        <w:pStyle w:val="Heading1"/>
        <w:jc w:val="center"/>
      </w:pPr>
      <w:r>
        <w:rPr>
          <w:color w:val="787878"/>
        </w:rPr>
        <w:t>BAB VII – RUANG LINGKUP PEKERJAAN</w:t>
      </w:r>
    </w:p>
    <w:p>
      <w:r>
        <w:rPr>
          <w:b w:val="0"/>
          <w:i w:val="0"/>
        </w:rPr>
        <w:t>Ruang lingkup pekerjaan untuk Pertamina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787878"/>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gelombang uji beban 2: penguatan tata kelola delivery, percepatan keputusan... dan ruang problem yang direspons sudah selaras</w:t>
            </w:r>
          </w:p>
        </w:tc>
        <w:tc>
          <w:tcPr>
            <w:tcW w:type="dxa" w:w="2340"/>
          </w:tcPr>
          <w:p>
            <w:r>
              <w:rPr>
                <w:b w:val="0"/>
                <w:i w:val="0"/>
              </w:rPr>
              <w:t>target operating model, roadmap, dan decision paper</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gelombang uji beban 2: prioritas kerja masih tersebar, koordinasi bisnis-teknologi belum konsisten... ke solusi, prioritas, dan kontrol delivery</w:t>
            </w:r>
          </w:p>
        </w:tc>
        <w:tc>
          <w:tcPr>
            <w:tcW w:type="dxa" w:w="2340"/>
          </w:tcPr>
          <w:p>
            <w:r>
              <w:rPr>
                <w:b w:val="0"/>
                <w:i w:val="0"/>
              </w:rPr>
              <w:t>facilitation steering discussion dan penajaman opsi strategi</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visioning workshop dan review roadmap</w:t>
            </w:r>
          </w:p>
        </w:tc>
        <w:tc>
          <w:tcPr>
            <w:tcW w:type="dxa" w:w="2340"/>
          </w:tcPr>
          <w:p>
            <w:r>
              <w:rPr>
                <w:b w:val="0"/>
                <w:i w:val="0"/>
              </w:rPr>
              <w:t>jadwal forum menyesuaikan kalender kerja dan kecepatan keputusan sponsor</w:t>
            </w:r>
          </w:p>
        </w:tc>
      </w:tr>
    </w:tbl>
    <w:p>
      <w:r>
        <w:rPr>
          <w:b w:val="0"/>
          <w:i w:val="0"/>
        </w:rPr>
        <w:t>Ruang lingkup di atas dirancang agar tetap fokus pada kebutuhan problem dan tidak melebar ke area yang belum menjadi prioritas keputusan Pertamina. Karena itu, setiap lingkup kerja selalu dikaitkan ke bentuk keluaran yang nyata, bukan sekadar aktivitas generik.</w:t>
      </w:r>
    </w:p>
    <w:p>
      <w:pPr>
        <w:pStyle w:val="Heading2"/>
      </w:pPr>
      <w:r>
        <w:rPr>
          <w:rFonts w:ascii="Arial" w:hAnsi="Arial"/>
          <w:b/>
          <w:color w:val="787878"/>
        </w:rPr>
        <w:t>7.2 Batasan Pekerjaan dan Asumsi</w:t>
      </w:r>
    </w:p>
    <w:p>
      <w:pPr>
        <w:pStyle w:val="ListNumber"/>
        <w:spacing w:before="0" w:after="80"/>
        <w:numPr>
          <w:ilvl w:val="0"/>
          <w:numId w:val="25"/>
        </w:numPr>
      </w:pPr>
      <w:r>
        <w:rPr>
          <w:b w:val="0"/>
          <w:i w:val="0"/>
        </w:rPr>
        <w:t>Prioritas implementasi untuk Pertamina diarahkan agar tetap selaras dengan KPI outcome bisnis Pertamina bergerak positif dalam 5 bulan. | Kualitas operasi (incident, SLA, lead time) membaik dalam 5 bulan..</w:t>
      </w:r>
    </w:p>
    <w:p>
      <w:pPr>
        <w:pStyle w:val="ListNumber"/>
        <w:spacing w:before="0" w:after="80"/>
        <w:numPr>
          <w:ilvl w:val="0"/>
          <w:numId w:val="25"/>
        </w:numPr>
      </w:pPr>
      <w:r>
        <w:rPr>
          <w:b w:val="0"/>
          <w:i w:val="0"/>
        </w:rPr>
        <w:t>Keputusan delivery dan quality gate pada bab ini harus konsisten dengan istilah kerja operational reliability, asset integrity. - Konteks Pertamina tetap menjadi acuan utama agar isi bab tidak bergeser menjadi generik. - Setiap butir pada bab ini harus bisa ditelusuri ke KPI, risiko, atau keputusan kerja yang nyata.</w:t>
      </w:r>
    </w:p>
    <w:p>
      <w:r>
        <w:br w:type="page"/>
      </w:r>
    </w:p>
    <w:p>
      <w:pPr>
        <w:pStyle w:val="Heading1"/>
        <w:jc w:val="center"/>
      </w:pPr>
      <w:r>
        <w:rPr>
          <w:color w:val="787878"/>
        </w:rPr>
        <w:t>BAB VIII – TIMELINE PEKERJAAN</w:t>
      </w:r>
    </w:p>
    <w:p>
      <w:r>
        <w:drawing>
          <wp:inline xmlns:a="http://schemas.openxmlformats.org/drawingml/2006/main" xmlns:pic="http://schemas.openxmlformats.org/drawingml/2006/picture">
            <wp:extent cx="5486400" cy="254216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542162"/>
                    </a:xfrm>
                    <a:prstGeom prst="rect"/>
                  </pic:spPr>
                </pic:pic>
              </a:graphicData>
            </a:graphic>
          </wp:inline>
        </w:drawing>
      </w:r>
    </w:p>
    <w:p>
      <w:r>
        <w:rPr>
          <w:b w:val="0"/>
          <w:i w:val="0"/>
        </w:rPr>
        <w:t>Untuk Pertamina, timeline pekerjaan disusun agar inisiatif Gelombang uji beban 2: penguatan tata kelola delivery, percepatan keputusan lintas unit, dan penyusunan roadmap eksekusi yang lebih... dapat bergerak stabil selama 5 Bulan.</w:t>
      </w:r>
    </w:p>
    <w:p>
      <w:pPr>
        <w:pStyle w:val="Heading2"/>
      </w:pPr>
      <w:r>
        <w:rPr>
          <w:rFonts w:ascii="Arial" w:hAnsi="Arial"/>
          <w:b/>
          <w:color w:val="787878"/>
        </w:rPr>
        <w:t>8.1 Aktivitas per Fase</w:t>
      </w:r>
    </w:p>
    <w:p>
      <w:pPr>
        <w:pStyle w:val="ListNumber"/>
        <w:spacing w:before="0" w:after="80"/>
        <w:numPr>
          <w:ilvl w:val="0"/>
          <w:numId w:val="26"/>
        </w:numPr>
      </w:pPr>
      <w:r>
        <w:rPr>
          <w:b/>
          <w:i w:val="0"/>
        </w:rPr>
        <w:t>Business Alignment</w:t>
      </w:r>
      <w:r>
        <w:rPr>
          <w:b w:val="0"/>
          <w:i w:val="0"/>
        </w:rPr>
        <w:t xml:space="preserve"> (Bulan 1): Sinkronkan sasaran bisnis, sponsor, dan outcome yang diharapkan. Output utama: alignment charter dan target state.</w:t>
      </w:r>
    </w:p>
    <w:p>
      <w:pPr>
        <w:pStyle w:val="ListNumber"/>
        <w:spacing w:before="0" w:after="80"/>
        <w:numPr>
          <w:ilvl w:val="0"/>
          <w:numId w:val="26"/>
        </w:numPr>
      </w:pPr>
      <w:r>
        <w:rPr>
          <w:b/>
          <w:i w:val="0"/>
        </w:rPr>
        <w:t>Target Design</w:t>
      </w:r>
      <w:r>
        <w:rPr>
          <w:b w:val="0"/>
          <w:i w:val="0"/>
        </w:rPr>
        <w:t xml:space="preserve"> (Bulan 2-3): Rancang operating model, prinsip arsitektur, dan opsi strategi. Output utama: target operating model.</w:t>
      </w:r>
    </w:p>
    <w:p>
      <w:pPr>
        <w:pStyle w:val="ListNumber"/>
        <w:spacing w:before="0" w:after="80"/>
        <w:numPr>
          <w:ilvl w:val="0"/>
          <w:numId w:val="26"/>
        </w:numPr>
      </w:pPr>
      <w:r>
        <w:rPr>
          <w:b/>
          <w:i w:val="0"/>
        </w:rPr>
        <w:t>Roadmap Prioritization</w:t>
      </w:r>
      <w:r>
        <w:rPr>
          <w:b w:val="0"/>
          <w:i w:val="0"/>
        </w:rPr>
        <w:t xml:space="preserve"> (Bulan 4): Urutkan inisiatif berdasarkan manfaat, risiko, dan kesiapan. Output utama: roadmap prioritas dan sequencing.</w:t>
      </w:r>
    </w:p>
    <w:p>
      <w:pPr>
        <w:pStyle w:val="ListNumber"/>
        <w:spacing w:before="0" w:after="80"/>
        <w:numPr>
          <w:ilvl w:val="0"/>
          <w:numId w:val="26"/>
        </w:numPr>
      </w:pPr>
      <w:r>
        <w:rPr>
          <w:b/>
          <w:i w:val="0"/>
        </w:rPr>
        <w:t>Executive Closure</w:t>
      </w:r>
      <w:r>
        <w:rPr>
          <w:b w:val="0"/>
          <w:i w:val="0"/>
        </w:rPr>
        <w:t xml:space="preserve"> (Bulan 5): Finalisasi keputusan eksekutif dan arahan mobilisasi. Output utama: board-ready recommendation.</w:t>
      </w:r>
    </w:p>
    <w:p>
      <w:pPr>
        <w:pStyle w:val="Heading2"/>
      </w:pPr>
      <w:r>
        <w:rPr>
          <w:rFonts w:ascii="Arial" w:hAnsi="Arial"/>
          <w:b/>
          <w:color w:val="787878"/>
        </w:rPr>
        <w:t>8.2 Waktu Pelaksanaan dan Deliverable Tiap Fase</w:t>
      </w:r>
    </w:p>
    <w:p>
      <w:r>
        <w:rPr>
          <w:b w:val="0"/>
          <w:i w:val="0"/>
        </w:rPr>
        <w:t>Pengaturan waktu tidak hanya membagi durasi, tetapi memastikan setiap deliverable langsung mendukung kebutuhan problem dan memberi bahan keputusan yang rapi pada forum pengarah proyek Pertamina.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Business Alignment</w:t>
            </w:r>
          </w:p>
        </w:tc>
        <w:tc>
          <w:tcPr>
            <w:tcW w:type="dxa" w:w="2340"/>
          </w:tcPr>
          <w:p>
            <w:r>
              <w:rPr>
                <w:b w:val="0"/>
                <w:i w:val="0"/>
              </w:rPr>
              <w:t>Bulan 1</w:t>
            </w:r>
          </w:p>
        </w:tc>
        <w:tc>
          <w:tcPr>
            <w:tcW w:type="dxa" w:w="2340"/>
          </w:tcPr>
          <w:p>
            <w:r>
              <w:rPr>
                <w:b w:val="0"/>
                <w:i w:val="0"/>
              </w:rPr>
              <w:t>alignment charter dan target state</w:t>
            </w:r>
          </w:p>
        </w:tc>
        <w:tc>
          <w:tcPr>
            <w:tcW w:type="dxa" w:w="2340"/>
          </w:tcPr>
          <w:p>
            <w:r>
              <w:rPr>
                <w:b w:val="0"/>
                <w:i w:val="0"/>
              </w:rPr>
              <w:t>Menjaga progres problem</w:t>
            </w:r>
          </w:p>
        </w:tc>
      </w:tr>
      <w:tr>
        <w:tc>
          <w:tcPr>
            <w:tcW w:type="dxa" w:w="2340"/>
          </w:tcPr>
          <w:p>
            <w:r>
              <w:rPr>
                <w:b w:val="0"/>
                <w:i w:val="0"/>
              </w:rPr>
              <w:t>Target Design</w:t>
            </w:r>
          </w:p>
        </w:tc>
        <w:tc>
          <w:tcPr>
            <w:tcW w:type="dxa" w:w="2340"/>
          </w:tcPr>
          <w:p>
            <w:r>
              <w:rPr>
                <w:b w:val="0"/>
                <w:i w:val="0"/>
              </w:rPr>
              <w:t>Bulan 2-3</w:t>
            </w:r>
          </w:p>
        </w:tc>
        <w:tc>
          <w:tcPr>
            <w:tcW w:type="dxa" w:w="2340"/>
          </w:tcPr>
          <w:p>
            <w:r>
              <w:rPr>
                <w:b w:val="0"/>
                <w:i w:val="0"/>
              </w:rPr>
              <w:t>target operating model</w:t>
            </w:r>
          </w:p>
        </w:tc>
        <w:tc>
          <w:tcPr>
            <w:tcW w:type="dxa" w:w="2340"/>
          </w:tcPr>
          <w:p>
            <w:r>
              <w:rPr>
                <w:b w:val="0"/>
                <w:i w:val="0"/>
              </w:rPr>
              <w:t>Menjaga progres problem</w:t>
            </w:r>
          </w:p>
        </w:tc>
      </w:tr>
      <w:tr>
        <w:tc>
          <w:tcPr>
            <w:tcW w:type="dxa" w:w="2340"/>
          </w:tcPr>
          <w:p>
            <w:r>
              <w:rPr>
                <w:b w:val="0"/>
                <w:i w:val="0"/>
              </w:rPr>
              <w:t>Roadmap Prioritization</w:t>
            </w:r>
          </w:p>
        </w:tc>
        <w:tc>
          <w:tcPr>
            <w:tcW w:type="dxa" w:w="2340"/>
          </w:tcPr>
          <w:p>
            <w:r>
              <w:rPr>
                <w:b w:val="0"/>
                <w:i w:val="0"/>
              </w:rPr>
              <w:t>Bulan 4</w:t>
            </w:r>
          </w:p>
        </w:tc>
        <w:tc>
          <w:tcPr>
            <w:tcW w:type="dxa" w:w="2340"/>
          </w:tcPr>
          <w:p>
            <w:r>
              <w:rPr>
                <w:b w:val="0"/>
                <w:i w:val="0"/>
              </w:rPr>
              <w:t>roadmap prioritas dan sequencing</w:t>
            </w:r>
          </w:p>
        </w:tc>
        <w:tc>
          <w:tcPr>
            <w:tcW w:type="dxa" w:w="2340"/>
          </w:tcPr>
          <w:p>
            <w:r>
              <w:rPr>
                <w:b w:val="0"/>
                <w:i w:val="0"/>
              </w:rPr>
              <w:t>Menjaga progres problem</w:t>
            </w:r>
          </w:p>
        </w:tc>
      </w:tr>
      <w:tr>
        <w:tc>
          <w:tcPr>
            <w:tcW w:type="dxa" w:w="2340"/>
          </w:tcPr>
          <w:p>
            <w:r>
              <w:rPr>
                <w:b w:val="0"/>
                <w:i w:val="0"/>
              </w:rPr>
              <w:t>Executive Closure</w:t>
            </w:r>
          </w:p>
        </w:tc>
        <w:tc>
          <w:tcPr>
            <w:tcW w:type="dxa" w:w="2340"/>
          </w:tcPr>
          <w:p>
            <w:r>
              <w:rPr>
                <w:b w:val="0"/>
                <w:i w:val="0"/>
              </w:rPr>
              <w:t>Bulan 5</w:t>
            </w:r>
          </w:p>
        </w:tc>
        <w:tc>
          <w:tcPr>
            <w:tcW w:type="dxa" w:w="2340"/>
          </w:tcPr>
          <w:p>
            <w:r>
              <w:rPr>
                <w:b w:val="0"/>
                <w:i w:val="0"/>
              </w:rPr>
              <w:t>board-ready recommendation</w:t>
            </w:r>
          </w:p>
        </w:tc>
        <w:tc>
          <w:tcPr>
            <w:tcW w:type="dxa" w:w="2340"/>
          </w:tcPr>
          <w:p>
            <w:r>
              <w:rPr>
                <w:b w:val="0"/>
                <w:i w:val="0"/>
              </w:rPr>
              <w:t>Menjaga progres problem</w:t>
            </w:r>
          </w:p>
        </w:tc>
      </w:tr>
    </w:tbl>
    <w:p>
      <w:r>
        <w:rPr>
          <w:b w:val="0"/>
          <w:i w:val="0"/>
        </w:rPr>
        <w:t>Penjadwalan tidak hanya membagi durasi 5 Bulan ke dalam fase, tetapi juga memastikan dependensi, keputusan sponsor, dan kesiapan stakeholder bergerak dalam ritme yang sama. Untuk Pertamina, pengaturan ini penting agar progres tidak sekadar terlihat aktif, melainkan benar-benar menjaga jalur pencapaian KPI seperti KPI outcome bisnis Pertamina bergerak positif dalam 5 bulan. - Konteks Pertamina tetap menjadi acuan utama agar isi bab tidak bergeser menjadi generik. - Setiap butir pada bab ini harus bisa ditelusuri ke KPI, risiko, atau keputusan kerja yang nyata.</w:t>
      </w:r>
    </w:p>
    <w:p>
      <w:r>
        <w:br w:type="page"/>
      </w:r>
    </w:p>
    <w:p>
      <w:pPr>
        <w:pStyle w:val="Heading1"/>
        <w:jc w:val="center"/>
      </w:pPr>
      <w:r>
        <w:rPr>
          <w:color w:val="787878"/>
        </w:rPr>
        <w:t>BAB IX – TATA KELOLA PROYEK</w:t>
      </w:r>
    </w:p>
    <w:p>
      <w:r>
        <w:rPr>
          <w:b w:val="0"/>
          <w:i w:val="0"/>
        </w:rPr>
        <w:t>Tata kelola proyek untuk Pertamina dirancang agar keputusan strategis, kontrol eksekusi, dan penanganan risiko berjalan dalam satu sistem kerja yang konsisten. Fokusnya adalah menjaga gelombang uji beban 2: penguatan tata kelola delivery, percepatan keputusan lintas unit, dan penyusunan roadmap eksekusi yang lebih...</w:t>
      </w:r>
    </w:p>
    <w:p>
      <w:pPr>
        <w:pStyle w:val="Heading2"/>
      </w:pPr>
      <w:r>
        <w:rPr>
          <w:rFonts w:ascii="Arial" w:hAnsi="Arial"/>
          <w:b/>
          <w:color w:val="787878"/>
        </w:rPr>
        <w:t>9.1 Mekanisme Pengambilan Keputusan</w:t>
      </w:r>
    </w:p>
    <w:p>
      <w:pPr>
        <w:pStyle w:val="ListNumber"/>
        <w:spacing w:before="0" w:after="80"/>
        <w:numPr>
          <w:ilvl w:val="0"/>
          <w:numId w:val="27"/>
        </w:numPr>
      </w:pPr>
      <w:r>
        <w:rPr>
          <w:b/>
          <w:i w:val="0"/>
        </w:rPr>
        <w:t>Steering Committee</w:t>
      </w:r>
      <w:r>
        <w:rPr>
          <w:b w:val="0"/>
          <w:i w:val="0"/>
        </w:rPr>
        <w:t xml:space="preserve"> menetapkan arah, prioritas, dan keputusan yang berdampak pada scope, biaya, atau timeline program Pertamina.</w:t>
      </w:r>
    </w:p>
    <w:p>
      <w:pPr>
        <w:pStyle w:val="ListNumber"/>
        <w:spacing w:before="0" w:after="80"/>
        <w:numPr>
          <w:ilvl w:val="0"/>
          <w:numId w:val="27"/>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27"/>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27"/>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787878"/>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Pertamina, pengendalian semacam ini penting karena program gelombang uji beban 2: penguatan tata kelola delivery, percepatan keputusan lintas unit, dan penyusunan roadmap eksekusi yang lebih... berpotensi melibatkan banyak dependency dan keputusan cepat.</w:t>
      </w:r>
    </w:p>
    <w:p>
      <w:r>
        <w:rPr>
          <w:b w:val="0"/>
          <w:i w:val="0"/>
        </w:rPr>
        <w:t>Untuk Pertamina, isi bab ini harus dibaca sebagai dasar keputusan kerja yang dapat ditindaklanjuti, bukan sekadar penjelasan konseptual. Karena itu, isi bab tetap diarahkan untuk menjaga relevansi terhadap KPI seperti KPI outcome bisnis Pertamina bergerak positif dalam 5 bulan.</w:t>
      </w:r>
    </w:p>
    <w:p>
      <w:r>
        <w:rPr>
          <w:b w:val="0"/>
          <w:i w:val="0"/>
        </w:rPr>
        <w:t>Untuk Pertamina, isi bab ini harus dibaca sebagai dasar keputusan kerja yang dapat ditindaklanjuti, bukan sekadar penjelasan konseptual. Karena itu, isi bab tetap diarahkan untuk menjaga relevansi terhadap KPI seperti KPI outcome bisnis utama Pertamina bergerak positif dalam 5 bulan. - Konteks Pertamina tetap menjadi acuan utama agar isi bab tidak bergeser menjadi generik. - Setiap butir pada bab ini harus bisa ditelusuri ke KPI, risiko, atau keputusan kerja yang nyata.</w:t>
      </w:r>
    </w:p>
    <w:p>
      <w:r>
        <w:br w:type="page"/>
      </w:r>
    </w:p>
    <w:p>
      <w:pPr>
        <w:pStyle w:val="Heading1"/>
        <w:jc w:val="center"/>
      </w:pPr>
      <w:r>
        <w:rPr>
          <w:color w:val="787878"/>
        </w:rPr>
        <w:t>BAB X – PROFIL PERUSAHAAN</w:t>
      </w:r>
    </w:p>
    <w:p>
      <w:r>
        <w:rPr>
          <w:b w:val="0"/>
          <w:i w:val="0"/>
        </w:rPr>
        <w:t>Profil perusahaan pada proposal ini tidak dimaksudkan sebagai brosur umum, melainkan sebagai bukti bahwa Inixindo Jogja memiliki modal kerja yang relevan untuk membantu Pertamina. Yang ditekankan bukan hanya deskripsi perusahaan, tetapi keterkaitan antara kapabilitas, pengalaman serupa, dan bentuk dukungan yang dibutuhkan oleh inisiatif gelombang uji beban 2: penguatan tata kelola delivery, percepatan keputusan lintas unit, dan penyusunan roadmap eksekusi yang lebih...</w:t>
      </w:r>
    </w:p>
    <w:p>
      <w:pPr>
        <w:pStyle w:val="Heading2"/>
      </w:pPr>
      <w:r>
        <w:rPr>
          <w:rFonts w:ascii="Arial" w:hAnsi="Arial"/>
          <w:b/>
          <w:color w:val="787878"/>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operational reliability, asset integrity, outage window.</w:t>
      </w:r>
    </w:p>
    <w:p>
      <w:pPr>
        <w:pStyle w:val="Heading2"/>
      </w:pPr>
      <w:r>
        <w:rPr>
          <w:rFonts w:ascii="Arial" w:hAnsi="Arial"/>
          <w:b/>
          <w:color w:val="787878"/>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strategic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Visioning 2. Target Operating Model 3. Roadmap 4. Board Presentation, 1x Project Director, 1x Enterprise Architect</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Pertamina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28"/>
        </w:numPr>
      </w:pPr>
      <w:r>
        <w:rPr>
          <w:b w:val="0"/>
          <w:i w:val="0"/>
        </w:rPr>
        <w:t>Prioritas implementasi untuk Pertamina diarahkan agar tetap selaras dengan KPI outcome bisnis Pertamina bergerak positif dalam 5 bulan. | Kualitas operasi (incident, SLA, lead time) membaik dalam 5 bulan..</w:t>
      </w:r>
    </w:p>
    <w:p>
      <w:pPr>
        <w:pStyle w:val="ListNumber"/>
        <w:spacing w:before="0" w:after="80"/>
        <w:numPr>
          <w:ilvl w:val="0"/>
          <w:numId w:val="28"/>
        </w:numPr>
      </w:pPr>
      <w:r>
        <w:rPr>
          <w:b w:val="0"/>
          <w:i w:val="0"/>
        </w:rPr>
        <w:t>Keputusan delivery dan quality gate pada bab ini harus konsisten dengan istilah kerja operational reliability, asset integrity. - Konteks Pertamina tetap menjadi acuan utama agar isi bab tidak bergeser menjadi generik. - Setiap butir pada bab ini harus bisa ditelusuri ke KPI, risiko, atau keputusan kerja yang nyata.</w:t>
      </w:r>
    </w:p>
    <w:p>
      <w:r>
        <w:br w:type="page"/>
      </w:r>
    </w:p>
    <w:p>
      <w:pPr>
        <w:pStyle w:val="Heading1"/>
        <w:jc w:val="center"/>
      </w:pPr>
      <w:r>
        <w:rPr>
          <w:color w:val="787878"/>
        </w:rPr>
        <w:t>BAB XI – STRUKTUR &amp; TENAGA AHLI PROYEK</w:t>
      </w:r>
    </w:p>
    <w:p>
      <w:r>
        <w:rPr>
          <w:b w:val="0"/>
          <w:i w:val="0"/>
        </w:rPr>
        <w:t>Struktur tim proyek untuk Pertamina dibentuk agar pengambilan keputusan, pengawasan mutu, dan eksekusi lapangan bergerak seirama. Komposisi tim tidak diperlakukan sebagai daftar jabatan semata, tetapi sebagai mekanisme untuk menjaga kualitas output terhadap target KPI outcome bisnis Pertamina bergerak positif dalam 5 bulan.</w:t>
      </w:r>
    </w:p>
    <w:p>
      <w:pPr>
        <w:pStyle w:val="Heading2"/>
      </w:pPr>
      <w:r>
        <w:rPr>
          <w:rFonts w:ascii="Arial" w:hAnsi="Arial"/>
          <w:b/>
          <w:color w:val="787878"/>
        </w:rPr>
        <w:t>11.1 Struktur Tim Proyek</w:t>
      </w:r>
    </w:p>
    <w:p>
      <w:pPr>
        <w:pStyle w:val="ListNumber"/>
        <w:spacing w:before="0" w:after="80"/>
        <w:numPr>
          <w:ilvl w:val="0"/>
          <w:numId w:val="29"/>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29"/>
        </w:numPr>
      </w:pPr>
      <w:r>
        <w:rPr>
          <w:b/>
          <w:i w:val="0"/>
        </w:rPr>
        <w:t>Project Manager / PMO Lead</w:t>
      </w:r>
      <w:r>
        <w:rPr>
          <w:b w:val="0"/>
          <w:i w:val="0"/>
        </w:rPr>
        <w:t xml:space="preserve"> mengendalikan ritme kerja, milestone, dan quality gate.</w:t>
      </w:r>
    </w:p>
    <w:p>
      <w:pPr>
        <w:pStyle w:val="ListNumber"/>
        <w:spacing w:before="0" w:after="80"/>
        <w:numPr>
          <w:ilvl w:val="0"/>
          <w:numId w:val="29"/>
        </w:numPr>
      </w:pPr>
      <w:r>
        <w:rPr>
          <w:b/>
          <w:i w:val="0"/>
        </w:rPr>
        <w:t>Lead Fungsional / Solusi</w:t>
      </w:r>
      <w:r>
        <w:rPr>
          <w:b w:val="0"/>
          <w:i w:val="0"/>
        </w:rPr>
        <w:t xml:space="preserve"> menjaga kualitas desain solusi dan relevansi output kerja.</w:t>
      </w:r>
    </w:p>
    <w:p>
      <w:pPr>
        <w:pStyle w:val="ListNumber"/>
        <w:spacing w:before="0" w:after="80"/>
        <w:numPr>
          <w:ilvl w:val="0"/>
          <w:numId w:val="29"/>
        </w:numPr>
      </w:pPr>
      <w:r>
        <w:rPr>
          <w:b/>
          <w:i w:val="0"/>
        </w:rPr>
        <w:t>Reviewer Governance / Quality</w:t>
      </w:r>
      <w:r>
        <w:rPr>
          <w:b w:val="0"/>
          <w:i w:val="0"/>
        </w:rPr>
        <w:t xml:space="preserve"> memastikan disiplin review, sign-off, dan kontrol risiko.</w:t>
      </w:r>
    </w:p>
    <w:p>
      <w:pPr>
        <w:pStyle w:val="Heading2"/>
      </w:pPr>
      <w:r>
        <w:rPr>
          <w:rFonts w:ascii="Arial" w:hAnsi="Arial"/>
          <w:b/>
          <w:color w:val="787878"/>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strategic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TOGAF, ITIL,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Project Director, 1x Enterprise Architect</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Pertamina memperoleh gambaran yang lebih konkret mengenai siapa yang menjaga keputusan, siapa yang mengawal delivery, dan siapa yang mengamankan mutu hasil kerja. Pendekatan ini membuat bab tenaga ahli lebih mudah diaudit dan lebih meyakinkan bagi sponsor proyek. - Konteks Pertamina tetap menjadi acuan utama agar isi bab tidak bergeser menjadi generik. - Setiap butir pada bab ini harus bisa ditelusuri ke KPI, risiko, atau keputusan kerja yang nyata. - Istilah kerja yang tetap dijaga pada bab ini mencakup operational reliability, asset integrity, outage window.</w:t>
      </w:r>
    </w:p>
    <w:p>
      <w:r>
        <w:br w:type="page"/>
      </w:r>
    </w:p>
    <w:p>
      <w:pPr>
        <w:pStyle w:val="Heading1"/>
        <w:jc w:val="center"/>
      </w:pPr>
      <w:r>
        <w:rPr>
          <w:color w:val="787878"/>
        </w:rPr>
        <w:t>BAB XII – MODEL PEMBIAYAAN</w:t>
      </w:r>
    </w:p>
    <w:p>
      <w:r>
        <w:rPr>
          <w:b w:val="0"/>
          <w:i w:val="0"/>
        </w:rPr>
        <w:t>Model pembiayaan untuk Pertamina disusun agar komitmen biaya, mekanisme pembayaran, dan batas ruang lingkup tetap jelas sejak awal. Tujuannya adalah menjaga proyek gelombang uji beban 2: penguatan tata kelola delivery, percepatan keputusan lintas unit, dan penyusunan roadmap eksekusi yang lebih...</w:t>
      </w:r>
    </w:p>
    <w:p>
      <w:pPr>
        <w:pStyle w:val="Heading2"/>
      </w:pPr>
      <w:r>
        <w:rPr>
          <w:rFonts w:ascii="Arial" w:hAnsi="Arial"/>
          <w:b/>
          <w:color w:val="787878"/>
        </w:rPr>
        <w:t>12.1 Biaya dan Tahapan Pembayaran</w:t>
      </w:r>
    </w:p>
    <w:p>
      <w:r>
        <w:rPr>
          <w:b w:val="0"/>
          <w:i w:val="0"/>
        </w:rPr>
        <w:t>Estimasi investasi awal untuk engagement ini adalah</w:t>
      </w:r>
      <w:r>
        <w:rPr>
          <w:b/>
          <w:i w:val="0"/>
        </w:rPr>
        <w:t xml:space="preserve"> Rp 500.000.000</w:t>
      </w:r>
      <w:r>
        <w:rPr>
          <w:b w:val="0"/>
          <w:i w:val="0"/>
        </w:rPr>
        <w:t>, dengan tipe layanan</w:t>
      </w:r>
      <w:r>
        <w:rPr>
          <w:b/>
          <w:i w:val="0"/>
        </w:rPr>
        <w:t xml:space="preserve"> Konsultan</w:t>
      </w:r>
      <w:r>
        <w:rPr>
          <w:b w:val="0"/>
          <w:i w:val="0"/>
        </w:rPr>
        <w:t xml:space="preserve"> pada model proyek</w:t>
      </w:r>
      <w:r>
        <w:rPr>
          <w:b/>
          <w:i w:val="0"/>
        </w:rPr>
        <w:t xml:space="preserve"> Strategic</w:t>
      </w:r>
      <w:r>
        <w:rPr>
          <w:b w:val="0"/>
          <w:i w:val="0"/>
        </w:rPr>
        <w:t xml:space="preserve"> selama</w:t>
      </w:r>
      <w:r>
        <w:rPr>
          <w:b/>
          <w:i w:val="0"/>
        </w:rPr>
        <w:t xml:space="preserve"> 5 Bulan</w:t>
      </w:r>
      <w:r>
        <w:rPr>
          <w:b w:val="0"/>
          <w:i w:val="0"/>
        </w:rPr>
        <w:t>. Baseline komersial internal yang menjadi acuan adalah Retainer or Fixed-fee based on milestones.</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500.000.000</w:t>
            </w:r>
          </w:p>
        </w:tc>
      </w:tr>
      <w:tr>
        <w:tc>
          <w:tcPr>
            <w:tcW w:type="dxa" w:w="4680"/>
          </w:tcPr>
          <w:p>
            <w:r>
              <w:rPr>
                <w:b w:val="0"/>
                <w:i w:val="0"/>
              </w:rPr>
              <w:t>Model engagement</w:t>
            </w:r>
          </w:p>
        </w:tc>
        <w:tc>
          <w:tcPr>
            <w:tcW w:type="dxa" w:w="4680"/>
          </w:tcPr>
          <w:p>
            <w:r>
              <w:rPr>
                <w:b w:val="0"/>
                <w:i w:val="0"/>
              </w:rPr>
              <w:t>Konsultan - Strategic</w:t>
            </w:r>
          </w:p>
        </w:tc>
      </w:tr>
      <w:tr>
        <w:tc>
          <w:tcPr>
            <w:tcW w:type="dxa" w:w="4680"/>
          </w:tcPr>
          <w:p>
            <w:r>
              <w:rPr>
                <w:b w:val="0"/>
                <w:i w:val="0"/>
              </w:rPr>
              <w:t>Durasi acuan</w:t>
            </w:r>
          </w:p>
        </w:tc>
        <w:tc>
          <w:tcPr>
            <w:tcW w:type="dxa" w:w="4680"/>
          </w:tcPr>
          <w:p>
            <w:r>
              <w:rPr>
                <w:b w:val="0"/>
                <w:i w:val="0"/>
              </w:rPr>
              <w:t>5 Bulan</w:t>
            </w:r>
          </w:p>
        </w:tc>
      </w:tr>
      <w:tr>
        <w:tc>
          <w:tcPr>
            <w:tcW w:type="dxa" w:w="4680"/>
          </w:tcPr>
          <w:p>
            <w:r>
              <w:rPr>
                <w:b w:val="0"/>
                <w:i w:val="0"/>
              </w:rPr>
              <w:t>Basis commercial</w:t>
            </w:r>
          </w:p>
        </w:tc>
        <w:tc>
          <w:tcPr>
            <w:tcW w:type="dxa" w:w="4680"/>
          </w:tcPr>
          <w:p>
            <w:r>
              <w:rPr>
                <w:b w:val="0"/>
                <w:i w:val="0"/>
              </w:rPr>
              <w:t>Retainer or Fixed-fee based on milestones.</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30"/>
        </w:numPr>
      </w:pPr>
      <w:r>
        <w:rPr>
          <w:b/>
          <w:i w:val="0"/>
        </w:rPr>
        <w:t>Alignment &amp; target design</w:t>
      </w:r>
      <w:r>
        <w:rPr>
          <w:b w:val="0"/>
          <w:i w:val="0"/>
        </w:rPr>
        <w:t xml:space="preserve"> sebesar 30% dari estimasi investasi, ditagihkan setelah milestone terkait diterima.</w:t>
      </w:r>
    </w:p>
    <w:p>
      <w:pPr>
        <w:pStyle w:val="ListNumber"/>
        <w:spacing w:before="0" w:after="80"/>
        <w:numPr>
          <w:ilvl w:val="0"/>
          <w:numId w:val="30"/>
        </w:numPr>
      </w:pPr>
      <w:r>
        <w:rPr>
          <w:b/>
          <w:i w:val="0"/>
        </w:rPr>
        <w:t>Roadmap &amp; executive review</w:t>
      </w:r>
      <w:r>
        <w:rPr>
          <w:b w:val="0"/>
          <w:i w:val="0"/>
        </w:rPr>
        <w:t xml:space="preserve"> sebesar 40% dari estimasi investasi, ditagihkan setelah milestone terkait diterima.</w:t>
      </w:r>
    </w:p>
    <w:p>
      <w:pPr>
        <w:pStyle w:val="ListNumber"/>
        <w:spacing w:before="0" w:after="80"/>
        <w:numPr>
          <w:ilvl w:val="0"/>
          <w:numId w:val="30"/>
        </w:numPr>
      </w:pPr>
      <w:r>
        <w:rPr>
          <w:b/>
          <w:i w:val="0"/>
        </w:rPr>
        <w:t>Final recommendation &amp; handover</w:t>
      </w:r>
      <w:r>
        <w:rPr>
          <w:b w:val="0"/>
          <w:i w:val="0"/>
        </w:rPr>
        <w:t xml:space="preserve"> sebesar 30% dari estimasi investasi, ditagihkan setelah milestone terkait diterima.</w:t>
      </w:r>
    </w:p>
    <w:p>
      <w:pPr>
        <w:pStyle w:val="Heading2"/>
      </w:pPr>
      <w:r>
        <w:rPr>
          <w:rFonts w:ascii="Arial" w:hAnsi="Arial"/>
          <w:b/>
          <w:color w:val="787878"/>
        </w:rPr>
        <w:t>12.2 Model Pekerjaan dan Batasan Pekerjaan</w:t>
      </w:r>
    </w:p>
    <w:p>
      <w:r>
        <w:rPr>
          <w:b w:val="0"/>
          <w:i w:val="0"/>
        </w:rPr>
        <w:t>Model kerja dirancang agar ruang lingkup delivery tetap fokus pada kebutuhan problem dan KPI seperti KPI outcome bisnis Pertamina bergerak positif dalam 5 bulan. | Kualitas operasi (incident, SLA, lead time) membaik dalam 5 bulan. Untuk Pertamina,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w:t>
      </w:r>
    </w:p>
    <w:p>
      <w:r>
        <w:rPr>
          <w:b w:val="0"/>
          <w:i w:val="0"/>
        </w:rPr>
        <w:t>Bab pembiayaan tidak boleh berhenti sebagai angka dan termin pembayaran saja. Untuk Pertamina, bagian ini perlu menunjukkan bahwa struktur biaya, tahapan pembayaran, dan batas pekerjaan disusun agar manfaat bisnis seperti KPI outcome bisnis Pertamina bergerak positif dalam 5 bulan. - Konteks Pertamina tetap menjadi acuan utama agar isi bab tidak bergeser menjadi generik. - Setiap butir pada bab ini harus bisa ditelusuri ke KPI, risiko, atau keputusan kerja yang nyata.</w:t>
      </w:r>
    </w:p>
    <w:p>
      <w:r>
        <w:br w:type="page"/>
      </w:r>
    </w:p>
    <w:p>
      <w:pPr>
        <w:pStyle w:val="Heading1"/>
        <w:jc w:val="center"/>
      </w:pPr>
      <w:r>
        <w:rPr>
          <w:color w:val="787878"/>
        </w:rPr>
        <w:t>PENUTUP &amp; APRESIASI KEMITRAAN</w:t>
      </w:r>
    </w:p>
    <w:p>
      <w:r>
        <w:rPr>
          <w:b w:val="0"/>
          <w:i w:val="0"/>
        </w:rPr>
        <w:t>Terima kasih atas kesempatan yang diberikan kepada Inixindo Jogja untuk menyusun proposal bagi Pertamina. Kami memandang inisiatif gelombang uji beban 2: penguatan tata kelola delivery, percepatan keputusan lintas unit, dan penyusunan roadmap eksekusi yang lebih...</w:t>
      </w:r>
    </w:p>
    <w:p>
      <w:pPr>
        <w:pStyle w:val="Heading2"/>
      </w:pPr>
      <w:r>
        <w:rPr>
          <w:rFonts w:ascii="Arial" w:hAnsi="Arial"/>
          <w:b/>
          <w:color w:val="787878"/>
        </w:rPr>
        <w:t>Apresiasi dan Komitmen Kemitraan</w:t>
      </w:r>
    </w:p>
    <w:p>
      <w:pPr>
        <w:pStyle w:val="ListNumber"/>
        <w:spacing w:before="0" w:after="80"/>
        <w:numPr>
          <w:ilvl w:val="0"/>
          <w:numId w:val="31"/>
        </w:numPr>
      </w:pPr>
      <w:r>
        <w:rPr>
          <w:b w:val="0"/>
          <w:i w:val="0"/>
        </w:rPr>
        <w:t>Kami mengapresiasi keterbukaan Pertamina dalam mengangkat konteks, tantangan, dan target bisnis yang menjadi dasar proposal ini.</w:t>
      </w:r>
    </w:p>
    <w:p>
      <w:pPr>
        <w:pStyle w:val="ListNumber"/>
        <w:spacing w:before="0" w:after="80"/>
        <w:numPr>
          <w:ilvl w:val="0"/>
          <w:numId w:val="31"/>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31"/>
        </w:numPr>
      </w:pPr>
      <w:r>
        <w:rPr>
          <w:b w:val="0"/>
          <w:i w:val="0"/>
        </w:rPr>
        <w:t>Fokus awal kemitraan diarahkan pada prioritas seperti KPI outcome bisnis Pertamina bergerak positif dalam 5 bulan. | Kualitas operasi (incident, SLA, lead time) membaik dalam 5 bulan. | Efektivitas eksekusi proyek (on-time, on-budget, on-scope) tercapai dalam 5 bulan., dengan tata kelola dan ritme eksekusi yang stabil sejak kickoff.</w:t>
      </w:r>
    </w:p>
    <w:p>
      <w:pPr>
        <w:pStyle w:val="Heading2"/>
      </w:pPr>
      <w:r>
        <w:rPr>
          <w:rFonts w:ascii="Arial" w:hAnsi="Arial"/>
          <w:b/>
          <w:color w:val="787878"/>
        </w:rPr>
        <w:t>Informasi Kontak dan Langkah Lanjutan</w:t>
      </w:r>
    </w:p>
    <w:p>
      <w:r>
        <w:rPr>
          <w:b w:val="0"/>
          <w:i w:val="0"/>
        </w:rPr>
        <w:t>Untuk melanjutkan pembahasan, Inixindo Jogja siap menindaklanjuti review proposal, penajaman ruang lingkup, dan penyesuaian komersial yang diperlukan. - Konteks Pertamina tetap menjadi acuan utama agar isi bab tidak bergeser menjadi generik. - Setiap butir pada bab ini harus bisa ditelusuri ke KPI, risiko, atau keputusan kerja yang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8"/>
  </w:num>
  <w:num w:numId="12">
    <w:abstractNumId w:val="8"/>
  </w:num>
  <w:num w:numId="13">
    <w:abstractNumId w:val="8"/>
  </w:num>
  <w:num w:numId="14">
    <w:abstractNumId w:val="7"/>
  </w:num>
  <w:num w:numId="15">
    <w:abstractNumId w:val="7"/>
  </w:num>
  <w:num w:numId="16">
    <w:abstractNumId w:val="7"/>
  </w:num>
  <w:num w:numId="17">
    <w:abstractNumId w:val="7"/>
  </w:num>
  <w:num w:numId="18">
    <w:abstractNumId w:val="7"/>
  </w:num>
  <w:num w:numId="19">
    <w:abstractNumId w:val="8"/>
  </w:num>
  <w:num w:numId="20">
    <w:abstractNumId w:val="8"/>
  </w:num>
  <w:num w:numId="21">
    <w:abstractNumId w:val="7"/>
  </w:num>
  <w:num w:numId="22">
    <w:abstractNumId w:val="8"/>
  </w:num>
  <w:num w:numId="23">
    <w:abstractNumId w:val="8"/>
  </w:num>
  <w:num w:numId="24">
    <w:abstractNumId w:val="7"/>
  </w:num>
  <w:num w:numId="25">
    <w:abstractNumId w:val="7"/>
  </w:num>
  <w:num w:numId="26">
    <w:abstractNumId w:val="7"/>
  </w:num>
  <w:num w:numId="27">
    <w:abstractNumId w:val="7"/>
  </w:num>
  <w:num w:numId="28">
    <w:abstractNumId w:val="7"/>
  </w:num>
  <w:num w:numId="29">
    <w:abstractNumId w:val="7"/>
  </w:num>
  <w:num w:numId="30">
    <w:abstractNumId w:val="7"/>
  </w:num>
  <w:num w:numId="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