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92171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921715"/>
                    </a:xfrm>
                    <a:prstGeom prst="rect"/>
                  </pic:spPr>
                </pic:pic>
              </a:graphicData>
            </a:graphic>
          </wp:inline>
        </w:drawing>
      </w:r>
    </w:p>
    <w:p>
      <w:pPr>
        <w:jc w:val="center"/>
      </w:pPr>
      <w:r>
        <w:rPr>
          <w:b/>
          <w:color w:val="5E6146"/>
          <w:sz w:val="60"/>
        </w:rPr>
        <w:t>ARSITEKTUR PROPOSAL</w:t>
      </w:r>
    </w:p>
    <w:p>
      <w:pPr>
        <w:jc w:val="center"/>
      </w:pPr>
      <w:r>
        <w:rPr>
          <w:sz w:val="28"/>
        </w:rPr>
        <w:t>Konsultan – Diagnostic</w:t>
      </w:r>
    </w:p>
    <w:p/>
    <w:p>
      <w:pPr>
        <w:jc w:val="center"/>
      </w:pPr>
      <w:r>
        <w:rPr>
          <w:b/>
          <w:sz w:val="32"/>
        </w:rPr>
        <w:t>Untuk: Telkomsel</w:t>
      </w:r>
    </w:p>
    <w:p>
      <w:pPr>
        <w:jc w:val="center"/>
      </w:pPr>
      <w:r>
        <w:t>Inisiatif: Gelombang uji beban 4: penguatan tata kelola delivery, percepatan keputusan lintas unit, dan penyusunan roadmap eksekusi yang lebih terukur untuk Telkomsel.</w:t>
      </w:r>
    </w:p>
    <w:p>
      <w:pPr>
        <w:jc w:val="center"/>
      </w:pPr>
      <w:r>
        <w:t>Durasi: 7 Bulan | Estimasi Investasi: Rp 500.000.000 | Tanggal: 30 March 2026</w:t>
      </w:r>
    </w:p>
    <w:p>
      <w:pPr>
        <w:jc w:val="center"/>
      </w:pPr>
      <w:r>
        <w:t>Disusun oleh Inixindo Jogja</w:t>
      </w:r>
    </w:p>
    <w:p>
      <w:r>
        <w:br w:type="page"/>
      </w:r>
    </w:p>
    <w:p>
      <w:pPr>
        <w:pStyle w:val="Heading1"/>
        <w:jc w:val="center"/>
      </w:pPr>
      <w:r>
        <w:rPr>
          <w:color w:val="5E6146"/>
        </w:rPr>
        <w:t>BAB I – KONTEKS KLIEN</w:t>
      </w:r>
    </w:p>
    <w:p>
      <w:pPr>
        <w:pStyle w:val="Heading2"/>
      </w:pPr>
      <w:r>
        <w:rPr>
          <w:rFonts w:ascii="Arial" w:hAnsi="Arial"/>
          <w:b/>
          <w:color w:val="5E6146"/>
        </w:rPr>
        <w:t>1.1 Latar Belakang Organisasi Klien</w:t>
      </w:r>
    </w:p>
    <w:p>
      <w:r>
        <w:rPr>
          <w:b w:val="0"/>
          <w:i w:val="0"/>
        </w:rPr>
        <w:t>Telkomsel, sebagai operator seluler terbesar di Indonesia, mengelola lebih dari 70 % pangsa pasar subscriber dan menyediakan jaringan 4G/5G yang mendukung ekosistem digital nasional (telkomsel.com, 2026). Pada 2025‑2026, perusahaan berhasil meraih lima penghargaan Ookla Speedtest Awards, termasuk</w:t>
      </w:r>
      <w:r>
        <w:rPr>
          <w:b w:val="0"/>
          <w:i/>
        </w:rPr>
        <w:t xml:space="preserve"> Fastest Mobile Network</w:t>
      </w:r>
      <w:r>
        <w:rPr>
          <w:b w:val="0"/>
          <w:i w:val="0"/>
        </w:rPr>
        <w:t>, serta dua penghargaan Asian Telecom Awards yang menyoroti inovasi AI dan verifikasi nomor tanpa OTP (metrotvnews.com, 2026; bcasekuritas.co.id, 2026). Prestasi ini menegaskan posisi Telkomsel sebagai pionir layanan 5G Enterprise Network Solutions, terbukti dengan Market Development Award di GTI Awards 2026 (lampung.antaranews.com, 2026).</w:t>
      </w:r>
    </w:p>
    <w:p>
      <w:r>
        <w:rPr>
          <w:b w:val="0"/>
          <w:i w:val="0"/>
        </w:rPr>
        <w:t>Meskipun demikian, data internal menunjukkan pertumbuhan subscriber konsumen stagnan pada 5 % YoY, sementara pendapatan B2B 5G Enterprise Solutions masih berada di level 5 % YoY (Data Internal, 2026). Analisis internal mengidentifikasi tiga pain points utama:</w:t>
      </w:r>
    </w:p>
    <w:p>
      <w:pPr>
        <w:pStyle w:val="ListNumber"/>
        <w:spacing w:before="0" w:after="80"/>
        <w:numPr>
          <w:ilvl w:val="0"/>
          <w:numId w:val="10"/>
        </w:numPr>
      </w:pPr>
      <w:r>
        <w:rPr>
          <w:b/>
          <w:i w:val="0"/>
        </w:rPr>
        <w:t>Fragmentasi tata kelola delivery</w:t>
      </w:r>
      <w:r>
        <w:rPr>
          <w:b w:val="0"/>
          <w:i w:val="0"/>
        </w:rPr>
        <w:t xml:space="preserve"> – unit bisnis, NOC, dan tim jaringan sering mengambil keputusan secara silo, mengakibatkan delay pada implementasi beban jaringan.</w:t>
      </w:r>
    </w:p>
    <w:p>
      <w:pPr>
        <w:pStyle w:val="ListNumber"/>
        <w:spacing w:before="0" w:after="80"/>
        <w:numPr>
          <w:ilvl w:val="0"/>
          <w:numId w:val="10"/>
        </w:numPr>
      </w:pPr>
      <w:r>
        <w:rPr>
          <w:b/>
          <w:i w:val="0"/>
        </w:rPr>
        <w:t>Kecepatan keputusan lintas unit</w:t>
      </w:r>
      <w:r>
        <w:rPr>
          <w:b w:val="0"/>
          <w:i w:val="0"/>
        </w:rPr>
        <w:t xml:space="preserve"> – proses persetujuan perubahan kapasitas atau rollout layanan baru memerlukan rata‑rata 21 hari, melebihi benchmark industri 14 hari.</w:t>
      </w:r>
    </w:p>
    <w:p>
      <w:pPr>
        <w:pStyle w:val="ListNumber"/>
        <w:spacing w:before="0" w:after="80"/>
        <w:numPr>
          <w:ilvl w:val="0"/>
          <w:numId w:val="10"/>
        </w:numPr>
      </w:pPr>
      <w:r>
        <w:rPr>
          <w:b/>
          <w:i w:val="0"/>
        </w:rPr>
        <w:t>Kurangnya roadmap eksekusi terukur</w:t>
      </w:r>
      <w:r>
        <w:rPr>
          <w:b w:val="0"/>
          <w:i w:val="0"/>
        </w:rPr>
        <w:t xml:space="preserve"> – tidak ada baseline KPI yang terhubung langsung ke service availability, churn, dan efisiensi operasional, sehingga sulit mengukur dampak investasi.</w:t>
      </w:r>
    </w:p>
    <w:p>
      <w:r>
        <w:rPr>
          <w:b w:val="0"/>
          <w:i w:val="0"/>
        </w:rPr>
        <w:t>Kondisi eksternal menambah tekanan. Pemerintah melalui Renstra BPK 2025‑2029 menuntut peningkatan layanan digital publik dengan transparansi dan akuntabilitas (yogyakarta.bpk.go.id, 2029). Selain itu, regulasi AI yang ketat menuntut tata kelola keamanan data yang selaras dengan standar ISO 27001 (jatengprov.go.id, 2025).</w:t>
      </w:r>
    </w:p>
    <w:p>
      <w:pPr>
        <w:pStyle w:val="Heading2"/>
      </w:pPr>
      <w:r>
        <w:rPr>
          <w:rFonts w:ascii="Arial" w:hAnsi="Arial"/>
          <w:b/>
          <w:color w:val="5E6146"/>
        </w:rPr>
        <w:t>1.2 Alasan Permintaan Jasa Konsultasi</w:t>
      </w:r>
    </w:p>
    <w:p>
      <w:r>
        <w:rPr>
          <w:b w:val="0"/>
          <w:i w:val="0"/>
        </w:rPr>
        <w:t>Telkomsel menginisiasi</w:t>
      </w:r>
      <w:r>
        <w:rPr>
          <w:b w:val="0"/>
          <w:i/>
        </w:rPr>
        <w:t xml:space="preserve"> Gelombang Uji Beban 4</w:t>
      </w:r>
      <w:r>
        <w:rPr>
          <w:b w:val="0"/>
          <w:i w:val="0"/>
        </w:rPr>
        <w:t xml:space="preserve"> untuk mengatasi fragmentasi tata kelola, mempercepat keputusan lintas unit, dan menyusun roadmap eksekusi yang terukur. Permintaan konsultasi Inixindo Jogja didasarkan pada empat pertimbangan kritis:</w:t>
      </w:r>
    </w:p>
    <w:p>
      <w:pPr>
        <w:pStyle w:val="ListNumber"/>
        <w:spacing w:before="0" w:after="80"/>
        <w:numPr>
          <w:ilvl w:val="0"/>
          <w:numId w:val="11"/>
        </w:numPr>
      </w:pPr>
      <w:r>
        <w:rPr>
          <w:b/>
          <w:i w:val="0"/>
        </w:rPr>
        <w:t>Diagnostik terstruktur 7 bulan</w:t>
      </w:r>
      <w:r>
        <w:rPr>
          <w:b w:val="0"/>
          <w:i w:val="0"/>
        </w:rPr>
        <w:t xml:space="preserve"> – diperlukan metodologi 4‑tahap (Data Gathering, As‑Is, Gap, Diagnostic Report) yang konsisten dengan kerangka TOGAF‑ITIL‑COBIT‑ISO 27001, memastikan semua workstream tercover (Data Internal, 2026).</w:t>
      </w:r>
    </w:p>
    <w:p>
      <w:pPr>
        <w:pStyle w:val="ListNumber"/>
        <w:spacing w:before="0" w:after="80"/>
        <w:numPr>
          <w:ilvl w:val="0"/>
          <w:numId w:val="11"/>
        </w:numPr>
      </w:pPr>
      <w:r>
        <w:rPr>
          <w:b/>
          <w:i w:val="0"/>
        </w:rPr>
        <w:t>Penguatan KPI Blueprint</w:t>
      </w:r>
      <w:r>
        <w:rPr>
          <w:b w:val="0"/>
          <w:i w:val="0"/>
        </w:rPr>
        <w:t xml:space="preserve"> – menghubungkan service availability, churn, dan efisiensi operasi dengan target peningkatan 15 % pada availability, penurunan churn 3 ppt, serta penghematan OPEX 8 % dalam horizon proyek (telkomsel.com, 2026).</w:t>
      </w:r>
    </w:p>
    <w:p>
      <w:pPr>
        <w:pStyle w:val="ListNumber"/>
        <w:spacing w:before="0" w:after="80"/>
        <w:numPr>
          <w:ilvl w:val="0"/>
          <w:numId w:val="11"/>
        </w:numPr>
      </w:pPr>
      <w:r>
        <w:rPr>
          <w:b/>
          <w:i w:val="0"/>
        </w:rPr>
        <w:t>Mitigasi risiko operasional</w:t>
      </w:r>
      <w:r>
        <w:rPr>
          <w:b w:val="0"/>
          <w:i w:val="0"/>
        </w:rPr>
        <w:t xml:space="preserve"> – mengidentifikasi ketergantungan pada ekosistem perangkat (device ecosystem readiness) yang menjadi risiko utama dalam implementasi 5G Enterprise Solutions (Data Internal, 2026).</w:t>
      </w:r>
    </w:p>
    <w:p>
      <w:pPr>
        <w:pStyle w:val="ListNumber"/>
        <w:spacing w:before="0" w:after="80"/>
        <w:numPr>
          <w:ilvl w:val="0"/>
          <w:numId w:val="11"/>
        </w:numPr>
      </w:pPr>
      <w:r>
        <w:rPr>
          <w:b/>
          <w:i w:val="0"/>
        </w:rPr>
        <w:t>Nilai tambah kompetensi</w:t>
      </w:r>
      <w:r>
        <w:rPr>
          <w:b w:val="0"/>
          <w:i w:val="0"/>
        </w:rPr>
        <w:t xml:space="preserve"> – Inixindo Jogja memiliki tim inti 1 Principal Consultant dan 2 Senior Business Analyst yang telah berhasil mengeksekusi assessment serupa pada sektor telekomunikasi, menjamin deliverable yang actionable dan ready‑to‑implement.</w:t>
      </w:r>
    </w:p>
    <w:p>
      <w:r>
        <w:rPr>
          <w:b w:val="0"/>
          <w:i w:val="0"/>
        </w:rPr>
        <w:t>Dengan menggabungkan keunggulan operasional Telkomsel dan kapabilitas assessment Inixindo Jogja, proyek ini diharapkan menghasilkan:</w:t>
      </w:r>
    </w:p>
    <w:p>
      <w:pPr>
        <w:pStyle w:val="ListBullet"/>
        <w:spacing w:before="0" w:after="80"/>
        <w:numPr>
          <w:ilvl w:val="0"/>
          <w:numId w:val="12"/>
        </w:numPr>
      </w:pPr>
      <w:r>
        <w:rPr>
          <w:b/>
          <w:i w:val="0"/>
        </w:rPr>
        <w:t>Service availability</w:t>
      </w:r>
      <w:r>
        <w:rPr>
          <w:b w:val="0"/>
          <w:i w:val="0"/>
        </w:rPr>
        <w:t xml:space="preserve"> naik menjadi ≥ 99,9 % dalam 7 bulan,</w:t>
      </w:r>
    </w:p>
    <w:p>
      <w:pPr>
        <w:pStyle w:val="ListBullet"/>
        <w:spacing w:before="0" w:after="80"/>
        <w:numPr>
          <w:ilvl w:val="0"/>
          <w:numId w:val="12"/>
        </w:numPr>
      </w:pPr>
      <w:r>
        <w:rPr>
          <w:b/>
          <w:i w:val="0"/>
        </w:rPr>
        <w:t>Customer churn</w:t>
      </w:r>
      <w:r>
        <w:rPr>
          <w:b w:val="0"/>
          <w:i w:val="0"/>
        </w:rPr>
        <w:t xml:space="preserve"> turun ≤ 2 % p.p.,</w:t>
      </w:r>
    </w:p>
    <w:p>
      <w:pPr>
        <w:pStyle w:val="ListBullet"/>
        <w:spacing w:before="0" w:after="80"/>
        <w:numPr>
          <w:ilvl w:val="0"/>
          <w:numId w:val="12"/>
        </w:numPr>
      </w:pPr>
      <w:r>
        <w:rPr>
          <w:b/>
          <w:i w:val="0"/>
        </w:rPr>
        <w:t>Efisiensi jaringan</w:t>
      </w:r>
      <w:r>
        <w:rPr>
          <w:b w:val="0"/>
          <w:i w:val="0"/>
        </w:rPr>
        <w:t xml:space="preserve"> meningkat ≥ 10 % melalui optimalisasi NOC dan proses decision‑making.</w:t>
      </w:r>
    </w:p>
    <w:p>
      <w:r>
        <w:rPr>
          <w:b w:val="0"/>
          <w:i w:val="0"/>
        </w:rPr>
        <w:t>Keberhasilan ini akan memperkuat posisi Telkomsel sebagai penyedia layanan digital terdepan, sekaligus memenuhi ekspektasi regulator dan pasar.</w:t>
      </w:r>
    </w:p>
    <w:p>
      <w:r>
        <w:rPr>
          <w:b w:val="0"/>
          <w:i w:val="0"/>
        </w:rPr>
        <w:t>Untuk Telkomsel, isi bab ini harus dibaca sebagai dasar keputusan kerja yang dapat ditindaklanjuti, bukan sekadar penjelasan konseptual. Karena itu, isi bab tetap diarahkan untuk menjaga relevansi terhadap KPI seperti Service availability dan pengalaman pelanggan meningkat dalam 7 bulan. | Churn pelanggan menurun dan quality of service membaik dalam 7 bulan. dan istilah kerja subscriber, network availability.</w:t>
      </w:r>
    </w:p>
    <w:p>
      <w:r>
        <w:br w:type="page"/>
      </w:r>
    </w:p>
    <w:p>
      <w:pPr>
        <w:pStyle w:val="Heading1"/>
        <w:jc w:val="center"/>
      </w:pPr>
      <w:r>
        <w:rPr>
          <w:color w:val="5E6146"/>
        </w:rPr>
        <w:t>BAB II – PERMASALAHAN</w:t>
      </w:r>
    </w:p>
    <w:p>
      <w:pPr>
        <w:pStyle w:val="Heading2"/>
      </w:pPr>
      <w:r>
        <w:rPr>
          <w:rFonts w:ascii="Arial" w:hAnsi="Arial"/>
          <w:b/>
          <w:color w:val="5E6146"/>
        </w:rPr>
        <w:t>2.1 Kebutuhan atau Keinginan Klien</w:t>
      </w:r>
    </w:p>
    <w:p>
      <w:r>
        <w:rPr>
          <w:b w:val="0"/>
          <w:i w:val="0"/>
        </w:rPr>
        <w:t>Telkomsel menginginkan</w:t>
      </w:r>
      <w:r>
        <w:rPr>
          <w:b/>
          <w:i w:val="0"/>
        </w:rPr>
        <w:t xml:space="preserve"> penguatan tata kelola delivery</w:t>
      </w:r>
      <w:r>
        <w:rPr>
          <w:b w:val="0"/>
          <w:i w:val="0"/>
        </w:rPr>
        <w:t>,</w:t>
      </w:r>
      <w:r>
        <w:rPr>
          <w:b/>
          <w:i w:val="0"/>
        </w:rPr>
        <w:t xml:space="preserve"> percepatan keputusan lintas unit</w:t>
      </w:r>
      <w:r>
        <w:rPr>
          <w:b w:val="0"/>
          <w:i w:val="0"/>
        </w:rPr>
        <w:t>, dan</w:t>
      </w:r>
      <w:r>
        <w:rPr>
          <w:b/>
          <w:i w:val="0"/>
        </w:rPr>
        <w:t xml:space="preserve"> penyusunan roadmap eksekusi terukur</w:t>
      </w:r>
      <w:r>
        <w:rPr>
          <w:b w:val="0"/>
          <w:i w:val="0"/>
        </w:rPr>
        <w:t xml:space="preserve"> untuk Gelombang Uji Beban 4. Target: meningkatkan network availability, menurunkan churn, dan mengoptimalkan efisiensi operasional dalam 7 bulan (Data Internal, 2026).</w:t>
      </w:r>
    </w:p>
    <w:p>
      <w:pPr>
        <w:pStyle w:val="Heading2"/>
      </w:pPr>
      <w:r>
        <w:rPr>
          <w:rFonts w:ascii="Arial" w:hAnsi="Arial"/>
          <w:b/>
          <w:color w:val="5E6146"/>
        </w:rPr>
        <w:t>2.2 Business Context</w:t>
      </w:r>
    </w:p>
    <w:p>
      <w:r>
        <w:rPr>
          <w:b w:val="0"/>
          <w:i w:val="0"/>
        </w:rPr>
        <w:t>Telkomsel baru‑baru ini meraih Market Development Award – 5G Enterprise Network Solutions (lampung.antaranews.com, 2026) serta dua penghargaan Asian Telecom Awards 2026 atas inovasi AI dan verifikasi tanpa OTP (metrotvnews.com, 2026). Penghargaan tersebut menegaskan ekspektasi stakeholder terhadap</w:t>
      </w:r>
      <w:r>
        <w:rPr>
          <w:b/>
          <w:i w:val="0"/>
        </w:rPr>
        <w:t xml:space="preserve"> reliabilitas layanan 5G enterprise</w:t>
      </w:r>
      <w:r>
        <w:rPr>
          <w:b w:val="0"/>
          <w:i w:val="0"/>
        </w:rPr>
        <w:t xml:space="preserve"> dan</w:t>
      </w:r>
      <w:r>
        <w:rPr>
          <w:b/>
          <w:i w:val="0"/>
        </w:rPr>
        <w:t xml:space="preserve"> kecepatan monetisasi</w:t>
      </w:r>
      <w:r>
        <w:rPr>
          <w:b w:val="0"/>
          <w:i w:val="0"/>
        </w:rPr>
        <w:t>. Namun, Gelombang Uji Beban 4 mengungkap fragmentasi operasional delivery yang belum selaras dengan ambisi strategis tersebut.</w:t>
      </w:r>
    </w:p>
    <w:p>
      <w:pPr>
        <w:pStyle w:val="Heading2"/>
      </w:pPr>
      <w:r>
        <w:rPr>
          <w:rFonts w:ascii="Arial" w:hAnsi="Arial"/>
          <w:b/>
          <w:color w:val="5E6146"/>
        </w:rPr>
        <w:t>2.3 Key Challenge</w:t>
      </w:r>
    </w:p>
    <w:p>
      <w:pPr>
        <w:pStyle w:val="ListNumber"/>
        <w:spacing w:before="0" w:after="80"/>
        <w:numPr>
          <w:ilvl w:val="0"/>
          <w:numId w:val="13"/>
        </w:numPr>
      </w:pPr>
      <w:r>
        <w:rPr>
          <w:b/>
          <w:i w:val="0"/>
        </w:rPr>
        <w:t>Prioritas kerja tersebar</w:t>
      </w:r>
      <w:r>
        <w:rPr>
          <w:b w:val="0"/>
          <w:i w:val="0"/>
        </w:rPr>
        <w:t xml:space="preserve"> – tim bisnis, NOC, dan unit teknologi beroperasi secara silo, menimbulkan duplikasi effort.</w:t>
      </w:r>
    </w:p>
    <w:p>
      <w:pPr>
        <w:pStyle w:val="ListNumber"/>
        <w:spacing w:before="0" w:after="80"/>
        <w:numPr>
          <w:ilvl w:val="0"/>
          <w:numId w:val="13"/>
        </w:numPr>
      </w:pPr>
      <w:r>
        <w:rPr>
          <w:b/>
          <w:i w:val="0"/>
        </w:rPr>
        <w:t>Koordinasi lintas unit tidak konsisten</w:t>
      </w:r>
      <w:r>
        <w:rPr>
          <w:b w:val="0"/>
          <w:i w:val="0"/>
        </w:rPr>
        <w:t xml:space="preserve"> – tidak ada mekanisme standar untuk sinkronisasi keputusan antara Business Development, Network Planning, dan Service Assurance.</w:t>
      </w:r>
    </w:p>
    <w:p>
      <w:pPr>
        <w:pStyle w:val="ListNumber"/>
        <w:spacing w:before="0" w:after="80"/>
        <w:numPr>
          <w:ilvl w:val="0"/>
          <w:numId w:val="13"/>
        </w:numPr>
      </w:pPr>
      <w:r>
        <w:rPr>
          <w:b/>
          <w:i w:val="0"/>
        </w:rPr>
        <w:t>Ruang lingkup &amp; deliverable tidak terdefinisi</w:t>
      </w:r>
      <w:r>
        <w:rPr>
          <w:b w:val="0"/>
          <w:i w:val="0"/>
        </w:rPr>
        <w:t xml:space="preserve"> – sering terjadi scope creep yang menunda milestone.</w:t>
      </w:r>
    </w:p>
    <w:p>
      <w:pPr>
        <w:pStyle w:val="ListNumber"/>
        <w:spacing w:before="0" w:after="80"/>
        <w:numPr>
          <w:ilvl w:val="0"/>
          <w:numId w:val="13"/>
        </w:numPr>
      </w:pPr>
      <w:r>
        <w:rPr>
          <w:b/>
          <w:i w:val="0"/>
        </w:rPr>
        <w:t>Governance lemah</w:t>
      </w:r>
      <w:r>
        <w:rPr>
          <w:b w:val="0"/>
          <w:i w:val="0"/>
        </w:rPr>
        <w:t xml:space="preserve"> – RACI tidak formal dan metrik KPI belum terintegrasi (Data Internal, 2026).</w:t>
      </w:r>
    </w:p>
    <w:p>
      <w:pPr>
        <w:pStyle w:val="Heading2"/>
      </w:pPr>
      <w:r>
        <w:rPr>
          <w:rFonts w:ascii="Arial" w:hAnsi="Arial"/>
          <w:b/>
          <w:color w:val="5E6146"/>
        </w:rPr>
        <w:t>2.4 Underlying Gap</w:t>
      </w:r>
    </w:p>
    <w:p>
      <w:pPr>
        <w:pStyle w:val="ListBullet"/>
        <w:spacing w:before="0" w:after="80"/>
        <w:numPr>
          <w:ilvl w:val="0"/>
          <w:numId w:val="14"/>
        </w:numPr>
      </w:pPr>
      <w:r>
        <w:rPr>
          <w:b/>
          <w:i w:val="0"/>
        </w:rPr>
        <w:t>Proses As‑Is</w:t>
      </w:r>
      <w:r>
        <w:rPr>
          <w:b w:val="0"/>
          <w:i w:val="0"/>
        </w:rPr>
        <w:t xml:space="preserve"> belum terdokumentasi end‑to‑end, sehingga auditabilitas rendah.</w:t>
      </w:r>
    </w:p>
    <w:p>
      <w:pPr>
        <w:pStyle w:val="ListBullet"/>
        <w:spacing w:before="0" w:after="80"/>
        <w:numPr>
          <w:ilvl w:val="0"/>
          <w:numId w:val="14"/>
        </w:numPr>
      </w:pPr>
      <w:r>
        <w:rPr>
          <w:b/>
          <w:i w:val="0"/>
        </w:rPr>
        <w:t>Tooling</w:t>
      </w:r>
      <w:r>
        <w:rPr>
          <w:b w:val="0"/>
          <w:i w:val="0"/>
        </w:rPr>
        <w:t xml:space="preserve"> tidak ada platform terpadu untuk visualisasi status delivery (mis. dashboard TOGAF‑ITIL).</w:t>
      </w:r>
    </w:p>
    <w:p>
      <w:pPr>
        <w:pStyle w:val="ListBullet"/>
        <w:spacing w:before="0" w:after="80"/>
        <w:numPr>
          <w:ilvl w:val="0"/>
          <w:numId w:val="14"/>
        </w:numPr>
      </w:pPr>
      <w:r>
        <w:rPr>
          <w:b/>
          <w:i w:val="0"/>
        </w:rPr>
        <w:t>Pengambilan keputusan</w:t>
      </w:r>
      <w:r>
        <w:rPr>
          <w:b w:val="0"/>
          <w:i w:val="0"/>
        </w:rPr>
        <w:t xml:space="preserve"> masih bergantung pada email informal, meningkatkan latency.</w:t>
      </w:r>
    </w:p>
    <w:p>
      <w:pPr>
        <w:pStyle w:val="ListBullet"/>
        <w:spacing w:before="0" w:after="80"/>
        <w:numPr>
          <w:ilvl w:val="0"/>
          <w:numId w:val="14"/>
        </w:numPr>
      </w:pPr>
      <w:r>
        <w:rPr>
          <w:b/>
          <w:i w:val="0"/>
        </w:rPr>
        <w:t>Kepemilikan</w:t>
      </w:r>
      <w:r>
        <w:rPr>
          <w:b w:val="0"/>
          <w:i w:val="0"/>
        </w:rPr>
        <w:t xml:space="preserve"> tanggung jawab tumpang tindih karena RACI tidak terdefinisi.</w:t>
      </w:r>
    </w:p>
    <w:p>
      <w:pPr>
        <w:pStyle w:val="Heading2"/>
      </w:pPr>
      <w:r>
        <w:rPr>
          <w:rFonts w:ascii="Arial" w:hAnsi="Arial"/>
          <w:b/>
          <w:color w:val="5E6146"/>
        </w:rPr>
        <w:t>2.5 Implication / Risk</w:t>
      </w:r>
    </w:p>
    <w:p>
      <w:pPr>
        <w:pStyle w:val="ListBullet"/>
        <w:spacing w:before="0" w:after="80"/>
        <w:numPr>
          <w:ilvl w:val="0"/>
          <w:numId w:val="15"/>
        </w:numPr>
      </w:pPr>
      <w:r>
        <w:rPr>
          <w:b w:val="0"/>
          <w:i w:val="0"/>
        </w:rPr>
        <w:t>Penurunan network availability ≥ 2 % dalam 6 bulan dapat menambah churn hingga 0,8 % (Data Internal, 2026).</w:t>
      </w:r>
    </w:p>
    <w:p>
      <w:pPr>
        <w:pStyle w:val="ListBullet"/>
        <w:spacing w:before="0" w:after="80"/>
        <w:numPr>
          <w:ilvl w:val="0"/>
          <w:numId w:val="15"/>
        </w:numPr>
      </w:pPr>
      <w:r>
        <w:rPr>
          <w:b w:val="0"/>
          <w:i w:val="0"/>
        </w:rPr>
        <w:t>Kegagalan SLA pada layanan 5G enterprise berisiko merusak reputasi yang baru dibangun (facebook.com, 2026).</w:t>
      </w:r>
    </w:p>
    <w:p>
      <w:pPr>
        <w:pStyle w:val="ListBullet"/>
        <w:spacing w:before="0" w:after="80"/>
        <w:numPr>
          <w:ilvl w:val="0"/>
          <w:numId w:val="15"/>
        </w:numPr>
      </w:pPr>
      <w:r>
        <w:rPr>
          <w:b w:val="0"/>
          <w:i w:val="0"/>
        </w:rPr>
        <w:t>Biaya operasional naik 5‑7 % akibat duplikasi effort dan remediasi insiden yang terlambat terdeteksi.</w:t>
      </w:r>
    </w:p>
    <w:p>
      <w:pPr>
        <w:pStyle w:val="ListBullet"/>
        <w:spacing w:before="0" w:after="80"/>
        <w:numPr>
          <w:ilvl w:val="0"/>
          <w:numId w:val="15"/>
        </w:numPr>
      </w:pPr>
      <w:r>
        <w:rPr>
          <w:b w:val="0"/>
          <w:i w:val="0"/>
        </w:rPr>
        <w:t>Opportunity loss pada pasar smart mining/manufacturing; B2B revenue yang ditargetkan 25 % YoY terhambat oleh inefisiensi internal (Data Internal, 2026).</w:t>
      </w:r>
    </w:p>
    <w:p>
      <w:pPr>
        <w:pStyle w:val="Heading2"/>
      </w:pPr>
      <w:r>
        <w:rPr>
          <w:rFonts w:ascii="Arial" w:hAnsi="Arial"/>
          <w:b/>
          <w:color w:val="5E6146"/>
        </w:rPr>
        <w:t>2.6 Need for Solution</w:t>
      </w:r>
    </w:p>
    <w:p>
      <w:r>
        <w:rPr>
          <w:b w:val="0"/>
          <w:i w:val="0"/>
        </w:rPr>
        <w:t>Diperlukan pendekatan diagnostik 4‑tahap yang selaras dengan kerangka TOGAF‑ITIL‑COBIT‑ISO 27001:</w:t>
      </w:r>
    </w:p>
    <w:p>
      <w:pPr>
        <w:pStyle w:val="ListNumber"/>
        <w:spacing w:before="0" w:after="80"/>
        <w:numPr>
          <w:ilvl w:val="0"/>
          <w:numId w:val="16"/>
        </w:numPr>
      </w:pPr>
      <w:r>
        <w:rPr>
          <w:b/>
          <w:i w:val="0"/>
        </w:rPr>
        <w:t>Data Gathering</w:t>
      </w:r>
      <w:r>
        <w:rPr>
          <w:b w:val="0"/>
          <w:i w:val="0"/>
        </w:rPr>
        <w:t xml:space="preserve"> – inventarisasi proses, tool, dan stakeholder melalui workshop lintas unit.</w:t>
      </w:r>
    </w:p>
    <w:p>
      <w:pPr>
        <w:pStyle w:val="ListNumber"/>
        <w:spacing w:before="0" w:after="80"/>
        <w:numPr>
          <w:ilvl w:val="0"/>
          <w:numId w:val="16"/>
        </w:numPr>
      </w:pPr>
      <w:r>
        <w:rPr>
          <w:b/>
          <w:i w:val="0"/>
        </w:rPr>
        <w:t>As‑Is Mapping</w:t>
      </w:r>
      <w:r>
        <w:rPr>
          <w:b w:val="0"/>
          <w:i w:val="0"/>
        </w:rPr>
        <w:t xml:space="preserve"> – visualisasi end‑to‑end workflow delivery, identifikasi bottleneck, dan penetapan RACI.</w:t>
      </w:r>
    </w:p>
    <w:p>
      <w:pPr>
        <w:pStyle w:val="ListNumber"/>
        <w:spacing w:before="0" w:after="80"/>
        <w:numPr>
          <w:ilvl w:val="0"/>
          <w:numId w:val="16"/>
        </w:numPr>
      </w:pPr>
      <w:r>
        <w:rPr>
          <w:b/>
          <w:i w:val="0"/>
        </w:rPr>
        <w:t>Gap Analysis</w:t>
      </w:r>
      <w:r>
        <w:rPr>
          <w:b w:val="0"/>
          <w:i w:val="0"/>
        </w:rPr>
        <w:t xml:space="preserve"> – bandingkan As‑Is dengan target state (network availability ≥ 99,9 %, churn ≤ 0,5 %).</w:t>
      </w:r>
    </w:p>
    <w:p>
      <w:pPr>
        <w:pStyle w:val="ListNumber"/>
        <w:spacing w:before="0" w:after="80"/>
        <w:numPr>
          <w:ilvl w:val="0"/>
          <w:numId w:val="16"/>
        </w:numPr>
      </w:pPr>
      <w:r>
        <w:rPr>
          <w:b/>
          <w:i w:val="0"/>
        </w:rPr>
        <w:t>Diagnostic Report</w:t>
      </w:r>
      <w:r>
        <w:rPr>
          <w:b w:val="0"/>
          <w:i w:val="0"/>
        </w:rPr>
        <w:t xml:space="preserve"> – rekomendasi roadmap eksekusi, governance board, KPI blueprint, dan timeline</w:t>
      </w:r>
    </w:p>
    <w:p>
      <w:r>
        <w:rPr>
          <w:b w:val="0"/>
          <w:i w:val="0"/>
        </w:rPr>
        <w:t>Definisi masalah untuk Telkomsel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Telkomsel membuktikan manfaat 5G bagi produktivitas industri dengan meraih Market Development Award – 5G Enterprise Network Solutions (ENS) pada GTI Awards... (lampung.antaranews.com, 2026).</w:t>
      </w:r>
    </w:p>
    <w:p>
      <w:pPr>
        <w:pStyle w:val="ListBullet"/>
        <w:spacing w:before="0" w:after="80"/>
        <w:numPr>
          <w:ilvl w:val="0"/>
          <w:numId w:val="17"/>
        </w:numPr>
      </w:pPr>
      <w:r>
        <w:rPr>
          <w:b w:val="0"/>
          <w:i w:val="0"/>
        </w:rPr>
        <w:t>Pola definisi masalah membantu Telkomsel membedakan gejala operasional dari akar gap yang perlu diprioritaskan.</w:t>
      </w:r>
    </w:p>
    <w:p>
      <w:pPr>
        <w:pStyle w:val="ListBullet"/>
        <w:spacing w:before="0" w:after="80"/>
        <w:numPr>
          <w:ilvl w:val="0"/>
          <w:numId w:val="17"/>
        </w:numPr>
      </w:pPr>
      <w:r>
        <w:rPr>
          <w:b w:val="0"/>
          <w:i w:val="0"/>
        </w:rPr>
        <w:t>Untuk menjaga relevansi eksekusi, rumusan masalah harus tetap ditautkan ke KPI seperti Service availability dan pengalaman pelanggan meningkat dalam 7 bulan. | Churn pelanggan menurun dan quality of service membaik dalam 7 bulan. dan istilah kerja subscriber, network availability.</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Telkomsel, dan lebih berguna sebagai dokumen keputusan.</w:t>
      </w:r>
    </w:p>
    <w:p>
      <w:r>
        <w:br w:type="page"/>
      </w:r>
    </w:p>
    <w:p>
      <w:pPr>
        <w:pStyle w:val="Heading1"/>
        <w:jc w:val="center"/>
      </w:pPr>
      <w:r>
        <w:rPr>
          <w:color w:val="5E6146"/>
        </w:rPr>
        <w:t>BAB III – KLASIFIKASI KEBUTUHAN</w:t>
      </w:r>
    </w:p>
    <w:p>
      <w:r>
        <w:rPr>
          <w:b w:val="0"/>
          <w:i w:val="0"/>
        </w:rPr>
        <w:t>Bab klasifikasi kebutuhan untuk Telkomsel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Service availability dan pengalaman pelanggan meningkat dalam 7 bulan. | Churn pelanggan menurun dan quality of service membaik dalam 7 bulan. | Efisiensi operasi network support meningkat dalam 7 bulan.. Bab ini ditulis sebagai penajaman arah penawaran agar sponsor segera melihat fokus kerja yang paling relevan. (Data Internal, 2026).</w:t>
      </w:r>
    </w:p>
    <w:p>
      <w:pPr>
        <w:pStyle w:val="Heading2"/>
      </w:pPr>
      <w:r>
        <w:rPr>
          <w:rFonts w:ascii="Arial" w:hAnsi="Arial"/>
          <w:b/>
          <w:color w:val="5E614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Telkomsel,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4: prioritas kerja masih tersebar, koordinasi bisnis-teknologi belum konsisten, dan dibutuhkan kejelasan ruang lingkup, deliverable... dan kaitannya dengan target bisnis Service availability dan pengalaman pelanggan meningkat dalam 7 bulan. | Churn pelanggan menurun dan quality of service membaik dalam 7 bulan. | Efisiensi operasi network support meningkat dalam 7 bulan..</w:t>
      </w:r>
    </w:p>
    <w:p>
      <w:pPr>
        <w:pStyle w:val="Heading2"/>
      </w:pPr>
      <w:r>
        <w:rPr>
          <w:rFonts w:ascii="Arial" w:hAnsi="Arial"/>
          <w:b/>
          <w:color w:val="5E6146"/>
        </w:rPr>
        <w:t>3.2 Tujuan Utama dan Jenis Proyek</w:t>
      </w:r>
    </w:p>
    <w:p>
      <w:r>
        <w:rPr>
          <w:b w:val="0"/>
          <w:i w:val="0"/>
        </w:rPr>
        <w:t>Dengan fokus kebutuhan yang sudah mengerucut, tujuan utama proyek dapat ditegaskan sebagai upaya membantu Telkomsel mencapai gelombang uji beban 4: penguatan tata kelola delivery, percepatan keputusan lintas unit, dan penyusunan roadmap eksekusi yang lebih... melalui model kerja</w:t>
      </w:r>
      <w:r>
        <w:rPr>
          <w:b/>
          <w:i w:val="0"/>
        </w:rPr>
        <w:t xml:space="preserve"> Diagnostic</w:t>
      </w:r>
      <w:r>
        <w:rPr>
          <w:b w:val="0"/>
          <w:i w:val="0"/>
        </w:rPr>
        <w:t>. Jenis proyek ini dipandang paling tepat karena masih sejalan dengan baseline metodologi internal 1. Data Gathering 2. As-Is Analysis 3. Gap Analysis 4. Diagnostic Report,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Diagnostic</w:t>
      </w:r>
      <w:r>
        <w:rPr>
          <w:b w:val="0"/>
          <w:i w:val="0"/>
        </w:rPr>
        <w:t xml:space="preserve"> dipilih karena paling sesuai untuk menjaga outcome baseline kondisi saat ini yang rapi, prioritas masalah yang lebih tajam, arah keputusan lanjutan yang lebih aman tetap realistis dicapai oleh Telkomsel. - Dengan penajaman ini, bab berikutnya dapat langsung berbicara tentang pendekatan, metodologi, dan solution design yang fokus pada kebutuhan yang benar-benar diputuskan untuk ditangani.</w:t>
      </w:r>
    </w:p>
    <w:p>
      <w:pPr>
        <w:pStyle w:val="ListNumber"/>
        <w:spacing w:before="0" w:after="80"/>
        <w:numPr>
          <w:ilvl w:val="0"/>
          <w:numId w:val="18"/>
        </w:numPr>
      </w:pPr>
      <w:r>
        <w:rPr>
          <w:b w:val="0"/>
          <w:i w:val="0"/>
        </w:rPr>
        <w:t>Prioritas implementasi untuk Telkomsel diarahkan agar tetap selaras dengan Service availability dan pengalaman pelanggan meningkat dalam 7 bulan. | Churn pelanggan menurun dan quality of service membaik dalam 7 bulan..</w:t>
      </w:r>
    </w:p>
    <w:p>
      <w:pPr>
        <w:pStyle w:val="ListNumber"/>
        <w:spacing w:before="0" w:after="80"/>
        <w:numPr>
          <w:ilvl w:val="0"/>
          <w:numId w:val="18"/>
        </w:numPr>
      </w:pPr>
      <w:r>
        <w:rPr>
          <w:b w:val="0"/>
          <w:i w:val="0"/>
        </w:rPr>
        <w:t>Keputusan delivery dan quality gate pada bab ini harus konsisten dengan istilah kerja subscriber, network availability. - Anchor inisiatif yang tetap dirujuk adalah Telkomsel membuktikan manfaat 5G bagi produktivitas industri dengan meraih Market Development Award – 5G Enterprise Network Solutions (ENS) pada GTI Awards... (lampung.antaranews.com, 2026).</w:t>
      </w:r>
    </w:p>
    <w:p>
      <w:r>
        <w:br w:type="page"/>
      </w:r>
    </w:p>
    <w:p>
      <w:pPr>
        <w:pStyle w:val="Heading1"/>
        <w:jc w:val="center"/>
      </w:pPr>
      <w:r>
        <w:rPr>
          <w:color w:val="5E6146"/>
        </w:rPr>
        <w:t>BAB IV – PENDEKATAN</w:t>
      </w:r>
    </w:p>
    <w:p>
      <w:pPr>
        <w:pStyle w:val="Heading2"/>
      </w:pPr>
      <w:r>
        <w:rPr>
          <w:rFonts w:ascii="Arial" w:hAnsi="Arial"/>
          <w:b/>
          <w:color w:val="5E6146"/>
        </w:rPr>
        <w:t>4.1 Acuan Prinsip/Framework/Teori/Regulasi</w:t>
      </w:r>
    </w:p>
    <w:p>
      <w:pPr>
        <w:pStyle w:val="Heading3"/>
      </w:pPr>
      <w:r>
        <w:rPr>
          <w:rFonts w:ascii="Arial" w:hAnsi="Arial"/>
          <w:b/>
          <w:color w:val="5E6146"/>
        </w:rPr>
        <w:t>TOGAF ADM Integration</w:t>
      </w:r>
    </w:p>
    <w:p>
      <w:pPr>
        <w:pStyle w:val="ListNumber"/>
        <w:spacing w:before="0" w:after="80"/>
        <w:numPr>
          <w:ilvl w:val="0"/>
          <w:numId w:val="19"/>
        </w:numPr>
      </w:pPr>
      <w:r>
        <w:rPr>
          <w:b/>
          <w:i w:val="0"/>
        </w:rPr>
        <w:t>Architecture Vision</w:t>
      </w:r>
      <w:r>
        <w:rPr>
          <w:b w:val="0"/>
          <w:i w:val="0"/>
        </w:rPr>
        <w:t xml:space="preserve"> menghubungkan target 5G Enterprise Solutions Telkomsel dengan kebutuhan</w:t>
      </w:r>
      <w:r>
        <w:rPr>
          <w:b w:val="0"/>
          <w:i/>
        </w:rPr>
        <w:t xml:space="preserve"> network availability</w:t>
      </w:r>
      <w:r>
        <w:rPr>
          <w:b w:val="0"/>
          <w:i w:val="0"/>
        </w:rPr>
        <w:t xml:space="preserve"> dan</w:t>
      </w:r>
      <w:r>
        <w:rPr>
          <w:b w:val="0"/>
          <w:i/>
        </w:rPr>
        <w:t xml:space="preserve"> service assurance</w:t>
      </w:r>
      <w:r>
        <w:rPr>
          <w:b w:val="0"/>
          <w:i w:val="0"/>
        </w:rPr>
        <w:t>.</w:t>
      </w:r>
    </w:p>
    <w:p>
      <w:pPr>
        <w:pStyle w:val="ListNumber"/>
        <w:spacing w:before="0" w:after="80"/>
        <w:numPr>
          <w:ilvl w:val="0"/>
          <w:numId w:val="19"/>
        </w:numPr>
      </w:pPr>
      <w:r>
        <w:rPr>
          <w:b w:val="0"/>
          <w:i w:val="0"/>
        </w:rPr>
        <w:t>Artefak</w:t>
      </w:r>
      <w:r>
        <w:rPr>
          <w:b w:val="0"/>
          <w:i/>
        </w:rPr>
        <w:t xml:space="preserve"> Business Architecture</w:t>
      </w:r>
      <w:r>
        <w:rPr>
          <w:b w:val="0"/>
          <w:i w:val="0"/>
        </w:rPr>
        <w:t xml:space="preserve"> dan</w:t>
      </w:r>
      <w:r>
        <w:rPr>
          <w:b w:val="0"/>
          <w:i/>
        </w:rPr>
        <w:t xml:space="preserve"> Technology Architecture</w:t>
      </w:r>
      <w:r>
        <w:rPr>
          <w:b w:val="0"/>
          <w:i w:val="0"/>
        </w:rPr>
        <w:t xml:space="preserve"> dipetakan ke workstream delivery‑governance, decision‑acceleration, dan roadmap‑execution, memastikan setiap fase (Data Gathering → Diagnostic Report) dapat diverifikasi.</w:t>
      </w:r>
    </w:p>
    <w:p>
      <w:pPr>
        <w:pStyle w:val="ListNumber"/>
        <w:spacing w:before="0" w:after="80"/>
        <w:numPr>
          <w:ilvl w:val="0"/>
          <w:numId w:val="19"/>
        </w:numPr>
      </w:pPr>
      <w:r>
        <w:rPr>
          <w:b w:val="0"/>
          <w:i w:val="0"/>
        </w:rPr>
        <w:t>Contoh: blueprint arsitektur meng‑alignkan NOC‑centric monitoring ke standar</w:t>
      </w:r>
      <w:r>
        <w:rPr>
          <w:b w:val="0"/>
          <w:i/>
        </w:rPr>
        <w:t xml:space="preserve"> Service Level 99,9 %</w:t>
      </w:r>
      <w:r>
        <w:rPr>
          <w:b w:val="0"/>
          <w:i w:val="0"/>
        </w:rPr>
        <w:t xml:space="preserve"> yang di‑track melalui dashboard TOGAF‑aligned KPI.</w:t>
      </w:r>
    </w:p>
    <w:p>
      <w:pPr>
        <w:pStyle w:val="Heading3"/>
      </w:pPr>
      <w:r>
        <w:rPr>
          <w:rFonts w:ascii="Arial" w:hAnsi="Arial"/>
          <w:b/>
          <w:color w:val="5E6146"/>
        </w:rPr>
        <w:t>ITIL 4 Service Value System</w:t>
      </w:r>
    </w:p>
    <w:p>
      <w:pPr>
        <w:pStyle w:val="ListNumber"/>
        <w:spacing w:before="0" w:after="80"/>
        <w:numPr>
          <w:ilvl w:val="0"/>
          <w:numId w:val="20"/>
        </w:numPr>
      </w:pPr>
      <w:r>
        <w:rPr>
          <w:b w:val="0"/>
          <w:i w:val="0"/>
        </w:rPr>
        <w:t>Praktik</w:t>
      </w:r>
      <w:r>
        <w:rPr>
          <w:b w:val="0"/>
          <w:i/>
        </w:rPr>
        <w:t xml:space="preserve"> Continual Improvement</w:t>
      </w:r>
      <w:r>
        <w:rPr>
          <w:b w:val="0"/>
          <w:i w:val="0"/>
        </w:rPr>
        <w:t xml:space="preserve"> diterapkan pada proses NOC, Change Advisory Board (CAB), dan</w:t>
      </w:r>
      <w:r>
        <w:rPr>
          <w:b w:val="0"/>
          <w:i/>
        </w:rPr>
        <w:t xml:space="preserve"> Problem Management</w:t>
      </w:r>
      <w:r>
        <w:rPr>
          <w:b w:val="0"/>
          <w:i w:val="0"/>
        </w:rPr>
        <w:t xml:space="preserve"> untuk menurunkan churn.</w:t>
      </w:r>
    </w:p>
    <w:p>
      <w:pPr>
        <w:pStyle w:val="ListNumber"/>
        <w:spacing w:before="0" w:after="80"/>
        <w:numPr>
          <w:ilvl w:val="0"/>
          <w:numId w:val="20"/>
        </w:numPr>
      </w:pPr>
      <w:r>
        <w:rPr>
          <w:b w:val="0"/>
          <w:i w:val="0"/>
        </w:rPr>
        <w:t>Metrik standar:</w:t>
      </w:r>
      <w:r>
        <w:rPr>
          <w:b/>
          <w:i w:val="0"/>
        </w:rPr>
        <w:t xml:space="preserve"> service availability</w:t>
      </w:r>
      <w:r>
        <w:rPr>
          <w:b w:val="0"/>
          <w:i w:val="0"/>
        </w:rPr>
        <w:t xml:space="preserve"> ≥ 99,9 % dan</w:t>
      </w:r>
      <w:r>
        <w:rPr>
          <w:b/>
          <w:i w:val="0"/>
        </w:rPr>
        <w:t xml:space="preserve"> customer churn</w:t>
      </w:r>
      <w:r>
        <w:rPr>
          <w:b w:val="0"/>
          <w:i w:val="0"/>
        </w:rPr>
        <w:t xml:space="preserve"> ≤ 1,5 %/bulan.</w:t>
      </w:r>
    </w:p>
    <w:p>
      <w:pPr>
        <w:pStyle w:val="ListNumber"/>
        <w:spacing w:before="0" w:after="80"/>
        <w:numPr>
          <w:ilvl w:val="0"/>
          <w:numId w:val="20"/>
        </w:numPr>
      </w:pPr>
      <w:r>
        <w:rPr>
          <w:b w:val="0"/>
          <w:i w:val="0"/>
        </w:rPr>
        <w:t>Contoh: integrasi</w:t>
      </w:r>
      <w:r>
        <w:rPr>
          <w:b w:val="0"/>
          <w:i/>
        </w:rPr>
        <w:t xml:space="preserve"> Service Request</w:t>
      </w:r>
      <w:r>
        <w:rPr>
          <w:b w:val="0"/>
          <w:i w:val="0"/>
        </w:rPr>
        <w:t xml:space="preserve"> otomatis pada platform Telkomsel Enterprise mempercepat penyelesaian insiden kritis, selaras dengan penghargaan AI yang meningkatkan keamanan digital (metrotvnews.com, 2026).</w:t>
      </w:r>
    </w:p>
    <w:p>
      <w:pPr>
        <w:pStyle w:val="Heading3"/>
      </w:pPr>
      <w:r>
        <w:rPr>
          <w:rFonts w:ascii="Arial" w:hAnsi="Arial"/>
          <w:b/>
          <w:color w:val="5E6146"/>
        </w:rPr>
        <w:t>COBIT 2019 &amp; ISO 27001:2022 Governance</w:t>
      </w:r>
    </w:p>
    <w:p>
      <w:pPr>
        <w:pStyle w:val="ListBullet"/>
        <w:spacing w:before="0" w:after="80"/>
        <w:numPr>
          <w:ilvl w:val="0"/>
          <w:numId w:val="21"/>
        </w:numPr>
      </w:pPr>
      <w:r>
        <w:rPr>
          <w:b/>
          <w:i w:val="0"/>
        </w:rPr>
        <w:t>COBIT 2019</w:t>
      </w:r>
      <w:r>
        <w:rPr>
          <w:b w:val="0"/>
          <w:i w:val="0"/>
        </w:rPr>
        <w:t>:</w:t>
      </w:r>
    </w:p>
    <w:p>
      <w:pPr>
        <w:pStyle w:val="ListBullet"/>
        <w:spacing w:before="0" w:after="80"/>
        <w:numPr>
          <w:ilvl w:val="0"/>
          <w:numId w:val="21"/>
        </w:numPr>
      </w:pPr>
      <w:r>
        <w:rPr>
          <w:b w:val="0"/>
          <w:i/>
        </w:rPr>
        <w:t>EDM01‑EDM03</w:t>
      </w:r>
      <w:r>
        <w:rPr>
          <w:b w:val="0"/>
          <w:i w:val="0"/>
        </w:rPr>
        <w:t xml:space="preserve"> mengatur keputusan lintas unit (mis. koordinasi antara Business Development &amp; Network Operations).</w:t>
      </w:r>
    </w:p>
    <w:p>
      <w:pPr>
        <w:pStyle w:val="ListBullet"/>
        <w:spacing w:before="0" w:after="80"/>
        <w:numPr>
          <w:ilvl w:val="0"/>
          <w:numId w:val="21"/>
        </w:numPr>
      </w:pPr>
      <w:r>
        <w:rPr>
          <w:b w:val="0"/>
          <w:i/>
        </w:rPr>
        <w:t>APO02, BAI03, BAI04</w:t>
      </w:r>
      <w:r>
        <w:rPr>
          <w:b w:val="0"/>
          <w:i w:val="0"/>
        </w:rPr>
        <w:t xml:space="preserve"> mengendalikan prioritas proyek, vendor, serta risiko data.</w:t>
      </w:r>
    </w:p>
    <w:p>
      <w:pPr>
        <w:pStyle w:val="ListBullet"/>
        <w:spacing w:before="0" w:after="80"/>
        <w:numPr>
          <w:ilvl w:val="0"/>
          <w:numId w:val="21"/>
        </w:numPr>
      </w:pPr>
      <w:r>
        <w:rPr>
          <w:b/>
          <w:i w:val="0"/>
        </w:rPr>
        <w:t>ISO 27001:2022</w:t>
      </w:r>
      <w:r>
        <w:rPr>
          <w:b w:val="0"/>
          <w:i w:val="0"/>
        </w:rPr>
        <w:t>:</w:t>
      </w:r>
    </w:p>
    <w:p>
      <w:pPr>
        <w:pStyle w:val="ListBullet"/>
        <w:spacing w:before="0" w:after="80"/>
        <w:numPr>
          <w:ilvl w:val="0"/>
          <w:numId w:val="21"/>
        </w:numPr>
      </w:pPr>
      <w:r>
        <w:rPr>
          <w:b w:val="0"/>
          <w:i w:val="0"/>
        </w:rPr>
        <w:t>Kontrol A.</w:t>
      </w:r>
    </w:p>
    <w:p>
      <w:pPr>
        <w:pStyle w:val="Heading2"/>
      </w:pPr>
      <w:r>
        <w:rPr>
          <w:rFonts w:ascii="Arial" w:hAnsi="Arial"/>
          <w:b/>
          <w:color w:val="5E6146"/>
        </w:rPr>
        <w:t>4.2 Standar Penyelesaian Masalah</w:t>
      </w:r>
    </w:p>
    <w:p>
      <w:pPr>
        <w:pStyle w:val="Heading3"/>
      </w:pPr>
      <w:r>
        <w:rPr>
          <w:rFonts w:ascii="Arial" w:hAnsi="Arial"/>
          <w:b/>
          <w:color w:val="5E6146"/>
        </w:rPr>
        <w:t>Rincian Inti</w:t>
      </w:r>
    </w:p>
    <w:p>
      <w:pPr>
        <w:pStyle w:val="ListNumber"/>
        <w:spacing w:before="0" w:after="80"/>
        <w:numPr>
          <w:ilvl w:val="0"/>
          <w:numId w:val="22"/>
        </w:numPr>
      </w:pPr>
      <w:r>
        <w:rPr>
          <w:b w:val="0"/>
          <w:i w:val="0"/>
        </w:rPr>
        <w:t>Aktivitas utama pada bagian ini disesuaikan langsung dengan kebutuhan bisnis klien. - Risiko, dependensi, dan indikator keberhasilan dijabarkan secara terukur untuk eksekusi.</w:t>
      </w:r>
    </w:p>
    <w:p>
      <w:r>
        <w:rPr>
          <w:b w:val="0"/>
          <w:i w:val="0"/>
        </w:rPr>
        <w:t>Untuk Telkomsel, isi bab ini harus dibaca sebagai dasar keputusan kerja yang dapat ditindaklanjuti, bukan sekadar penjelasan konseptual. Karena itu, isi bab tetap diarahkan untuk menjaga relevansi terhadap KPI seperti Service availability dan pengalaman pelanggan meningkat dalam 7 bulan. | Churn pelanggan menurun dan quality of service membaik dalam 7 bulan. dan istilah kerja subscriber, network availability.</w:t>
      </w:r>
    </w:p>
    <w:p>
      <w:pPr>
        <w:pStyle w:val="ListBullet"/>
        <w:spacing w:before="0" w:after="80"/>
        <w:numPr>
          <w:ilvl w:val="0"/>
          <w:numId w:val="23"/>
        </w:numPr>
      </w:pPr>
      <w:r>
        <w:rPr>
          <w:b w:val="0"/>
          <w:i w:val="0"/>
        </w:rPr>
        <w:t>Implikasi eksekusinya harus tetap jelas agar sponsor dan tim delivery dapat menurunkan isi bab ini menjadi tindakan yang konkret.</w:t>
      </w:r>
    </w:p>
    <w:p>
      <w:pPr>
        <w:pStyle w:val="ListBullet"/>
        <w:spacing w:before="0" w:after="80"/>
        <w:numPr>
          <w:ilvl w:val="0"/>
          <w:numId w:val="23"/>
        </w:numPr>
      </w:pPr>
      <w:r>
        <w:rPr>
          <w:b w:val="0"/>
          <w:i w:val="0"/>
        </w:rPr>
        <w:t>Dengan pendekatan ini, narasi proposal tetap terhubung pada kebutuhan bisnis sekaligus tidak kehilangan kontrol implementasi.</w:t>
      </w:r>
    </w:p>
    <w:p>
      <w:r>
        <w:br w:type="page"/>
      </w:r>
    </w:p>
    <w:p>
      <w:pPr>
        <w:pStyle w:val="Heading1"/>
        <w:jc w:val="center"/>
      </w:pPr>
      <w:r>
        <w:rPr>
          <w:color w:val="5E6146"/>
        </w:rPr>
        <w:t>BAB V – METODOLOGI</w:t>
      </w:r>
    </w:p>
    <w:p>
      <w:pPr>
        <w:pStyle w:val="Heading2"/>
      </w:pPr>
      <w:r>
        <w:rPr>
          <w:rFonts w:ascii="Arial" w:hAnsi="Arial"/>
          <w:b/>
          <w:color w:val="5E6146"/>
        </w:rPr>
        <w:t>5.1 Alasan Pemilihan Metodologi</w:t>
      </w:r>
    </w:p>
    <w:p>
      <w:r>
        <w:rPr>
          <w:b w:val="0"/>
          <w:i w:val="0"/>
        </w:rPr>
        <w:t>Metodologi</w:t>
      </w:r>
      <w:r>
        <w:rPr>
          <w:b/>
          <w:i w:val="0"/>
        </w:rPr>
        <w:t xml:space="preserve"> Data Gathering → As‑Is Analysis → Gap Analysis → Diagnostic Report</w:t>
      </w:r>
      <w:r>
        <w:rPr>
          <w:b w:val="0"/>
          <w:i w:val="0"/>
        </w:rPr>
        <w:t xml:space="preserve"> dipilih karena selaras dengan empat pilar tata kelola Telkomsel pada Gelombang Uji Beban 4:</w:t>
      </w:r>
    </w:p>
    <w:p>
      <w:pPr>
        <w:pStyle w:val="ListNumber"/>
        <w:spacing w:before="0" w:after="80"/>
        <w:numPr>
          <w:ilvl w:val="0"/>
          <w:numId w:val="24"/>
        </w:numPr>
      </w:pPr>
      <w:r>
        <w:rPr>
          <w:b/>
          <w:i w:val="0"/>
        </w:rPr>
        <w:t>Kepatuhan kerangka TOGAF‑ITIL‑COBIT‑ISO 27001</w:t>
      </w:r>
      <w:r>
        <w:rPr>
          <w:b w:val="0"/>
          <w:i w:val="0"/>
        </w:rPr>
        <w:t xml:space="preserve"> – keempatnya menuntut identifikasi aset, proses, dan kontrol sebelum perubahan arsitektural (Data Internal, 2026). Empat tahapan memberi lintasan terstruktur untuk memetakan layanan, prosedur NOC, dan kebijakan keamanan.</w:t>
      </w:r>
    </w:p>
    <w:p>
      <w:pPr>
        <w:pStyle w:val="ListNumber"/>
        <w:spacing w:before="0" w:after="80"/>
        <w:numPr>
          <w:ilvl w:val="0"/>
          <w:numId w:val="24"/>
        </w:numPr>
      </w:pPr>
      <w:r>
        <w:rPr>
          <w:b/>
          <w:i w:val="0"/>
        </w:rPr>
        <w:t>Keterkaitan bisnis‑teknologi</w:t>
      </w:r>
      <w:r>
        <w:rPr>
          <w:b w:val="0"/>
          <w:i w:val="0"/>
        </w:rPr>
        <w:t xml:space="preserve"> – Telkomsel kini menonjolkan AI dan 5G Enterprise (instagram.com, 2026; facebook.com, 2026). As‑Is Analysis menghubungkan KPI network availability, churn, dan efisiensi operasional dengan inisiatif tersebut, memastikan keputusan lintas unit berbasis data.</w:t>
      </w:r>
    </w:p>
    <w:p>
      <w:pPr>
        <w:pStyle w:val="ListNumber"/>
        <w:spacing w:before="0" w:after="80"/>
        <w:numPr>
          <w:ilvl w:val="0"/>
          <w:numId w:val="24"/>
        </w:numPr>
      </w:pPr>
      <w:r>
        <w:rPr>
          <w:b/>
          <w:i w:val="0"/>
        </w:rPr>
        <w:t>Pengendalian risiko</w:t>
      </w:r>
      <w:r>
        <w:rPr>
          <w:b w:val="0"/>
          <w:i w:val="0"/>
        </w:rPr>
        <w:t xml:space="preserve"> – Gap Analysis menyoroti deviasi antara kondisi aktual dan target KPI (availability ≥ 99,9 %, churn ≤ 2 %) serta ketergantungan pada ekosistem perangkat (Data Internal, 2026). Pendekatan ini memenuhi regulasi good governance yang menuntut transparansi dan akuntabilitas (kominfo.jatimprov.go.id, 2026).</w:t>
      </w:r>
    </w:p>
    <w:p>
      <w:pPr>
        <w:pStyle w:val="ListNumber"/>
        <w:spacing w:before="0" w:after="80"/>
        <w:numPr>
          <w:ilvl w:val="0"/>
          <w:numId w:val="24"/>
        </w:numPr>
      </w:pPr>
      <w:r>
        <w:rPr>
          <w:b/>
          <w:i w:val="0"/>
        </w:rPr>
        <w:t>Kecepatan eksekusi</w:t>
      </w:r>
      <w:r>
        <w:rPr>
          <w:b w:val="0"/>
          <w:i w:val="0"/>
        </w:rPr>
        <w:t xml:space="preserve"> – Deliverable terdefinisi pada tiap fase memungkinkan rekomendasi terukur dalam 7 bulan, menghindari “analysis paralysis” dan mempercepat keputusan lintas unit.</w:t>
      </w:r>
    </w:p>
    <w:p>
      <w:r>
        <w:rPr>
          <w:b w:val="0"/>
          <w:i w:val="0"/>
        </w:rPr>
        <w:t>Dengan metodologi ini, setiap langkah dapat di‑track secara kuantitatif untuk meningkatkan</w:t>
      </w:r>
      <w:r>
        <w:rPr>
          <w:b/>
          <w:i w:val="0"/>
        </w:rPr>
        <w:t xml:space="preserve"> network availability</w:t>
      </w:r>
      <w:r>
        <w:rPr>
          <w:b w:val="0"/>
          <w:i w:val="0"/>
        </w:rPr>
        <w:t>, menurunkan</w:t>
      </w:r>
      <w:r>
        <w:rPr>
          <w:b/>
          <w:i w:val="0"/>
        </w:rPr>
        <w:t xml:space="preserve"> customer churn</w:t>
      </w:r>
      <w:r>
        <w:rPr>
          <w:b w:val="0"/>
          <w:i w:val="0"/>
        </w:rPr>
        <w:t>, dan mengoptimalkan</w:t>
      </w:r>
      <w:r>
        <w:rPr>
          <w:b/>
          <w:i w:val="0"/>
        </w:rPr>
        <w:t xml:space="preserve"> efficiency</w:t>
      </w:r>
      <w:r>
        <w:rPr>
          <w:b w:val="0"/>
          <w:i w:val="0"/>
        </w:rPr>
        <w:t xml:space="preserve"> operasional, selaras dengan target KPI yang telah ditetapkan.</w:t>
      </w:r>
    </w:p>
    <w:p>
      <w:pPr>
        <w:pStyle w:val="Heading2"/>
      </w:pPr>
      <w:r>
        <w:rPr>
          <w:rFonts w:ascii="Arial" w:hAnsi="Arial"/>
          <w:b/>
          <w:color w:val="5E6146"/>
        </w:rPr>
        <w:t>5.2 Langkah Kerja dengan Framework Terpilih</w:t>
      </w:r>
    </w:p>
    <w:p>
      <w:r>
        <w:rPr>
          <w:b w:val="0"/>
          <w:i w:val="0"/>
        </w:rPr>
        <w:t>Berikut alur kerja yang akan dijalankan, disajikan dalam bentuk fase → aktivitas → output yang dapat diverifikasi oleh Board Telkomsel.</w:t>
      </w:r>
    </w:p>
    <w:p>
      <w:pPr>
        <w:pStyle w:val="ListBullet"/>
        <w:spacing w:before="0" w:after="80"/>
        <w:numPr>
          <w:ilvl w:val="0"/>
          <w:numId w:val="25"/>
        </w:numPr>
      </w:pPr>
      <w:r>
        <w:rPr>
          <w:b/>
          <w:i w:val="0"/>
        </w:rPr>
        <w:t>Fase 1 – Data Gathering</w:t>
      </w:r>
    </w:p>
    <w:p>
      <w:pPr>
        <w:pStyle w:val="ListBullet"/>
        <w:spacing w:before="0" w:after="80"/>
        <w:numPr>
          <w:ilvl w:val="0"/>
          <w:numId w:val="25"/>
        </w:numPr>
      </w:pPr>
      <w:r>
        <w:rPr>
          <w:b w:val="0"/>
          <w:i/>
        </w:rPr>
        <w:t>Aktivitas</w:t>
      </w:r>
    </w:p>
    <w:p>
      <w:pPr>
        <w:pStyle w:val="ListBullet"/>
        <w:spacing w:before="0" w:after="80"/>
        <w:numPr>
          <w:ilvl w:val="0"/>
          <w:numId w:val="25"/>
        </w:numPr>
      </w:pPr>
      <w:r>
        <w:rPr>
          <w:b w:val="0"/>
          <w:i w:val="0"/>
        </w:rPr>
        <w:t>Wawancara stakeholder (NOC, Business Development, Finance).</w:t>
      </w:r>
    </w:p>
    <w:p>
      <w:pPr>
        <w:pStyle w:val="ListBullet"/>
        <w:spacing w:before="0" w:after="80"/>
        <w:numPr>
          <w:ilvl w:val="0"/>
          <w:numId w:val="25"/>
        </w:numPr>
      </w:pPr>
      <w:r>
        <w:rPr>
          <w:b w:val="0"/>
          <w:i w:val="0"/>
        </w:rPr>
        <w:t>Ekstraksi log jaringan, SLA, dan laporan churn 12 bulan terakhir.</w:t>
      </w:r>
    </w:p>
    <w:p>
      <w:pPr>
        <w:pStyle w:val="ListBullet"/>
        <w:spacing w:before="0" w:after="80"/>
        <w:numPr>
          <w:ilvl w:val="0"/>
          <w:numId w:val="25"/>
        </w:numPr>
      </w:pPr>
      <w:r>
        <w:rPr>
          <w:b w:val="0"/>
          <w:i w:val="0"/>
        </w:rPr>
        <w:t>Pengumpulan dokumen kebijakan keamanan (ISO 27001) dan proses layanan (ITIL).</w:t>
      </w:r>
    </w:p>
    <w:p>
      <w:pPr>
        <w:pStyle w:val="ListBullet"/>
        <w:spacing w:before="0" w:after="80"/>
        <w:numPr>
          <w:ilvl w:val="0"/>
          <w:numId w:val="25"/>
        </w:numPr>
      </w:pPr>
      <w:r>
        <w:rPr>
          <w:b w:val="0"/>
          <w:i/>
        </w:rPr>
        <w:t>Output</w:t>
      </w:r>
    </w:p>
    <w:p>
      <w:pPr>
        <w:pStyle w:val="ListBullet"/>
        <w:spacing w:before="0" w:after="80"/>
        <w:numPr>
          <w:ilvl w:val="0"/>
          <w:numId w:val="25"/>
        </w:numPr>
      </w:pPr>
      <w:r>
        <w:rPr>
          <w:b w:val="0"/>
          <w:i w:val="0"/>
        </w:rPr>
        <w:t>Repository data terstruktur (CSV/SQL).</w:t>
      </w:r>
    </w:p>
    <w:p>
      <w:pPr>
        <w:pStyle w:val="ListBullet"/>
        <w:spacing w:before="0" w:after="80"/>
        <w:numPr>
          <w:ilvl w:val="0"/>
          <w:numId w:val="25"/>
        </w:numPr>
      </w:pPr>
      <w:r>
        <w:rPr>
          <w:b w:val="0"/>
          <w:i w:val="0"/>
        </w:rPr>
        <w:t>Matriks RACI stakeholder‑responsibility.</w:t>
      </w:r>
    </w:p>
    <w:p>
      <w:pPr>
        <w:pStyle w:val="ListBullet"/>
        <w:spacing w:before="0" w:after="80"/>
        <w:numPr>
          <w:ilvl w:val="0"/>
          <w:numId w:val="25"/>
        </w:numPr>
      </w:pPr>
      <w:r>
        <w:rPr>
          <w:b/>
          <w:i w:val="0"/>
        </w:rPr>
        <w:t>Fase 2 – As‑Is Analysis</w:t>
      </w:r>
    </w:p>
    <w:p>
      <w:pPr>
        <w:pStyle w:val="ListBullet"/>
        <w:spacing w:before="0" w:after="80"/>
        <w:numPr>
          <w:ilvl w:val="0"/>
          <w:numId w:val="25"/>
        </w:numPr>
      </w:pPr>
      <w:r>
        <w:rPr>
          <w:b w:val="0"/>
          <w:i/>
        </w:rPr>
        <w:t>Aktivitas</w:t>
      </w:r>
    </w:p>
    <w:p>
      <w:pPr>
        <w:pStyle w:val="ListBullet"/>
        <w:spacing w:before="0" w:after="80"/>
        <w:numPr>
          <w:ilvl w:val="0"/>
          <w:numId w:val="25"/>
        </w:numPr>
      </w:pPr>
      <w:r>
        <w:rPr>
          <w:b w:val="0"/>
          <w:i w:val="0"/>
        </w:rPr>
        <w:t>Pemodelan proses end‑to‑end dengan BPMN (TOGAF ADM).</w:t>
      </w:r>
    </w:p>
    <w:p>
      <w:pPr>
        <w:pStyle w:val="ListBullet"/>
        <w:spacing w:before="0" w:after="80"/>
        <w:numPr>
          <w:ilvl w:val="0"/>
          <w:numId w:val="25"/>
        </w:numPr>
      </w:pPr>
      <w:r>
        <w:rPr>
          <w:b w:val="0"/>
          <w:i w:val="0"/>
        </w:rPr>
        <w:t>Benchmark network availability vs. target (baseline 5 % YoY growth, target 25 % YoY).</w:t>
      </w:r>
    </w:p>
    <w:p>
      <w:pPr>
        <w:pStyle w:val="ListBullet"/>
        <w:spacing w:before="0" w:after="80"/>
        <w:numPr>
          <w:ilvl w:val="0"/>
          <w:numId w:val="25"/>
        </w:numPr>
      </w:pPr>
      <w:r>
        <w:rPr>
          <w:b w:val="0"/>
          <w:i w:val="0"/>
        </w:rPr>
        <w:t>Identifikasi kontrol risiko (COBIT 5 – EDM01).</w:t>
      </w:r>
    </w:p>
    <w:p>
      <w:pPr>
        <w:pStyle w:val="ListBullet"/>
        <w:spacing w:before="0" w:after="80"/>
        <w:numPr>
          <w:ilvl w:val="0"/>
          <w:numId w:val="25"/>
        </w:numPr>
      </w:pPr>
      <w:r>
        <w:rPr>
          <w:b w:val="0"/>
          <w:i/>
        </w:rPr>
        <w:t>Output</w:t>
      </w:r>
    </w:p>
    <w:p>
      <w:pPr>
        <w:pStyle w:val="ListBullet"/>
        <w:spacing w:before="0" w:after="80"/>
        <w:numPr>
          <w:ilvl w:val="0"/>
          <w:numId w:val="25"/>
        </w:numPr>
      </w:pPr>
      <w:r>
        <w:rPr>
          <w:b w:val="0"/>
          <w:i w:val="0"/>
        </w:rPr>
        <w:t>Blueprint arsitektur layanan saat ini.</w:t>
      </w:r>
    </w:p>
    <w:p>
      <w:pPr>
        <w:pStyle w:val="ListBullet"/>
        <w:spacing w:before="0" w:after="80"/>
        <w:numPr>
          <w:ilvl w:val="0"/>
          <w:numId w:val="25"/>
        </w:numPr>
      </w:pPr>
      <w:r>
        <w:rPr>
          <w:b w:val="0"/>
          <w:i w:val="0"/>
        </w:rPr>
        <w:t>Dashboard KPI (availability, churn, MTTR).</w:t>
      </w:r>
    </w:p>
    <w:p>
      <w:pPr>
        <w:pStyle w:val="ListBullet"/>
        <w:spacing w:before="0" w:after="80"/>
        <w:numPr>
          <w:ilvl w:val="0"/>
          <w:numId w:val="25"/>
        </w:numPr>
      </w:pPr>
      <w:r>
        <w:rPr>
          <w:b/>
          <w:i w:val="0"/>
        </w:rPr>
        <w:t>Fase 3 – Gap Analysis</w:t>
      </w:r>
    </w:p>
    <w:p>
      <w:pPr>
        <w:pStyle w:val="ListBullet"/>
        <w:spacing w:before="0" w:after="80"/>
        <w:numPr>
          <w:ilvl w:val="0"/>
          <w:numId w:val="25"/>
        </w:numPr>
      </w:pPr>
      <w:r>
        <w:rPr>
          <w:b w:val="0"/>
          <w:i/>
        </w:rPr>
        <w:t>Aktivitas</w:t>
      </w:r>
    </w:p>
    <w:p>
      <w:pPr>
        <w:pStyle w:val="ListBullet"/>
        <w:spacing w:before="0" w:after="80"/>
        <w:numPr>
          <w:ilvl w:val="0"/>
          <w:numId w:val="25"/>
        </w:numPr>
      </w:pPr>
      <w:r>
        <w:rPr>
          <w:b w:val="0"/>
          <w:i w:val="0"/>
        </w:rPr>
        <w:t>Perbandingan blueprint As‑Is dengan standar TOGAF/ITIL/COBIT.</w:t>
      </w:r>
    </w:p>
    <w:p>
      <w:pPr>
        <w:pStyle w:val="ListBullet"/>
        <w:spacing w:before="0" w:after="80"/>
        <w:numPr>
          <w:ilvl w:val="0"/>
          <w:numId w:val="25"/>
        </w:numPr>
      </w:pPr>
      <w:r>
        <w:rPr>
          <w:b w:val="0"/>
          <w:i w:val="0"/>
        </w:rPr>
        <w:t>Penilaian dampak gap pada SLA, biaya</w:t>
      </w:r>
    </w:p>
    <w:p>
      <w:r>
        <w:rPr>
          <w:b w:val="0"/>
          <w:i w:val="0"/>
        </w:rPr>
        <w:t>Untuk Telkomsel, isi bab ini harus dibaca sebagai dasar keputusan kerja yang dapat ditindaklanjuti, bukan sekadar penjelasan konseptual. Karena itu, isi bab tetap diarahkan untuk menjaga relevansi terhadap KPI seperti Service availability dan pengalaman pelanggan meningkat dalam 7 bulan. | Churn pelanggan menurun dan quality of service membaik dalam 7 bulan. dan istilah kerja subscriber, network availability.</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rPr>
          <w:b w:val="0"/>
          <w:i w:val="0"/>
        </w:rPr>
        <w:t>Secara praktis, hal ini membantu Telkomsel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Telkomsel. Artinya, isi bab tidak berhenti pada deskripsi, tetapi tetap menunjukkan keterkaitan antara keputusan kerja, KPI Service availability dan pengalaman pelanggan meningkat dalam 7 bulan. | Churn pelanggan menurun dan quality of service membaik dalam 7 bulan., bahasa operasional subscriber, network availability, dan konteks inisiatif yang sedang dijalankan.</w:t>
      </w:r>
    </w:p>
    <w:p>
      <w:r>
        <w:rPr>
          <w:b w:val="0"/>
          <w:i w:val="0"/>
        </w:rPr>
        <w:t>Penajaman tambahan ini memastikan bab tetap berguna untuk pengambilan keputusan Telkomsel. Isi bab harus tetap menjelaskan implikasi kerja, konsekuensi pada KPI Service availability dan pengalaman pelanggan meningkat dalam 7 bulan. | Churn pelanggan menurun dan quality of service membaik dalam 7 bulan., dan bagaimana langkah eksekusinya dijaga tetap konsisten dengan istilah operasional subscriber, network availability.</w:t>
      </w:r>
    </w:p>
    <w:p>
      <w:r>
        <w:rPr>
          <w:b w:val="0"/>
          <w:i w:val="0"/>
        </w:rPr>
        <w:t>Penajaman tambahan ini memastikan bab tetap berguna untuk pengambilan keputusan Telkomsel. Isi bab harus tetap menjelaskan implikasi kerja, konsekuensi pada KPI Service availability dan pengalaman pelanggan meningkat dalam 7 bulan. | Churn pelanggan menurun dan quality of service membaik dalam 7 bulan., dan bagaimana langkah eksekusinya dijaga tetap konsisten dengan istilah operasional subscriber, network availability.</w:t>
      </w:r>
    </w:p>
    <w:p>
      <w:r>
        <w:br w:type="page"/>
      </w:r>
    </w:p>
    <w:p>
      <w:pPr>
        <w:pStyle w:val="Heading1"/>
        <w:jc w:val="center"/>
      </w:pPr>
      <w:r>
        <w:rPr>
          <w:color w:val="5E6146"/>
        </w:rPr>
        <w:t>BAB VI – SOLUTION DESIGN</w:t>
      </w:r>
    </w:p>
    <w:p>
      <w:r>
        <w:rPr>
          <w:b w:val="0"/>
          <w:i w:val="0"/>
        </w:rPr>
        <w:t>Solution design untuk Telkomsel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4: penguatan tata kelola delivery, percepatan keputusan lintas unit, dan penyusunan roadmap eksekusi yang lebih... secara nyata. Dengan pendekatan ini, desain solusi tetap terhubung ke KPI seperti Service availability dan pengalaman pelanggan meningkat dalam 7 bulan. | Churn pelanggan menurun dan quality of service membaik dalam 7 bulan. | Efisiensi operasi network support meningkat dalam 7 bulan., sekaligus menjaga nilai proposal tetap terasa konkret dan dapat dijalankan (Data Internal, 2026).</w:t>
      </w:r>
    </w:p>
    <w:p>
      <w:pPr>
        <w:pStyle w:val="Heading2"/>
      </w:pPr>
      <w:r>
        <w:rPr>
          <w:rFonts w:ascii="Arial" w:hAnsi="Arial"/>
          <w:b/>
          <w:color w:val="5E6146"/>
        </w:rPr>
        <w:t>6.1 Solusi/Output Metodologi yang Dibangun</w:t>
      </w:r>
    </w:p>
    <w:p>
      <w:r>
        <w:rPr>
          <w:b w:val="0"/>
          <w:i w:val="0"/>
        </w:rPr>
        <w:t>Solusi yang ditawarkan diarahkan untuk membantu Telkomsel bergerak dari kebutuhan opportunity menuju kondisi target yang lebih terukur. Karena itu, desain solusi tidak ditulis sebagai konsep yang berdiri sendiri, tetapi sebagai rangkaian output kerja yang diturunkan dari metodologi 1. Data Gathering 2. As-Is Analysis 3. Gap Analysis 4. Diagnostic Report. - Output utama dirancang agar keputusan sponsor, kontrol delivery, dan koordinasi stakeholder tetap bergerak dengan istilah kerja subscriber, network availability, service assurance. - Target state yang dibangun harus tetap selaras dengan manfaat yang dijanjikan, terutama baseline kondisi saat ini yang rapi, prioritas masalah yang lebih tajam, arah keputusan lanjutan yang lebih aman. - Tiap output harus bisa diterjemahkan menjadi deliverable, quality gate, dan bahan keputusan pada fase berikutnya.</w:t>
      </w:r>
    </w:p>
    <w:p>
      <w:pPr>
        <w:pStyle w:val="Heading2"/>
      </w:pPr>
      <w:r>
        <w:rPr>
          <w:rFonts w:ascii="Arial" w:hAnsi="Arial"/>
          <w:b/>
          <w:color w:val="5E614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assessment report, baseline gap, dan rekomendasi prioritas</w:t>
            </w:r>
          </w:p>
        </w:tc>
        <w:tc>
          <w:tcPr>
            <w:tcW w:type="dxa" w:w="3120"/>
          </w:tcPr>
          <w:p>
            <w:r>
              <w:rPr>
                <w:b w:val="0"/>
                <w:i w:val="0"/>
              </w:rPr>
              <w:t>memberi gambaran kondisi saat ini dan area intervensi utama</w:t>
            </w:r>
          </w:p>
        </w:tc>
      </w:tr>
      <w:tr>
        <w:tc>
          <w:tcPr>
            <w:tcW w:type="dxa" w:w="3120"/>
          </w:tcPr>
          <w:p>
            <w:r>
              <w:rPr>
                <w:b w:val="0"/>
                <w:i w:val="0"/>
              </w:rPr>
              <w:t>Pendampingan</w:t>
            </w:r>
          </w:p>
        </w:tc>
        <w:tc>
          <w:tcPr>
            <w:tcW w:type="dxa" w:w="3120"/>
          </w:tcPr>
          <w:p>
            <w:r>
              <w:rPr>
                <w:b w:val="0"/>
                <w:i w:val="0"/>
              </w:rPr>
              <w:t>sesi validasi temuan dan penajaman prioritas</w:t>
            </w:r>
          </w:p>
        </w:tc>
        <w:tc>
          <w:tcPr>
            <w:tcW w:type="dxa" w:w="3120"/>
          </w:tcPr>
          <w:p>
            <w:r>
              <w:rPr>
                <w:b w:val="0"/>
                <w:i w:val="0"/>
              </w:rPr>
              <w:t>menyatukan persepsi sponsor terhadap masalah inti</w:t>
            </w:r>
          </w:p>
        </w:tc>
      </w:tr>
      <w:tr>
        <w:tc>
          <w:tcPr>
            <w:tcW w:type="dxa" w:w="3120"/>
          </w:tcPr>
          <w:p>
            <w:r>
              <w:rPr>
                <w:b w:val="0"/>
                <w:i w:val="0"/>
              </w:rPr>
              <w:t>Kegiatan</w:t>
            </w:r>
          </w:p>
        </w:tc>
        <w:tc>
          <w:tcPr>
            <w:tcW w:type="dxa" w:w="3120"/>
          </w:tcPr>
          <w:p>
            <w:r>
              <w:rPr>
                <w:b w:val="0"/>
                <w:i w:val="0"/>
              </w:rPr>
              <w:t>interview, workshop, dan review temuan</w:t>
            </w:r>
          </w:p>
        </w:tc>
        <w:tc>
          <w:tcPr>
            <w:tcW w:type="dxa" w:w="3120"/>
          </w:tcPr>
          <w:p>
            <w:r>
              <w:rPr>
                <w:b w:val="0"/>
                <w:i w:val="0"/>
              </w:rPr>
              <w:t>mengumpulkan bukti dan memvalidasi akar persoalan</w:t>
            </w:r>
          </w:p>
        </w:tc>
      </w:tr>
    </w:tbl>
    <w:p>
      <w:r>
        <w:rPr>
          <w:b w:val="0"/>
          <w:i w:val="0"/>
        </w:rPr>
        <w:t>Dengan struktur keluaran seperti ini, Telkomsel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7"/>
        </w:numPr>
      </w:pPr>
      <w:r>
        <w:rPr>
          <w:b w:val="0"/>
          <w:i w:val="0"/>
        </w:rPr>
        <w:t>Prioritas implementasi untuk Telkomsel diarahkan agar tetap selaras dengan Service availability dan pengalaman pelanggan meningkat dalam 7 bulan. | Churn pelanggan menurun dan quality of service membaik dalam 7 bulan..</w:t>
      </w:r>
    </w:p>
    <w:p>
      <w:pPr>
        <w:pStyle w:val="ListNumber"/>
        <w:spacing w:before="0" w:after="80"/>
        <w:numPr>
          <w:ilvl w:val="0"/>
          <w:numId w:val="27"/>
        </w:numPr>
      </w:pPr>
      <w:r>
        <w:rPr>
          <w:b w:val="0"/>
          <w:i w:val="0"/>
        </w:rPr>
        <w:t>Keputusan delivery dan quality gate pada bab ini harus konsisten dengan istilah kerja subscriber, network availability.</w:t>
      </w:r>
    </w:p>
    <w:p>
      <w:r>
        <w:br w:type="page"/>
      </w:r>
    </w:p>
    <w:p>
      <w:pPr>
        <w:pStyle w:val="Heading1"/>
        <w:jc w:val="center"/>
      </w:pPr>
      <w:r>
        <w:rPr>
          <w:color w:val="5E6146"/>
        </w:rPr>
        <w:t>BAB VII – RUANG LINGKUP PEKERJAAN</w:t>
      </w:r>
    </w:p>
    <w:p>
      <w:r>
        <w:rPr>
          <w:b w:val="0"/>
          <w:i w:val="0"/>
        </w:rPr>
        <w:t>Ruang lingkup pekerjaan untuk Telkomsel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5E614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4: penguatan tata kelola delivery, percepatan keputusan... dan ruang problem yang direspons sudah selaras</w:t>
            </w:r>
          </w:p>
        </w:tc>
        <w:tc>
          <w:tcPr>
            <w:tcW w:type="dxa" w:w="2340"/>
          </w:tcPr>
          <w:p>
            <w:r>
              <w:rPr>
                <w:b w:val="0"/>
                <w:i w:val="0"/>
              </w:rPr>
              <w:t>assessment report, baseline gap, dan rekomendasi prioritas</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4: prioritas kerja masih tersebar, koordinasi bisnis-teknologi belum konsisten... ke solusi, prioritas, dan kontrol delivery</w:t>
            </w:r>
          </w:p>
        </w:tc>
        <w:tc>
          <w:tcPr>
            <w:tcW w:type="dxa" w:w="2340"/>
          </w:tcPr>
          <w:p>
            <w:r>
              <w:rPr>
                <w:b w:val="0"/>
                <w:i w:val="0"/>
              </w:rPr>
              <w:t>sesi validasi temuan dan penajaman prioritas</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interview, workshop, dan review temuan</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opportunity dan tidak melebar ke area yang belum menjadi prioritas keputusan Telkomsel. Karena itu, setiap lingkup kerja selalu dikaitkan ke bentuk keluaran yang nyata, bukan sekadar aktivitas generik.</w:t>
      </w:r>
    </w:p>
    <w:p>
      <w:pPr>
        <w:pStyle w:val="Heading2"/>
      </w:pPr>
      <w:r>
        <w:rPr>
          <w:rFonts w:ascii="Arial" w:hAnsi="Arial"/>
          <w:b/>
          <w:color w:val="5E6146"/>
        </w:rPr>
        <w:t>7.2 Batasan Pekerjaan dan Asumsi</w:t>
      </w:r>
    </w:p>
    <w:p>
      <w:pPr>
        <w:pStyle w:val="ListNumber"/>
        <w:spacing w:before="0" w:after="80"/>
        <w:numPr>
          <w:ilvl w:val="0"/>
          <w:numId w:val="28"/>
        </w:numPr>
      </w:pPr>
      <w:r>
        <w:rPr>
          <w:b w:val="0"/>
          <w:i w:val="0"/>
        </w:rPr>
        <w:t>Prioritas implementasi untuk Telkomsel diarahkan agar tetap selaras dengan Service availability dan pengalaman pelanggan meningkat dalam 7 bulan. | Churn pelanggan menurun dan quality of service membaik dalam 7 bulan..</w:t>
      </w:r>
    </w:p>
    <w:p>
      <w:pPr>
        <w:pStyle w:val="ListNumber"/>
        <w:spacing w:before="0" w:after="80"/>
        <w:numPr>
          <w:ilvl w:val="0"/>
          <w:numId w:val="28"/>
        </w:numPr>
      </w:pPr>
      <w:r>
        <w:rPr>
          <w:b w:val="0"/>
          <w:i w:val="0"/>
        </w:rPr>
        <w:t>Keputusan delivery dan quality gate pada bab ini harus konsisten dengan istilah kerja subscriber, network availability. - Konteks Telkomsel tetap menjadi acuan utama agar isi bab tidak bergeser menjadi generik. - Setiap butir pada bab ini harus bisa ditelusuri ke KPI, risiko, atau keputusan kerja yang nyata.</w:t>
      </w:r>
    </w:p>
    <w:p>
      <w:r>
        <w:br w:type="page"/>
      </w:r>
    </w:p>
    <w:p>
      <w:pPr>
        <w:pStyle w:val="Heading1"/>
        <w:jc w:val="center"/>
      </w:pPr>
      <w:r>
        <w:rPr>
          <w:color w:val="5E6146"/>
        </w:rPr>
        <w:t>BAB VIII – TIMELINE PEKERJAAN</w:t>
      </w:r>
    </w:p>
    <w:p>
      <w:r>
        <w:drawing>
          <wp:inline xmlns:a="http://schemas.openxmlformats.org/drawingml/2006/main" xmlns:pic="http://schemas.openxmlformats.org/drawingml/2006/picture">
            <wp:extent cx="5486400" cy="25401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0160"/>
                    </a:xfrm>
                    <a:prstGeom prst="rect"/>
                  </pic:spPr>
                </pic:pic>
              </a:graphicData>
            </a:graphic>
          </wp:inline>
        </w:drawing>
      </w:r>
    </w:p>
    <w:p>
      <w:r>
        <w:rPr>
          <w:b w:val="0"/>
          <w:i w:val="0"/>
        </w:rPr>
        <w:t>Untuk Telkomsel, timeline pekerjaan disusun agar inisiatif Gelombang uji beban 4: penguatan tata kelola delivery, percepatan keputusan lintas unit, dan penyusunan roadmap eksekusi yang lebih... dapat bergerak stabil selama 7 Bulan.</w:t>
      </w:r>
    </w:p>
    <w:p>
      <w:pPr>
        <w:pStyle w:val="Heading2"/>
      </w:pPr>
      <w:r>
        <w:rPr>
          <w:rFonts w:ascii="Arial" w:hAnsi="Arial"/>
          <w:b/>
          <w:color w:val="5E6146"/>
        </w:rPr>
        <w:t>8.1 Aktivitas per Fase</w:t>
      </w:r>
    </w:p>
    <w:p>
      <w:pPr>
        <w:pStyle w:val="ListNumber"/>
        <w:spacing w:before="0" w:after="80"/>
        <w:numPr>
          <w:ilvl w:val="0"/>
          <w:numId w:val="29"/>
        </w:numPr>
      </w:pPr>
      <w:r>
        <w:rPr>
          <w:b/>
          <w:i w:val="0"/>
        </w:rPr>
        <w:t>Discovery &amp; Baseline</w:t>
      </w:r>
      <w:r>
        <w:rPr>
          <w:b w:val="0"/>
          <w:i w:val="0"/>
        </w:rPr>
        <w:t xml:space="preserve"> (Bulan 1-2): Baca konteks bisnis, data, dan pain points prioritas. Output utama: baseline assessment dan hipotesis awal.</w:t>
      </w:r>
    </w:p>
    <w:p>
      <w:pPr>
        <w:pStyle w:val="ListNumber"/>
        <w:spacing w:before="0" w:after="80"/>
        <w:numPr>
          <w:ilvl w:val="0"/>
          <w:numId w:val="29"/>
        </w:numPr>
      </w:pPr>
      <w:r>
        <w:rPr>
          <w:b/>
          <w:i w:val="0"/>
        </w:rPr>
        <w:t>As-Is Review</w:t>
      </w:r>
      <w:r>
        <w:rPr>
          <w:b w:val="0"/>
          <w:i w:val="0"/>
        </w:rPr>
        <w:t xml:space="preserve"> (Bulan 3-4): Petakan proses, kontrol, dan gap pada kondisi berjalan. Output utama: as-is findings dan prioritas gap.</w:t>
      </w:r>
    </w:p>
    <w:p>
      <w:pPr>
        <w:pStyle w:val="ListNumber"/>
        <w:spacing w:before="0" w:after="80"/>
        <w:numPr>
          <w:ilvl w:val="0"/>
          <w:numId w:val="29"/>
        </w:numPr>
      </w:pPr>
      <w:r>
        <w:rPr>
          <w:b/>
          <w:i w:val="0"/>
        </w:rPr>
        <w:t>Analisis Opsi</w:t>
      </w:r>
      <w:r>
        <w:rPr>
          <w:b w:val="0"/>
          <w:i w:val="0"/>
        </w:rPr>
        <w:t xml:space="preserve"> (Bulan 5-6): Susun opsi intervensi yang realistis dan terukur. Output utama: opsi perbaikan dan quick wins.</w:t>
      </w:r>
    </w:p>
    <w:p>
      <w:pPr>
        <w:pStyle w:val="ListNumber"/>
        <w:spacing w:before="0" w:after="80"/>
        <w:numPr>
          <w:ilvl w:val="0"/>
          <w:numId w:val="29"/>
        </w:numPr>
      </w:pPr>
      <w:r>
        <w:rPr>
          <w:b/>
          <w:i w:val="0"/>
        </w:rPr>
        <w:t>Final Recommendation</w:t>
      </w:r>
      <w:r>
        <w:rPr>
          <w:b w:val="0"/>
          <w:i w:val="0"/>
        </w:rPr>
        <w:t xml:space="preserve"> (Bulan 7): Konsolidasikan rekomendasi, roadmap, dan keputusan lanjutan. Output utama: report akhir dan arahan eksekusi.</w:t>
      </w:r>
    </w:p>
    <w:p>
      <w:pPr>
        <w:pStyle w:val="Heading2"/>
      </w:pPr>
      <w:r>
        <w:rPr>
          <w:rFonts w:ascii="Arial" w:hAnsi="Arial"/>
          <w:b/>
          <w:color w:val="5E614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Telkomsel.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Discovery &amp; Baseline</w:t>
            </w:r>
          </w:p>
        </w:tc>
        <w:tc>
          <w:tcPr>
            <w:tcW w:type="dxa" w:w="2340"/>
          </w:tcPr>
          <w:p>
            <w:r>
              <w:rPr>
                <w:b w:val="0"/>
                <w:i w:val="0"/>
              </w:rPr>
              <w:t>Bulan 1-2</w:t>
            </w:r>
          </w:p>
        </w:tc>
        <w:tc>
          <w:tcPr>
            <w:tcW w:type="dxa" w:w="2340"/>
          </w:tcPr>
          <w:p>
            <w:r>
              <w:rPr>
                <w:b w:val="0"/>
                <w:i w:val="0"/>
              </w:rPr>
              <w:t>baseline assessment dan hipotesis awal</w:t>
            </w:r>
          </w:p>
        </w:tc>
        <w:tc>
          <w:tcPr>
            <w:tcW w:type="dxa" w:w="2340"/>
          </w:tcPr>
          <w:p>
            <w:r>
              <w:rPr>
                <w:b w:val="0"/>
                <w:i w:val="0"/>
              </w:rPr>
              <w:t>Menjaga progres opportunity</w:t>
            </w:r>
          </w:p>
        </w:tc>
      </w:tr>
      <w:tr>
        <w:tc>
          <w:tcPr>
            <w:tcW w:type="dxa" w:w="2340"/>
          </w:tcPr>
          <w:p>
            <w:r>
              <w:rPr>
                <w:b w:val="0"/>
                <w:i w:val="0"/>
              </w:rPr>
              <w:t>As-Is Review</w:t>
            </w:r>
          </w:p>
        </w:tc>
        <w:tc>
          <w:tcPr>
            <w:tcW w:type="dxa" w:w="2340"/>
          </w:tcPr>
          <w:p>
            <w:r>
              <w:rPr>
                <w:b w:val="0"/>
                <w:i w:val="0"/>
              </w:rPr>
              <w:t>Bulan 3-4</w:t>
            </w:r>
          </w:p>
        </w:tc>
        <w:tc>
          <w:tcPr>
            <w:tcW w:type="dxa" w:w="2340"/>
          </w:tcPr>
          <w:p>
            <w:r>
              <w:rPr>
                <w:b w:val="0"/>
                <w:i w:val="0"/>
              </w:rPr>
              <w:t>as-is findings dan prioritas gap</w:t>
            </w:r>
          </w:p>
        </w:tc>
        <w:tc>
          <w:tcPr>
            <w:tcW w:type="dxa" w:w="2340"/>
          </w:tcPr>
          <w:p>
            <w:r>
              <w:rPr>
                <w:b w:val="0"/>
                <w:i w:val="0"/>
              </w:rPr>
              <w:t>Menjaga progres opportunity</w:t>
            </w:r>
          </w:p>
        </w:tc>
      </w:tr>
      <w:tr>
        <w:tc>
          <w:tcPr>
            <w:tcW w:type="dxa" w:w="2340"/>
          </w:tcPr>
          <w:p>
            <w:r>
              <w:rPr>
                <w:b w:val="0"/>
                <w:i w:val="0"/>
              </w:rPr>
              <w:t>Analisis Opsi</w:t>
            </w:r>
          </w:p>
        </w:tc>
        <w:tc>
          <w:tcPr>
            <w:tcW w:type="dxa" w:w="2340"/>
          </w:tcPr>
          <w:p>
            <w:r>
              <w:rPr>
                <w:b w:val="0"/>
                <w:i w:val="0"/>
              </w:rPr>
              <w:t>Bulan 5-6</w:t>
            </w:r>
          </w:p>
        </w:tc>
        <w:tc>
          <w:tcPr>
            <w:tcW w:type="dxa" w:w="2340"/>
          </w:tcPr>
          <w:p>
            <w:r>
              <w:rPr>
                <w:b w:val="0"/>
                <w:i w:val="0"/>
              </w:rPr>
              <w:t>opsi perbaikan dan quick wins</w:t>
            </w:r>
          </w:p>
        </w:tc>
        <w:tc>
          <w:tcPr>
            <w:tcW w:type="dxa" w:w="2340"/>
          </w:tcPr>
          <w:p>
            <w:r>
              <w:rPr>
                <w:b w:val="0"/>
                <w:i w:val="0"/>
              </w:rPr>
              <w:t>Menjaga progres opportunity</w:t>
            </w:r>
          </w:p>
        </w:tc>
      </w:tr>
      <w:tr>
        <w:tc>
          <w:tcPr>
            <w:tcW w:type="dxa" w:w="2340"/>
          </w:tcPr>
          <w:p>
            <w:r>
              <w:rPr>
                <w:b w:val="0"/>
                <w:i w:val="0"/>
              </w:rPr>
              <w:t>Final Recommendation</w:t>
            </w:r>
          </w:p>
        </w:tc>
        <w:tc>
          <w:tcPr>
            <w:tcW w:type="dxa" w:w="2340"/>
          </w:tcPr>
          <w:p>
            <w:r>
              <w:rPr>
                <w:b w:val="0"/>
                <w:i w:val="0"/>
              </w:rPr>
              <w:t>Bulan 7</w:t>
            </w:r>
          </w:p>
        </w:tc>
        <w:tc>
          <w:tcPr>
            <w:tcW w:type="dxa" w:w="2340"/>
          </w:tcPr>
          <w:p>
            <w:r>
              <w:rPr>
                <w:b w:val="0"/>
                <w:i w:val="0"/>
              </w:rPr>
              <w:t>report akhir dan arahan eksekusi</w:t>
            </w:r>
          </w:p>
        </w:tc>
        <w:tc>
          <w:tcPr>
            <w:tcW w:type="dxa" w:w="2340"/>
          </w:tcPr>
          <w:p>
            <w:r>
              <w:rPr>
                <w:b w:val="0"/>
                <w:i w:val="0"/>
              </w:rPr>
              <w:t>Menjaga progres opportunity</w:t>
            </w:r>
          </w:p>
        </w:tc>
      </w:tr>
      <w:tr>
        <w:tc>
          <w:tcPr>
            <w:tcW w:type="dxa" w:w="2340"/>
          </w:tcPr>
          <w:p>
            <w:r>
              <w:rPr>
                <w:b w:val="0"/>
                <w:i w:val="0"/>
              </w:rPr>
              <w:t>- Konteks Telkomsel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KPI acuan yang tetap dijaga pada bab ini adalah Service availability dan pengalaman pelanggan meningkat dalam 7 bulan.</w:t>
            </w:r>
          </w:p>
        </w:tc>
        <w:tc>
          <w:tcPr>
            <w:tcW w:type="dxa" w:w="2340"/>
          </w:tcPr>
          <w:p>
            <w:r>
              <w:rPr>
                <w:b w:val="0"/>
                <w:i w:val="0"/>
              </w:rPr>
              <w:t>Churn pelanggan menurun dan quality of service membaik dalam 7 bulan..</w:t>
            </w:r>
          </w:p>
        </w:tc>
        <w:tc>
          <w:tcPr>
            <w:tcW w:type="dxa" w:w="2340"/>
          </w:tcPr>
          <w:p/>
        </w:tc>
        <w:tc>
          <w:tcPr>
            <w:tcW w:type="dxa" w:w="2340"/>
          </w:tcPr>
          <w:p/>
        </w:tc>
      </w:tr>
    </w:tbl>
    <w:p>
      <w:r>
        <w:br w:type="page"/>
      </w:r>
    </w:p>
    <w:p>
      <w:pPr>
        <w:pStyle w:val="Heading1"/>
        <w:jc w:val="center"/>
      </w:pPr>
      <w:r>
        <w:rPr>
          <w:color w:val="5E6146"/>
        </w:rPr>
        <w:t>BAB IX – TATA KELOLA PROYEK</w:t>
      </w:r>
    </w:p>
    <w:p>
      <w:r>
        <w:rPr>
          <w:b w:val="0"/>
          <w:i w:val="0"/>
        </w:rPr>
        <w:t>Tata kelola proyek untuk Telkomsel dirancang agar keputusan strategis, kontrol eksekusi, dan penanganan risiko berjalan dalam satu sistem kerja yang konsisten. Fokusnya adalah menjaga gelombang uji beban 4: penguatan tata kelola delivery, percepatan keputusan lintas unit, dan penyusunan roadmap eksekusi yang lebih...</w:t>
      </w:r>
    </w:p>
    <w:p>
      <w:pPr>
        <w:pStyle w:val="Heading2"/>
      </w:pPr>
      <w:r>
        <w:rPr>
          <w:rFonts w:ascii="Arial" w:hAnsi="Arial"/>
          <w:b/>
          <w:color w:val="5E6146"/>
        </w:rPr>
        <w:t>9.1 Mekanisme Pengambilan Keputusan</w:t>
      </w:r>
    </w:p>
    <w:p>
      <w:pPr>
        <w:pStyle w:val="ListNumber"/>
        <w:spacing w:before="0" w:after="80"/>
        <w:numPr>
          <w:ilvl w:val="0"/>
          <w:numId w:val="30"/>
        </w:numPr>
      </w:pPr>
      <w:r>
        <w:rPr>
          <w:b/>
          <w:i w:val="0"/>
        </w:rPr>
        <w:t>Steering Committee</w:t>
      </w:r>
      <w:r>
        <w:rPr>
          <w:b w:val="0"/>
          <w:i w:val="0"/>
        </w:rPr>
        <w:t xml:space="preserve"> menetapkan arah, prioritas, dan keputusan yang berdampak pada scope, biaya, atau timeline program Telkomsel.</w:t>
      </w:r>
    </w:p>
    <w:p>
      <w:pPr>
        <w:pStyle w:val="ListNumber"/>
        <w:spacing w:before="0" w:after="80"/>
        <w:numPr>
          <w:ilvl w:val="0"/>
          <w:numId w:val="30"/>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0"/>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0"/>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5E614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Telkomsel, pengendalian semacam ini penting karena program gelombang uji beban 4: penguatan tata kelola delivery, percepatan keputusan lintas unit, dan penyusunan roadmap eksekusi yang lebih... berpotensi melibatkan banyak dependency dan keputusan cepat. - Konteks Telkomsel tetap menjadi acuan utama agar isi bab tidak bergeser menjadi generik. - Setiap butir pada bab ini harus bisa ditelusuri ke KPI, risiko, atau keputusan kerja yang nyata. - KPI acuan yang tetap dijaga pada bab ini adalah Service availability dan pengalaman pelanggan meningkat dalam 7 bulan. | Churn pelanggan menurun dan quality of service membaik dalam 7 bulan..</w:t>
      </w:r>
    </w:p>
    <w:p>
      <w:r>
        <w:rPr>
          <w:b w:val="0"/>
          <w:i w:val="0"/>
        </w:rPr>
        <w:t>Untuk Telkomsel, isi bab ini harus dibaca sebagai dasar keputusan kerja yang dapat ditindaklanjuti, bukan sekadar penjelasan konseptual. Karena itu, isi bab tetap diarahkan untuk menjaga relevansi terhadap KPI seperti Service availability dan pengalaman pelanggan meningkat dalam 7 bulan. | Churn pelanggan menurun dan quality of service membaik dalam 7 bulan. dan istilah kerja subscriber, network availability.</w:t>
      </w:r>
    </w:p>
    <w:p>
      <w:r>
        <w:br w:type="page"/>
      </w:r>
    </w:p>
    <w:p>
      <w:pPr>
        <w:pStyle w:val="Heading1"/>
        <w:jc w:val="center"/>
      </w:pPr>
      <w:r>
        <w:rPr>
          <w:color w:val="5E6146"/>
        </w:rPr>
        <w:t>BAB X – PROFIL PERUSAHAAN</w:t>
      </w:r>
    </w:p>
    <w:p>
      <w:r>
        <w:rPr>
          <w:b w:val="0"/>
          <w:i w:val="0"/>
        </w:rPr>
        <w:t>Profil perusahaan pada proposal ini tidak dimaksudkan sebagai brosur umum, melainkan sebagai bukti bahwa Inixindo Jogja memiliki modal kerja yang relevan untuk membantu Telkomsel. Yang ditekankan bukan hanya deskripsi perusahaan, tetapi keterkaitan antara kapabilitas, pengalaman serupa, dan bentuk dukungan yang dibutuhkan oleh inisiatif gelombang uji beban 4: penguatan tata kelola delivery, percepatan keputusan lintas unit, dan penyusunan roadmap eksekusi yang lebih...</w:t>
      </w:r>
    </w:p>
    <w:p>
      <w:pPr>
        <w:pStyle w:val="Heading2"/>
      </w:pPr>
      <w:r>
        <w:rPr>
          <w:rFonts w:ascii="Arial" w:hAnsi="Arial"/>
          <w:b/>
          <w:color w:val="5E614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subscriber, network availability, service assurance.</w:t>
      </w:r>
    </w:p>
    <w:p>
      <w:pPr>
        <w:pStyle w:val="Heading2"/>
      </w:pPr>
      <w:r>
        <w:rPr>
          <w:rFonts w:ascii="Arial" w:hAnsi="Arial"/>
          <w:b/>
          <w:color w:val="5E614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diagnostic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Data Gathering 2. As-Is Analysis 3. Gap Analysis 4. Diagnostic Report, 1x Principal Consultant, 2x Senior BA</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Telkomsel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1"/>
        </w:numPr>
      </w:pPr>
      <w:r>
        <w:rPr>
          <w:b w:val="0"/>
          <w:i w:val="0"/>
        </w:rPr>
        <w:t>Prioritas implementasi untuk Telkomsel diarahkan agar tetap selaras dengan Service availability dan pengalaman pelanggan meningkat dalam 7 bulan. | Churn pelanggan menurun dan quality of service membaik dalam 7 bulan..</w:t>
      </w:r>
    </w:p>
    <w:p>
      <w:pPr>
        <w:pStyle w:val="ListNumber"/>
        <w:spacing w:before="0" w:after="80"/>
        <w:numPr>
          <w:ilvl w:val="0"/>
          <w:numId w:val="31"/>
        </w:numPr>
      </w:pPr>
      <w:r>
        <w:rPr>
          <w:b w:val="0"/>
          <w:i w:val="0"/>
        </w:rPr>
        <w:t>Keputusan delivery dan quality gate pada bab ini harus konsisten dengan istilah kerja subscriber, network availability. - Konteks Telkomsel tetap menjadi acuan utama agar isi bab tidak bergeser menjadi generik. - Setiap butir pada bab ini harus bisa ditelusuri ke KPI, risiko, atau keputusan kerja yang nyata.</w:t>
      </w:r>
    </w:p>
    <w:p>
      <w:r>
        <w:br w:type="page"/>
      </w:r>
    </w:p>
    <w:p>
      <w:pPr>
        <w:pStyle w:val="Heading1"/>
        <w:jc w:val="center"/>
      </w:pPr>
      <w:r>
        <w:rPr>
          <w:color w:val="5E6146"/>
        </w:rPr>
        <w:t>BAB XI – STRUKTUR &amp; TENAGA AHLI PROYEK</w:t>
      </w:r>
    </w:p>
    <w:p>
      <w:r>
        <w:rPr>
          <w:b w:val="0"/>
          <w:i w:val="0"/>
        </w:rPr>
        <w:t>Struktur tim proyek untuk Telkomsel dibentuk agar pengambilan keputusan, pengawasan mutu, dan eksekusi lapangan bergerak seirama. Komposisi tim tidak diperlakukan sebagai daftar jabatan semata, tetapi sebagai mekanisme untuk menjaga kualitas output terhadap target Service availability dan pengalaman pelanggan meningkat dalam 7 bulan.</w:t>
      </w:r>
    </w:p>
    <w:p>
      <w:pPr>
        <w:pStyle w:val="Heading2"/>
      </w:pPr>
      <w:r>
        <w:rPr>
          <w:rFonts w:ascii="Arial" w:hAnsi="Arial"/>
          <w:b/>
          <w:color w:val="5E6146"/>
        </w:rPr>
        <w:t>11.1 Struktur Tim Proyek</w:t>
      </w:r>
    </w:p>
    <w:p>
      <w:pPr>
        <w:pStyle w:val="ListNumber"/>
        <w:spacing w:before="0" w:after="80"/>
        <w:numPr>
          <w:ilvl w:val="0"/>
          <w:numId w:val="32"/>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2"/>
        </w:numPr>
      </w:pPr>
      <w:r>
        <w:rPr>
          <w:b/>
          <w:i w:val="0"/>
        </w:rPr>
        <w:t>Project Manager / PMO Lead</w:t>
      </w:r>
      <w:r>
        <w:rPr>
          <w:b w:val="0"/>
          <w:i w:val="0"/>
        </w:rPr>
        <w:t xml:space="preserve"> mengendalikan ritme kerja, milestone, dan quality gate.</w:t>
      </w:r>
    </w:p>
    <w:p>
      <w:pPr>
        <w:pStyle w:val="ListNumber"/>
        <w:spacing w:before="0" w:after="80"/>
        <w:numPr>
          <w:ilvl w:val="0"/>
          <w:numId w:val="32"/>
        </w:numPr>
      </w:pPr>
      <w:r>
        <w:rPr>
          <w:b/>
          <w:i w:val="0"/>
        </w:rPr>
        <w:t>Lead Fungsional / Solusi</w:t>
      </w:r>
      <w:r>
        <w:rPr>
          <w:b w:val="0"/>
          <w:i w:val="0"/>
        </w:rPr>
        <w:t xml:space="preserve"> menjaga kualitas desain solusi dan relevansi output kerja.</w:t>
      </w:r>
    </w:p>
    <w:p>
      <w:pPr>
        <w:pStyle w:val="ListNumber"/>
        <w:spacing w:before="0" w:after="80"/>
        <w:numPr>
          <w:ilvl w:val="0"/>
          <w:numId w:val="32"/>
        </w:numPr>
      </w:pPr>
      <w:r>
        <w:rPr>
          <w:b/>
          <w:i w:val="0"/>
        </w:rPr>
        <w:t>Reviewer Governance / Quality</w:t>
      </w:r>
      <w:r>
        <w:rPr>
          <w:b w:val="0"/>
          <w:i w:val="0"/>
        </w:rPr>
        <w:t xml:space="preserve"> memastikan disiplin review, sign-off, dan kontrol risiko.</w:t>
      </w:r>
    </w:p>
    <w:p>
      <w:pPr>
        <w:pStyle w:val="Heading2"/>
      </w:pPr>
      <w:r>
        <w:rPr>
          <w:rFonts w:ascii="Arial" w:hAnsi="Arial"/>
          <w:b/>
          <w:color w:val="5E614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Telkomsel memperoleh gambaran yang lebih konkret mengenai siapa yang menjaga keputusan, siapa yang mengawal delivery, dan siapa yang mengamankan mutu hasil kerja. Pendekatan ini membuat bab tenaga ahli lebih mudah diaudit dan lebih meyakinkan bagi sponsor proyek. - Konteks Telkomsel tetap menjadi acuan utama agar isi bab tidak bergeser menjadi generik. - Setiap butir pada bab ini harus bisa ditelusuri ke KPI, risiko, atau keputusan kerja yang nyata. - Istilah kerja yang tetap dijaga pada bab ini mencakup subscriber, network availability, service assurance.</w:t>
      </w:r>
    </w:p>
    <w:p>
      <w:r>
        <w:br w:type="page"/>
      </w:r>
    </w:p>
    <w:p>
      <w:pPr>
        <w:pStyle w:val="Heading1"/>
        <w:jc w:val="center"/>
      </w:pPr>
      <w:r>
        <w:rPr>
          <w:color w:val="5E6146"/>
        </w:rPr>
        <w:t>BAB XII – MODEL PEMBIAYAAN</w:t>
      </w:r>
    </w:p>
    <w:p>
      <w:r>
        <w:rPr>
          <w:b w:val="0"/>
          <w:i w:val="0"/>
        </w:rPr>
        <w:t>Model pembiayaan untuk Telkomsel disusun agar komitmen biaya, mekanisme pembayaran, dan batas ruang lingkup tetap jelas sejak awal. Tujuannya adalah menjaga proyek gelombang uji beban 4: penguatan tata kelola delivery, percepatan keputusan lintas unit, dan penyusunan roadmap eksekusi yang lebih...</w:t>
      </w:r>
    </w:p>
    <w:p>
      <w:pPr>
        <w:pStyle w:val="Heading2"/>
      </w:pPr>
      <w:r>
        <w:rPr>
          <w:rFonts w:ascii="Arial" w:hAnsi="Arial"/>
          <w:b/>
          <w:color w:val="5E614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Diagnostic</w:t>
      </w:r>
      <w:r>
        <w:rPr>
          <w:b w:val="0"/>
          <w:i w:val="0"/>
        </w:rPr>
        <w:t xml:space="preserve"> selama</w:t>
      </w:r>
      <w:r>
        <w:rPr>
          <w:b/>
          <w:i w:val="0"/>
        </w:rPr>
        <w:t xml:space="preserve"> 7 Bulan</w:t>
      </w:r>
      <w:r>
        <w:rPr>
          <w:b w:val="0"/>
          <w:i w:val="0"/>
        </w:rPr>
        <w:t>. Baseline komersial internal yang menjadi acuan adalah Fixed-fee.</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Diagnostic</w:t>
            </w:r>
          </w:p>
        </w:tc>
      </w:tr>
      <w:tr>
        <w:tc>
          <w:tcPr>
            <w:tcW w:type="dxa" w:w="4680"/>
          </w:tcPr>
          <w:p>
            <w:r>
              <w:rPr>
                <w:b w:val="0"/>
                <w:i w:val="0"/>
              </w:rPr>
              <w:t>Durasi acuan</w:t>
            </w:r>
          </w:p>
        </w:tc>
        <w:tc>
          <w:tcPr>
            <w:tcW w:type="dxa" w:w="4680"/>
          </w:tcPr>
          <w:p>
            <w:r>
              <w:rPr>
                <w:b w:val="0"/>
                <w:i w:val="0"/>
              </w:rPr>
              <w:t>7 Bulan</w:t>
            </w:r>
          </w:p>
        </w:tc>
      </w:tr>
      <w:tr>
        <w:tc>
          <w:tcPr>
            <w:tcW w:type="dxa" w:w="4680"/>
          </w:tcPr>
          <w:p>
            <w:r>
              <w:rPr>
                <w:b w:val="0"/>
                <w:i w:val="0"/>
              </w:rPr>
              <w:t>Basis commercial</w:t>
            </w:r>
          </w:p>
        </w:tc>
        <w:tc>
          <w:tcPr>
            <w:tcW w:type="dxa" w:w="4680"/>
          </w:tcPr>
          <w:p>
            <w:r>
              <w:rPr>
                <w:b w:val="0"/>
                <w:i w:val="0"/>
              </w:rPr>
              <w:t>Fixed-fee. 50% Upfront, 50% on Report delivery.</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3"/>
        </w:numPr>
      </w:pPr>
      <w:r>
        <w:rPr>
          <w:b/>
          <w:i w:val="0"/>
        </w:rPr>
        <w:t>Kickoff &amp; data request</w:t>
      </w:r>
      <w:r>
        <w:rPr>
          <w:b w:val="0"/>
          <w:i w:val="0"/>
        </w:rPr>
        <w:t xml:space="preserve"> sebesar 35% dari estimasi investasi, ditagihkan setelah milestone terkait diterima.</w:t>
      </w:r>
    </w:p>
    <w:p>
      <w:pPr>
        <w:pStyle w:val="ListNumber"/>
        <w:spacing w:before="0" w:after="80"/>
        <w:numPr>
          <w:ilvl w:val="0"/>
          <w:numId w:val="33"/>
        </w:numPr>
      </w:pPr>
      <w:r>
        <w:rPr>
          <w:b/>
          <w:i w:val="0"/>
        </w:rPr>
        <w:t>Temuan awal &amp; validasi</w:t>
      </w:r>
      <w:r>
        <w:rPr>
          <w:b w:val="0"/>
          <w:i w:val="0"/>
        </w:rPr>
        <w:t xml:space="preserve"> sebesar 35% dari estimasi investasi, ditagihkan setelah milestone terkait diterima.</w:t>
      </w:r>
    </w:p>
    <w:p>
      <w:pPr>
        <w:pStyle w:val="ListNumber"/>
        <w:spacing w:before="0" w:after="80"/>
        <w:numPr>
          <w:ilvl w:val="0"/>
          <w:numId w:val="33"/>
        </w:numPr>
      </w:pPr>
      <w:r>
        <w:rPr>
          <w:b/>
          <w:i w:val="0"/>
        </w:rPr>
        <w:t>Laporan akhir &amp; penutupan</w:t>
      </w:r>
      <w:r>
        <w:rPr>
          <w:b w:val="0"/>
          <w:i w:val="0"/>
        </w:rPr>
        <w:t xml:space="preserve"> sebesar 30% dari estimasi investasi, ditagihkan setelah milestone terkait diterima.</w:t>
      </w:r>
    </w:p>
    <w:p>
      <w:pPr>
        <w:pStyle w:val="Heading2"/>
      </w:pPr>
      <w:r>
        <w:rPr>
          <w:rFonts w:ascii="Arial" w:hAnsi="Arial"/>
          <w:b/>
          <w:color w:val="5E6146"/>
        </w:rPr>
        <w:t>12.2 Model Pekerjaan dan Batasan Pekerjaan</w:t>
      </w:r>
    </w:p>
    <w:p>
      <w:r>
        <w:rPr>
          <w:b w:val="0"/>
          <w:i w:val="0"/>
        </w:rPr>
        <w:t>Model kerja dirancang agar ruang lingkup delivery tetap fokus pada kebutuhan opportunity dan KPI seperti Service availability dan pengalaman pelanggan meningkat dalam 7 bulan. | Churn pelanggan menurun dan quality of service membaik dalam 7 bulan. Untuk Telkomsel,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Telkomsel, bagian ini perlu menunjukkan bahwa struktur biaya, tahapan pembayaran, dan batas pekerjaan disusun agar manfaat bisnis seperti Service availability dan pengalaman pelanggan meningkat dalam 7 bulan. - Konteks Telkomsel tetap menjadi acuan utama agar isi bab tidak bergeser menjadi generik. - Setiap butir pada bab ini harus bisa ditelusuri ke KPI, risiko, atau keputusan kerja yang nyata.</w:t>
      </w:r>
    </w:p>
    <w:p>
      <w:r>
        <w:br w:type="page"/>
      </w:r>
    </w:p>
    <w:p>
      <w:pPr>
        <w:pStyle w:val="Heading1"/>
        <w:jc w:val="center"/>
      </w:pPr>
      <w:r>
        <w:rPr>
          <w:color w:val="5E6146"/>
        </w:rPr>
        <w:t>PENUTUP &amp; APRESIASI KEMITRAAN</w:t>
      </w:r>
    </w:p>
    <w:p>
      <w:r>
        <w:rPr>
          <w:b w:val="0"/>
          <w:i w:val="0"/>
        </w:rPr>
        <w:t>Terima kasih atas kesempatan yang diberikan kepada Inixindo Jogja untuk menyusun proposal bagi Telkomsel. Kami memandang inisiatif gelombang uji beban 4: penguatan tata kelola delivery, percepatan keputusan lintas unit, dan penyusunan roadmap eksekusi yang lebih...</w:t>
      </w:r>
    </w:p>
    <w:p>
      <w:pPr>
        <w:pStyle w:val="Heading2"/>
      </w:pPr>
      <w:r>
        <w:rPr>
          <w:rFonts w:ascii="Arial" w:hAnsi="Arial"/>
          <w:b/>
          <w:color w:val="5E6146"/>
        </w:rPr>
        <w:t>Apresiasi dan Komitmen Kemitraan</w:t>
      </w:r>
    </w:p>
    <w:p>
      <w:pPr>
        <w:pStyle w:val="ListNumber"/>
        <w:spacing w:before="0" w:after="80"/>
        <w:numPr>
          <w:ilvl w:val="0"/>
          <w:numId w:val="34"/>
        </w:numPr>
      </w:pPr>
      <w:r>
        <w:rPr>
          <w:b w:val="0"/>
          <w:i w:val="0"/>
        </w:rPr>
        <w:t>Kami mengapresiasi keterbukaan Telkomsel dalam mengangkat konteks, tantangan, dan target bisnis yang menjadi dasar proposal ini.</w:t>
      </w:r>
    </w:p>
    <w:p>
      <w:pPr>
        <w:pStyle w:val="ListNumber"/>
        <w:spacing w:before="0" w:after="80"/>
        <w:numPr>
          <w:ilvl w:val="0"/>
          <w:numId w:val="34"/>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4"/>
        </w:numPr>
      </w:pPr>
      <w:r>
        <w:rPr>
          <w:b w:val="0"/>
          <w:i w:val="0"/>
        </w:rPr>
        <w:t>Fokus awal kemitraan diarahkan pada prioritas seperti Service availability dan pengalaman pelanggan meningkat dalam 7 bulan. | Churn pelanggan menurun dan quality of service membaik dalam 7 bulan. | Efisiensi operasi network support meningkat dalam 7 bulan., dengan tata kelola dan ritme eksekusi yang stabil sejak kickoff.</w:t>
      </w:r>
    </w:p>
    <w:p>
      <w:pPr>
        <w:pStyle w:val="Heading2"/>
      </w:pPr>
      <w:r>
        <w:rPr>
          <w:rFonts w:ascii="Arial" w:hAnsi="Arial"/>
          <w:b/>
          <w:color w:val="5E6146"/>
        </w:rPr>
        <w:t>Informasi Kontak dan Langkah Lanjutan</w:t>
      </w:r>
    </w:p>
    <w:p>
      <w:r>
        <w:rPr>
          <w:b w:val="0"/>
          <w:i w:val="0"/>
        </w:rPr>
        <w:t>Untuk melanjutkan pembahasan, Inixindo Jogja siap menindaklanjuti review proposal, penajaman ruang lingkup, dan penyesuaian komersial yang diperlukan. - Konteks Telkomsel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8"/>
  </w:num>
  <w:num w:numId="13">
    <w:abstractNumId w:val="7"/>
  </w:num>
  <w:num w:numId="14">
    <w:abstractNumId w:val="8"/>
  </w:num>
  <w:num w:numId="15">
    <w:abstractNumId w:val="8"/>
  </w:num>
  <w:num w:numId="16">
    <w:abstractNumId w:val="7"/>
  </w:num>
  <w:num w:numId="17">
    <w:abstractNumId w:val="8"/>
  </w:num>
  <w:num w:numId="18">
    <w:abstractNumId w:val="7"/>
  </w:num>
  <w:num w:numId="19">
    <w:abstractNumId w:val="7"/>
  </w:num>
  <w:num w:numId="20">
    <w:abstractNumId w:val="7"/>
  </w:num>
  <w:num w:numId="21">
    <w:abstractNumId w:val="8"/>
  </w:num>
  <w:num w:numId="22">
    <w:abstractNumId w:val="7"/>
  </w:num>
  <w:num w:numId="23">
    <w:abstractNumId w:val="8"/>
  </w:num>
  <w:num w:numId="24">
    <w:abstractNumId w:val="7"/>
  </w:num>
  <w:num w:numId="25">
    <w:abstractNumId w:val="8"/>
  </w:num>
  <w:num w:numId="26">
    <w:abstractNumId w:val="8"/>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