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10972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1097280"/>
                    </a:xfrm>
                    <a:prstGeom prst="rect"/>
                  </pic:spPr>
                </pic:pic>
              </a:graphicData>
            </a:graphic>
          </wp:inline>
        </w:drawing>
      </w:r>
    </w:p>
    <w:p>
      <w:pPr>
        <w:jc w:val="center"/>
      </w:pPr>
      <w:r>
        <w:rPr>
          <w:b/>
          <w:color w:val="486E4F"/>
          <w:sz w:val="60"/>
        </w:rPr>
        <w:t>ARSITEKTUR PROPOSAL</w:t>
      </w:r>
    </w:p>
    <w:p>
      <w:pPr>
        <w:jc w:val="center"/>
      </w:pPr>
      <w:r>
        <w:rPr>
          <w:sz w:val="28"/>
        </w:rPr>
        <w:t>Konsultan – Transformation</w:t>
      </w:r>
    </w:p>
    <w:p/>
    <w:p>
      <w:pPr>
        <w:jc w:val="center"/>
      </w:pPr>
      <w:r>
        <w:rPr>
          <w:b/>
          <w:sz w:val="32"/>
        </w:rPr>
        <w:t>Untuk: XL Axiata</w:t>
      </w:r>
    </w:p>
    <w:p>
      <w:pPr>
        <w:jc w:val="center"/>
      </w:pPr>
      <w:r>
        <w:t>Inisiatif: Gelombang uji beban 5: penguatan tata kelola delivery, percepatan keputusan lintas unit, dan penyusunan roadmap eksekusi yang lebih terukur untuk XL Axiata.</w:t>
      </w:r>
    </w:p>
    <w:p>
      <w:pPr>
        <w:jc w:val="center"/>
      </w:pPr>
      <w:r>
        <w:t>Durasi: 8 Bulan | Estimasi Investasi: Rp 500.000.000 | Tanggal: 30 March 2026</w:t>
      </w:r>
    </w:p>
    <w:p>
      <w:pPr>
        <w:jc w:val="center"/>
      </w:pPr>
      <w:r>
        <w:t>Disusun oleh Inixindo Jogja</w:t>
      </w:r>
    </w:p>
    <w:p>
      <w:r>
        <w:br w:type="page"/>
      </w:r>
    </w:p>
    <w:p>
      <w:pPr>
        <w:pStyle w:val="Heading1"/>
        <w:jc w:val="center"/>
      </w:pPr>
      <w:r>
        <w:rPr>
          <w:color w:val="486E4F"/>
        </w:rPr>
        <w:t>BAB I – KONTEKS KLIEN</w:t>
      </w:r>
    </w:p>
    <w:p>
      <w:pPr>
        <w:pStyle w:val="Heading2"/>
      </w:pPr>
      <w:r>
        <w:rPr>
          <w:rFonts w:ascii="Arial" w:hAnsi="Arial"/>
          <w:b/>
          <w:color w:val="486E4F"/>
        </w:rPr>
        <w:t>1.1 Latar Belakang Organisasi Klien</w:t>
      </w:r>
    </w:p>
    <w:p>
      <w:r>
        <w:rPr>
          <w:b w:val="0"/>
          <w:i w:val="0"/>
        </w:rPr>
        <w:t>PT XL Axiata Tbk merupakan salah satu operator seluler terbesar di Indonesia dengan jaringan seluler yang meliputi lebih dari 70 % wilayah negara (id.jobstreet.com, 2025). Pada 15 April 2025, XL Axiata menandatangani akta penggabungan dengan PT Smartfren Telecom, membentuk entitas XLSMART yang menggabungkan keunggulan teknologi seluler XL Axiata dan infrastruktur tetap Smartfren (id.wikipedia.org, 2026). Pasca‑merger, XLSMART mencatat pertumbuhan double‑digit pada kuartal III 2025 dan memperoleh tiga penghargaan bergengsi, termasuk Fortune Indonesia 100 Awards 2025 (instagram.com, 2025).</w:t>
      </w:r>
    </w:p>
    <w:p>
      <w:r>
        <w:rPr>
          <w:b w:val="0"/>
          <w:i w:val="0"/>
        </w:rPr>
        <w:t>Keberhasilan integrasi jaringan 5G‑Ultra 5G+ di Banjarmasin, dengan kecepatan hingga 500 Mbps, menunjukkan kemampuan XL Axiata dalam memperluas spektrum dan meningkatkan network availability (facebook.com, 2026). Di sisi layanan digital, peluncuran “XL Circle” memperkuat ekosistem prabayar melalui aplikasi seluler (marketing.co.id, 2026). Namun, ekspansi cepat menimbulkan tantangan operasional:</w:t>
      </w:r>
    </w:p>
    <w:p>
      <w:pPr>
        <w:pStyle w:val="ListBullet"/>
        <w:spacing w:before="0" w:after="80"/>
        <w:numPr>
          <w:ilvl w:val="0"/>
          <w:numId w:val="10"/>
        </w:numPr>
      </w:pPr>
      <w:r>
        <w:rPr>
          <w:b/>
          <w:i w:val="0"/>
        </w:rPr>
        <w:t>Fragmentasi tata kelola delivery</w:t>
      </w:r>
      <w:r>
        <w:rPr>
          <w:b w:val="0"/>
          <w:i w:val="0"/>
        </w:rPr>
        <w:t xml:space="preserve"> di antara unit seluler, fiber, dan layanan digital.</w:t>
      </w:r>
    </w:p>
    <w:p>
      <w:pPr>
        <w:pStyle w:val="ListBullet"/>
        <w:spacing w:before="0" w:after="80"/>
        <w:numPr>
          <w:ilvl w:val="0"/>
          <w:numId w:val="10"/>
        </w:numPr>
      </w:pPr>
      <w:r>
        <w:rPr>
          <w:b/>
          <w:i w:val="0"/>
        </w:rPr>
        <w:t>Keputusan lintas unit yang lambat</w:t>
      </w:r>
      <w:r>
        <w:rPr>
          <w:b w:val="0"/>
          <w:i w:val="0"/>
        </w:rPr>
        <w:t>, menghambat time‑to‑market untuk fitur baru.</w:t>
      </w:r>
    </w:p>
    <w:p>
      <w:pPr>
        <w:pStyle w:val="ListBullet"/>
        <w:spacing w:before="0" w:after="80"/>
        <w:numPr>
          <w:ilvl w:val="0"/>
          <w:numId w:val="10"/>
        </w:numPr>
      </w:pPr>
      <w:r>
        <w:rPr>
          <w:b/>
          <w:i w:val="0"/>
        </w:rPr>
        <w:t>Keterbatasan roadmap eksekusi terukur</w:t>
      </w:r>
      <w:r>
        <w:rPr>
          <w:b w:val="0"/>
          <w:i w:val="0"/>
        </w:rPr>
        <w:t>, sehingga churn pelanggan tetap berada pada level 12 % (Data Internal, 2026).</w:t>
      </w:r>
    </w:p>
    <w:p>
      <w:r>
        <w:rPr>
          <w:b w:val="0"/>
          <w:i w:val="0"/>
        </w:rPr>
        <w:t>Regulasi pemerintah menuntut transparansi dan akuntabilitas dalam penyediaan layanan digital (yogyakarta.bpk.go.id, 2029). Selain itu, efisiensi spektrum pasca‑merger menjadi faktor kompetitif (antaranews.com, 2026). Kondisi ini menegaskan kebutuhan XL Axiata untuk memperkuat governance, mempercepat keputusan, dan menyusun roadmap eksekusi yang dapat diukur dalam horizon 8 bulan.</w:t>
      </w:r>
    </w:p>
    <w:p>
      <w:pPr>
        <w:pStyle w:val="Heading2"/>
      </w:pPr>
      <w:r>
        <w:rPr>
          <w:rFonts w:ascii="Arial" w:hAnsi="Arial"/>
          <w:b/>
          <w:color w:val="486E4F"/>
        </w:rPr>
        <w:t>1.2 Alasan Permintaan Jasa Konsultasi</w:t>
      </w:r>
    </w:p>
    <w:p>
      <w:pPr>
        <w:pStyle w:val="ListNumber"/>
        <w:spacing w:before="0" w:after="80"/>
        <w:numPr>
          <w:ilvl w:val="0"/>
          <w:numId w:val="11"/>
        </w:numPr>
      </w:pPr>
      <w:r>
        <w:rPr>
          <w:b/>
          <w:i w:val="0"/>
        </w:rPr>
        <w:t>Penguatan Tata Kelola Delivery</w:t>
      </w:r>
      <w:r>
        <w:rPr>
          <w:b w:val="0"/>
          <w:i w:val="0"/>
        </w:rPr>
        <w:t xml:space="preserve"> - Menstandardisasi proses operasional dengan kerangka TOGAF/ITIL/COBIT, sehingga service assurance dapat dipantau secara real‑time. - Mengurangi variasi SOP antar unit, menurunkan risiko kegagalan rollout.</w:t>
      </w:r>
    </w:p>
    <w:p>
      <w:pPr>
        <w:pStyle w:val="ListNumber"/>
        <w:spacing w:before="0" w:after="80"/>
        <w:numPr>
          <w:ilvl w:val="0"/>
          <w:numId w:val="11"/>
        </w:numPr>
      </w:pPr>
      <w:r>
        <w:rPr>
          <w:b/>
          <w:i w:val="0"/>
        </w:rPr>
        <w:t>Percepatan Keputusan Lintas Unit</w:t>
      </w:r>
      <w:r>
        <w:rPr>
          <w:b w:val="0"/>
          <w:i w:val="0"/>
        </w:rPr>
        <w:t xml:space="preserve"> - Membentuk Decision‑Gate Model yang menghubungkan NOC, network planning, dan business unit dalam siklus 2‑minggu. - Menyediakan dashboard KPI (network availability, churn, operational efficiency) untuk eksekutif.</w:t>
      </w:r>
    </w:p>
    <w:p>
      <w:pPr>
        <w:pStyle w:val="ListNumber"/>
        <w:spacing w:before="0" w:after="80"/>
        <w:numPr>
          <w:ilvl w:val="0"/>
          <w:numId w:val="11"/>
        </w:numPr>
      </w:pPr>
      <w:r>
        <w:rPr>
          <w:b/>
          <w:i w:val="0"/>
        </w:rPr>
        <w:t>Penyusunan Roadmap Eksekusi Terukur</w:t>
      </w:r>
      <w:r>
        <w:rPr>
          <w:b w:val="0"/>
          <w:i w:val="0"/>
        </w:rPr>
        <w:t xml:space="preserve"> - Mengadopsi metodologi phased rollout (4 gelombang) dengan milestone jelas, sehingga target service availability meningkat 5 % dalam 8 bulan. - Menyertakan hyper‑care plan untuk mitigasi risiko pasca‑deployment.</w:t>
      </w:r>
    </w:p>
    <w:p>
      <w:r>
        <w:rPr>
          <w:b/>
          <w:i w:val="0"/>
        </w:rPr>
        <w:t>Dukungan operasional yang dibutuhkan:</w:t>
      </w:r>
    </w:p>
    <w:p>
      <w:pPr>
        <w:pStyle w:val="ListBullet"/>
        <w:spacing w:before="0" w:after="80"/>
        <w:numPr>
          <w:ilvl w:val="0"/>
          <w:numId w:val="12"/>
        </w:numPr>
      </w:pPr>
      <w:r>
        <w:rPr>
          <w:b/>
          <w:i w:val="0"/>
        </w:rPr>
        <w:t>Data integrasi jaringan</w:t>
      </w:r>
      <w:r>
        <w:rPr>
          <w:b w:val="0"/>
          <w:i w:val="0"/>
        </w:rPr>
        <w:t xml:space="preserve"> (spek‑rum, topologi) – dependensi pada tim NOC.</w:t>
      </w:r>
    </w:p>
    <w:p>
      <w:pPr>
        <w:pStyle w:val="ListBullet"/>
        <w:spacing w:before="0" w:after="80"/>
        <w:numPr>
          <w:ilvl w:val="0"/>
          <w:numId w:val="12"/>
        </w:numPr>
      </w:pPr>
      <w:r>
        <w:rPr>
          <w:b/>
          <w:i w:val="0"/>
        </w:rPr>
        <w:t>Komitmen sumber daya</w:t>
      </w:r>
      <w:r>
        <w:rPr>
          <w:b w:val="0"/>
          <w:i w:val="0"/>
        </w:rPr>
        <w:t xml:space="preserve"> (1 Program Manager, 2 Change Experts, 3 Tech Leads) – mitigasi risiko keterbatasan skill (Data Internal, 2026).</w:t>
      </w:r>
    </w:p>
    <w:p>
      <w:pPr>
        <w:pStyle w:val="ListBullet"/>
        <w:spacing w:before="0" w:after="80"/>
        <w:numPr>
          <w:ilvl w:val="0"/>
          <w:numId w:val="12"/>
        </w:numPr>
      </w:pPr>
      <w:r>
        <w:rPr>
          <w:b/>
          <w:i w:val="0"/>
        </w:rPr>
        <w:t>Kebijakan regulator</w:t>
      </w:r>
      <w:r>
        <w:rPr>
          <w:b w:val="0"/>
          <w:i w:val="0"/>
        </w:rPr>
        <w:t xml:space="preserve"> (ISO 27001, kebijakan AI) – harus di‑align dengan roadmap (jatengprov.go.id, 2025).</w:t>
      </w:r>
    </w:p>
    <w:p>
      <w:r>
        <w:rPr>
          <w:b/>
          <w:i w:val="0"/>
        </w:rPr>
        <w:t>Manfaat yang diharapkan:</w:t>
      </w:r>
    </w:p>
    <w:p>
      <w:pPr>
        <w:pStyle w:val="ListBullet"/>
        <w:spacing w:before="0" w:after="80"/>
        <w:numPr>
          <w:ilvl w:val="0"/>
          <w:numId w:val="13"/>
        </w:numPr>
      </w:pPr>
      <w:r>
        <w:rPr>
          <w:b/>
          <w:i w:val="0"/>
        </w:rPr>
        <w:t>Service availability</w:t>
      </w:r>
      <w:r>
        <w:rPr>
          <w:b w:val="0"/>
          <w:i w:val="0"/>
        </w:rPr>
        <w:t xml:space="preserve"> naik minimal 5 % dan pengalaman pelanggan meningkat, mengurangi churn dari 12 % ke &lt; 8 % (KPI Blueprint).</w:t>
      </w:r>
    </w:p>
    <w:p>
      <w:pPr>
        <w:pStyle w:val="ListBullet"/>
        <w:spacing w:before="0" w:after="80"/>
        <w:numPr>
          <w:ilvl w:val="0"/>
          <w:numId w:val="13"/>
        </w:numPr>
      </w:pPr>
      <w:r>
        <w:rPr>
          <w:b/>
          <w:i w:val="0"/>
        </w:rPr>
        <w:t>Efisiensi operasi network support</w:t>
      </w:r>
      <w:r>
        <w:rPr>
          <w:b w:val="0"/>
          <w:i w:val="0"/>
        </w:rPr>
        <w:t xml:space="preserve"> meningkat 15 % melalui automatisasi proses change management.</w:t>
      </w:r>
    </w:p>
    <w:p>
      <w:pPr>
        <w:pStyle w:val="ListBullet"/>
        <w:spacing w:before="0" w:after="80"/>
        <w:numPr>
          <w:ilvl w:val="0"/>
          <w:numId w:val="13"/>
        </w:numPr>
      </w:pPr>
      <w:r>
        <w:rPr>
          <w:b/>
          <w:i w:val="0"/>
        </w:rPr>
        <w:t>Keputusan strategis</w:t>
      </w:r>
      <w:r>
        <w:rPr>
          <w:b w:val="0"/>
          <w:i w:val="0"/>
        </w:rPr>
        <w:t xml:space="preserve"> dipercepat 30 % berkat governance yang terstandardisasi.</w:t>
      </w:r>
    </w:p>
    <w:p>
      <w:r>
        <w:rPr>
          <w:b w:val="0"/>
          <w:i w:val="0"/>
        </w:rPr>
        <w:t>Dengan mengimplementasikan empat pilar Inixindo Jogja – readiness assessment, phased rollout, change management, dan hyper‑care – XL Axiata dapat menegakkan tata kelola delivery yang konsisten, mempercepat keputusan lintas unit, serta menghasilkan roadmap eksekusi yang terukur dalam 8 bulan, selaras dengan target pertumbuhan household penetration menjadi 25 % (Data Internal,</w:t>
      </w:r>
    </w:p>
    <w:p>
      <w:r>
        <w:rPr>
          <w:b w:val="0"/>
          <w:i w:val="0"/>
        </w:rPr>
        <w:t>Untuk XL Axiata, isi bab ini harus dibaca sebagai dasar keputusan kerja yang dapat ditindaklanjuti, bukan sekadar penjelasan konseptual. Karena itu, isi bab tetap diarahkan untuk menjaga relevansi terhadap KPI seperti Service availability dan pengalaman pelanggan meningkat dalam 8 bulan. | Churn pelanggan menurun dan quality of service membaik dalam 8 bulan. dan istilah kerja subscriber, network availability.</w:t>
      </w:r>
    </w:p>
    <w:p>
      <w:r>
        <w:br w:type="page"/>
      </w:r>
    </w:p>
    <w:p>
      <w:pPr>
        <w:pStyle w:val="Heading1"/>
        <w:jc w:val="center"/>
      </w:pPr>
      <w:r>
        <w:rPr>
          <w:color w:val="486E4F"/>
        </w:rPr>
        <w:t>BAB II – PERMASALAHAN</w:t>
      </w:r>
    </w:p>
    <w:p>
      <w:pPr>
        <w:pStyle w:val="Heading2"/>
      </w:pPr>
      <w:r>
        <w:rPr>
          <w:rFonts w:ascii="Arial" w:hAnsi="Arial"/>
          <w:b/>
          <w:color w:val="486E4F"/>
        </w:rPr>
        <w:t>2.1 Kebutuhan atau Keinginan Klien</w:t>
      </w:r>
    </w:p>
    <w:p>
      <w:r>
        <w:rPr>
          <w:b w:val="0"/>
          <w:i w:val="0"/>
        </w:rPr>
        <w:t>XL Axiata menargetkan pelaksanaan</w:t>
      </w:r>
      <w:r>
        <w:rPr>
          <w:b/>
          <w:i w:val="0"/>
        </w:rPr>
        <w:t xml:space="preserve"> Gelombang Uji Beban 5</w:t>
      </w:r>
      <w:r>
        <w:rPr>
          <w:b w:val="0"/>
          <w:i w:val="0"/>
        </w:rPr>
        <w:t xml:space="preserve"> dalam 8 bulan untuk:</w:t>
      </w:r>
    </w:p>
    <w:p>
      <w:pPr>
        <w:pStyle w:val="ListNumber"/>
        <w:spacing w:before="0" w:after="80"/>
        <w:numPr>
          <w:ilvl w:val="0"/>
          <w:numId w:val="14"/>
        </w:numPr>
      </w:pPr>
      <w:r>
        <w:rPr>
          <w:b w:val="0"/>
          <w:i w:val="0"/>
        </w:rPr>
        <w:t>Menetapkan tata kelola delivery yang terstandarisasi.</w:t>
      </w:r>
    </w:p>
    <w:p>
      <w:pPr>
        <w:pStyle w:val="ListNumber"/>
        <w:spacing w:before="0" w:after="80"/>
        <w:numPr>
          <w:ilvl w:val="0"/>
          <w:numId w:val="14"/>
        </w:numPr>
      </w:pPr>
      <w:r>
        <w:rPr>
          <w:b w:val="0"/>
          <w:i w:val="0"/>
        </w:rPr>
        <w:t>Mempercepat keputusan lintas unit (bisnis‑teknologi).</w:t>
      </w:r>
    </w:p>
    <w:p>
      <w:pPr>
        <w:pStyle w:val="ListNumber"/>
        <w:spacing w:before="0" w:after="80"/>
        <w:numPr>
          <w:ilvl w:val="0"/>
          <w:numId w:val="14"/>
        </w:numPr>
      </w:pPr>
      <w:r>
        <w:rPr>
          <w:b w:val="0"/>
          <w:i w:val="0"/>
        </w:rPr>
        <w:t>Menyusun roadmap eksekusi terukur dengan deliverable dan governance yang jelas.</w:t>
      </w:r>
    </w:p>
    <w:p>
      <w:r>
        <w:rPr>
          <w:b w:val="0"/>
          <w:i w:val="0"/>
        </w:rPr>
        <w:t>Kebutuhan muncul karena prioritas kerja masih tersebar, koordinasi belum konsisten, serta tidak ada definisi ruang lingkup operasional yang dapat dijadikan acuan (Data Internal, 2026).</w:t>
      </w:r>
    </w:p>
    <w:p>
      <w:pPr>
        <w:pStyle w:val="Heading2"/>
      </w:pPr>
      <w:r>
        <w:rPr>
          <w:rFonts w:ascii="Arial" w:hAnsi="Arial"/>
          <w:b/>
          <w:color w:val="486E4F"/>
        </w:rPr>
        <w:t>2.2 Business Context</w:t>
      </w:r>
    </w:p>
    <w:p>
      <w:r>
        <w:rPr>
          <w:b w:val="0"/>
          <w:i w:val="0"/>
        </w:rPr>
        <w:t>Setelah merger dengan Smartfren pada 15 April 2025, XLSMART menggabungkan keahlian seluler XL Axiata dengan infrastruktur Smartfren, menghasilkan pertumbuhan double‑digit pada Q3 2025 (xlsmart.co.id, 2025). Pasca‑merger spektrum 5G kini mencakup 88 kota dan meningkatkan efisiensi spektrum (antaranews.com, 2026).</w:t>
      </w:r>
    </w:p>
    <w:p>
      <w:r>
        <w:rPr>
          <w:b w:val="0"/>
          <w:i w:val="0"/>
        </w:rPr>
        <w:t>Konteks ini menuntut</w:t>
      </w:r>
      <w:r>
        <w:rPr>
          <w:b/>
          <w:i w:val="0"/>
        </w:rPr>
        <w:t xml:space="preserve"> service assurance</w:t>
      </w:r>
      <w:r>
        <w:rPr>
          <w:b w:val="0"/>
          <w:i w:val="0"/>
        </w:rPr>
        <w:t xml:space="preserve"> dan</w:t>
      </w:r>
      <w:r>
        <w:rPr>
          <w:b/>
          <w:i w:val="0"/>
        </w:rPr>
        <w:t xml:space="preserve"> network availability</w:t>
      </w:r>
      <w:r>
        <w:rPr>
          <w:b w:val="0"/>
          <w:i w:val="0"/>
        </w:rPr>
        <w:t xml:space="preserve"> untuk layanan baru seperti</w:t>
      </w:r>
      <w:r>
        <w:rPr>
          <w:b/>
          <w:i w:val="0"/>
        </w:rPr>
        <w:t xml:space="preserve"> XL ULTRA 5G+</w:t>
      </w:r>
      <w:r>
        <w:rPr>
          <w:b w:val="0"/>
          <w:i w:val="0"/>
        </w:rPr>
        <w:t xml:space="preserve"> (kecepatan hingga 500 Mbps) (facebook.com, 2026) serta fitur</w:t>
      </w:r>
      <w:r>
        <w:rPr>
          <w:b/>
          <w:i w:val="0"/>
        </w:rPr>
        <w:t xml:space="preserve"> XL Circle</w:t>
      </w:r>
      <w:r>
        <w:rPr>
          <w:b w:val="0"/>
          <w:i w:val="0"/>
        </w:rPr>
        <w:t xml:space="preserve"> untuk pelanggan prabayar (marketing.co.id, 2026). Tanpa kerangka kerja terintegrasi, sinergi pasca‑merger tidak dapat dimaksimalkan.</w:t>
      </w:r>
    </w:p>
    <w:p>
      <w:pPr>
        <w:pStyle w:val="Heading2"/>
      </w:pPr>
      <w:r>
        <w:rPr>
          <w:rFonts w:ascii="Arial" w:hAnsi="Arial"/>
          <w:b/>
          <w:color w:val="486E4F"/>
        </w:rPr>
        <w:t>2.3 Key Challenge</w:t>
      </w:r>
    </w:p>
    <w:p>
      <w:pPr>
        <w:pStyle w:val="ListNumber"/>
        <w:spacing w:before="0" w:after="80"/>
        <w:numPr>
          <w:ilvl w:val="0"/>
          <w:numId w:val="15"/>
        </w:numPr>
      </w:pPr>
      <w:r>
        <w:rPr>
          <w:b/>
          <w:i w:val="0"/>
        </w:rPr>
        <w:t>Fragmentasi prioritas</w:t>
      </w:r>
      <w:r>
        <w:rPr>
          <w:b w:val="0"/>
          <w:i w:val="0"/>
        </w:rPr>
        <w:t xml:space="preserve"> – unit‑unit masih beroperasi silo, menyebabkan tumpang tindih sumber daya.</w:t>
      </w:r>
    </w:p>
    <w:p>
      <w:pPr>
        <w:pStyle w:val="ListNumber"/>
        <w:spacing w:before="0" w:after="80"/>
        <w:numPr>
          <w:ilvl w:val="0"/>
          <w:numId w:val="15"/>
        </w:numPr>
      </w:pPr>
      <w:r>
        <w:rPr>
          <w:b/>
          <w:i w:val="0"/>
        </w:rPr>
        <w:t>Koordinasi bisnis‑teknologi tidak konsisten</w:t>
      </w:r>
      <w:r>
        <w:rPr>
          <w:b w:val="0"/>
          <w:i w:val="0"/>
        </w:rPr>
        <w:t xml:space="preserve"> – keputusan jaringan (NOC, rollout) tidak selalu selaras dengan strategi produk.</w:t>
      </w:r>
    </w:p>
    <w:p>
      <w:pPr>
        <w:pStyle w:val="ListNumber"/>
        <w:spacing w:before="0" w:after="80"/>
        <w:numPr>
          <w:ilvl w:val="0"/>
          <w:numId w:val="15"/>
        </w:numPr>
      </w:pPr>
      <w:r>
        <w:rPr>
          <w:b/>
          <w:i w:val="0"/>
        </w:rPr>
        <w:t>Kekurangan governance</w:t>
      </w:r>
      <w:r>
        <w:rPr>
          <w:b w:val="0"/>
          <w:i w:val="0"/>
        </w:rPr>
        <w:t xml:space="preserve"> – tidak ada struktur pengambilan keputusan terdefinisi, sehingga roadmap tidak dapat dipantau real‑time.</w:t>
      </w:r>
    </w:p>
    <w:p>
      <w:pPr>
        <w:pStyle w:val="Heading2"/>
      </w:pPr>
      <w:r>
        <w:rPr>
          <w:rFonts w:ascii="Arial" w:hAnsi="Arial"/>
          <w:b/>
          <w:color w:val="486E4F"/>
        </w:rPr>
        <w:t>2.4 Underlying Gap</w:t>
      </w:r>
    </w:p>
    <w:p>
      <w:pPr>
        <w:pStyle w:val="ListBullet"/>
        <w:spacing w:before="0" w:after="80"/>
        <w:numPr>
          <w:ilvl w:val="0"/>
          <w:numId w:val="16"/>
        </w:numPr>
      </w:pPr>
      <w:r>
        <w:rPr>
          <w:b/>
          <w:i w:val="0"/>
        </w:rPr>
        <w:t>Current State:</w:t>
      </w:r>
      <w:r>
        <w:rPr>
          <w:b w:val="0"/>
          <w:i w:val="0"/>
        </w:rPr>
        <w:t xml:space="preserve"> Delivery mengandalkan ad‑hoc meeting, tanpa metrik standar untuk</w:t>
      </w:r>
      <w:r>
        <w:rPr>
          <w:b w:val="0"/>
          <w:i/>
        </w:rPr>
        <w:t xml:space="preserve"> service availability</w:t>
      </w:r>
      <w:r>
        <w:rPr>
          <w:b w:val="0"/>
          <w:i w:val="0"/>
        </w:rPr>
        <w:t xml:space="preserve"> atau</w:t>
      </w:r>
      <w:r>
        <w:rPr>
          <w:b w:val="0"/>
          <w:i/>
        </w:rPr>
        <w:t xml:space="preserve"> churn</w:t>
      </w:r>
      <w:r>
        <w:rPr>
          <w:b w:val="0"/>
          <w:i w:val="0"/>
        </w:rPr>
        <w:t>; dokumentasi deliverable bersifat informal.</w:t>
      </w:r>
    </w:p>
    <w:p>
      <w:pPr>
        <w:pStyle w:val="ListBullet"/>
        <w:spacing w:before="0" w:after="80"/>
        <w:numPr>
          <w:ilvl w:val="0"/>
          <w:numId w:val="16"/>
        </w:numPr>
      </w:pPr>
      <w:r>
        <w:rPr>
          <w:b/>
          <w:i w:val="0"/>
        </w:rPr>
        <w:t>Target State:</w:t>
      </w:r>
      <w:r>
        <w:rPr>
          <w:b w:val="0"/>
          <w:i w:val="0"/>
        </w:rPr>
        <w:t xml:space="preserve"> Kerangka TOGAF/ITIL/COBIT yang menghubungkan business case dengan execution plan, dilengkapi KPI terukur (service availability ≥ 99,5 %, churn ≤ 1,5 %).</w:t>
      </w:r>
    </w:p>
    <w:p>
      <w:r>
        <w:rPr>
          <w:b w:val="0"/>
          <w:i w:val="0"/>
        </w:rPr>
        <w:t>Kesenjangan utama adalah</w:t>
      </w:r>
      <w:r>
        <w:rPr>
          <w:b/>
          <w:i w:val="0"/>
        </w:rPr>
        <w:t xml:space="preserve"> absence of a unified execution governance model</w:t>
      </w:r>
      <w:r>
        <w:rPr>
          <w:b w:val="0"/>
          <w:i w:val="0"/>
        </w:rPr>
        <w:t xml:space="preserve"> yang mengikat intent bisnis dengan rollout teknis (Data Internal, 2026).</w:t>
      </w:r>
    </w:p>
    <w:p>
      <w:pPr>
        <w:pStyle w:val="Heading2"/>
      </w:pPr>
      <w:r>
        <w:rPr>
          <w:rFonts w:ascii="Arial" w:hAnsi="Arial"/>
          <w:b/>
          <w:color w:val="486E4F"/>
        </w:rPr>
        <w:t>2.5 Implication / Risk</w:t>
      </w:r>
    </w:p>
    <w:p>
      <w:pPr>
        <w:pStyle w:val="ListBullet"/>
        <w:spacing w:before="0" w:after="80"/>
        <w:numPr>
          <w:ilvl w:val="0"/>
          <w:numId w:val="17"/>
        </w:numPr>
      </w:pPr>
      <w:r>
        <w:rPr>
          <w:b/>
          <w:i w:val="0"/>
        </w:rPr>
        <w:t>Operational Risk:</w:t>
      </w:r>
      <w:r>
        <w:rPr>
          <w:b w:val="0"/>
          <w:i w:val="0"/>
        </w:rPr>
        <w:t xml:space="preserve"> Ketidaksesuaian antara rencana jaringan dan kebutuhan pasar menurunkan network availability, meningkatkan churn, dan mengurangi revenue.</w:t>
      </w:r>
    </w:p>
    <w:p>
      <w:pPr>
        <w:pStyle w:val="ListBullet"/>
        <w:spacing w:before="0" w:after="80"/>
        <w:numPr>
          <w:ilvl w:val="0"/>
          <w:numId w:val="17"/>
        </w:numPr>
      </w:pPr>
      <w:r>
        <w:rPr>
          <w:b/>
          <w:i w:val="0"/>
        </w:rPr>
        <w:t>Strategic Risk:</w:t>
      </w:r>
      <w:r>
        <w:rPr>
          <w:b w:val="0"/>
          <w:i w:val="0"/>
        </w:rPr>
        <w:t xml:space="preserve"> Gagal mengintegrasikan spektrum 5G pasca‑merger mengurangi keunggulan kompetitif yang telah terbukti (xlsmart.co.id, 2025).</w:t>
      </w:r>
    </w:p>
    <w:p>
      <w:pPr>
        <w:pStyle w:val="ListBullet"/>
        <w:spacing w:before="0" w:after="80"/>
        <w:numPr>
          <w:ilvl w:val="0"/>
          <w:numId w:val="17"/>
        </w:numPr>
      </w:pPr>
      <w:r>
        <w:rPr>
          <w:b/>
          <w:i w:val="0"/>
        </w:rPr>
        <w:t>Compliance Risk:</w:t>
      </w:r>
      <w:r>
        <w:rPr>
          <w:b w:val="0"/>
          <w:i w:val="0"/>
        </w:rPr>
        <w:t xml:space="preserve"> Tanpa dokumentasi governance sesuai ISO 27001, audit regulator dapat menilai kontrol internal tidak memadai (yogyakarta.bpk.go.id, 2029).</w:t>
      </w:r>
    </w:p>
    <w:p>
      <w:pPr>
        <w:pStyle w:val="Heading2"/>
      </w:pPr>
      <w:r>
        <w:rPr>
          <w:rFonts w:ascii="Arial" w:hAnsi="Arial"/>
          <w:b/>
          <w:color w:val="486E4F"/>
        </w:rPr>
        <w:t>2.6 Need for Solution</w:t>
      </w:r>
    </w:p>
    <w:p>
      <w:r>
        <w:rPr>
          <w:b w:val="0"/>
          <w:i w:val="0"/>
        </w:rPr>
        <w:t>Diperlukan pendekatan terstruktur dengan empat pilar:</w:t>
      </w:r>
    </w:p>
    <w:p>
      <w:pPr>
        <w:pStyle w:val="ListNumber"/>
        <w:spacing w:before="0" w:after="80"/>
        <w:numPr>
          <w:ilvl w:val="0"/>
          <w:numId w:val="18"/>
        </w:numPr>
      </w:pPr>
      <w:r>
        <w:rPr>
          <w:b/>
          <w:i w:val="0"/>
        </w:rPr>
        <w:t>Readiness Assessment</w:t>
      </w:r>
      <w:r>
        <w:rPr>
          <w:b w:val="0"/>
          <w:i w:val="0"/>
        </w:rPr>
        <w:t xml:space="preserve"> – audit proses, data, dan kapabilitas saat ini.</w:t>
      </w:r>
    </w:p>
    <w:p>
      <w:pPr>
        <w:pStyle w:val="ListNumber"/>
        <w:spacing w:before="0" w:after="80"/>
        <w:numPr>
          <w:ilvl w:val="0"/>
          <w:numId w:val="18"/>
        </w:numPr>
      </w:pPr>
      <w:r>
        <w:rPr>
          <w:b/>
          <w:i w:val="0"/>
        </w:rPr>
        <w:t>Phased Rollout</w:t>
      </w:r>
      <w:r>
        <w:rPr>
          <w:b w:val="0"/>
          <w:i w:val="0"/>
        </w:rPr>
        <w:t xml:space="preserve"> – jadwal tersegmentasi berdasarkan prioritas layanan (ULTRA 5G+, XL Circle).</w:t>
      </w:r>
    </w:p>
    <w:p>
      <w:pPr>
        <w:pStyle w:val="ListNumber"/>
        <w:spacing w:before="0" w:after="80"/>
        <w:numPr>
          <w:ilvl w:val="0"/>
          <w:numId w:val="18"/>
        </w:numPr>
      </w:pPr>
      <w:r>
        <w:rPr>
          <w:b/>
          <w:i w:val="0"/>
        </w:rPr>
        <w:t>Change Management</w:t>
      </w:r>
      <w:r>
        <w:rPr>
          <w:b w:val="0"/>
          <w:i w:val="0"/>
        </w:rPr>
        <w:t xml:space="preserve"> – program pelatihan dan komunikasi untuk menyelaraskan budaya bisnis‑teknologi.</w:t>
      </w:r>
    </w:p>
    <w:p>
      <w:pPr>
        <w:pStyle w:val="ListNumber"/>
        <w:spacing w:before="0" w:after="80"/>
        <w:numPr>
          <w:ilvl w:val="0"/>
          <w:numId w:val="18"/>
        </w:numPr>
      </w:pPr>
      <w:r>
        <w:rPr>
          <w:b/>
          <w:i w:val="0"/>
        </w:rPr>
        <w:t>Hyper‑Care</w:t>
      </w:r>
      <w:r>
        <w:rPr>
          <w:b w:val="0"/>
          <w:i w:val="0"/>
        </w:rPr>
        <w:t xml:space="preserve"> – tim support intensif 30 hari pertama tiap fase untuk memastikan service assurance.</w:t>
      </w:r>
    </w:p>
    <w:p>
      <w:r>
        <w:rPr>
          <w:b w:val="0"/>
          <w:i w:val="0"/>
        </w:rPr>
        <w:t>Solusi harus menghasilkan:</w:t>
      </w:r>
    </w:p>
    <w:p>
      <w:pPr>
        <w:pStyle w:val="ListBullet"/>
        <w:spacing w:before="0" w:after="80"/>
        <w:numPr>
          <w:ilvl w:val="0"/>
          <w:numId w:val="19"/>
        </w:numPr>
      </w:pPr>
      <w:r>
        <w:rPr>
          <w:b/>
          <w:i w:val="0"/>
        </w:rPr>
        <w:t>Roadmap eksekusi</w:t>
      </w:r>
      <w:r>
        <w:rPr>
          <w:b w:val="0"/>
          <w:i w:val="0"/>
        </w:rPr>
        <w:t xml:space="preserve"> dengan milestone bulanan, KPI terukur, dan mekanisme eskalasi.</w:t>
      </w:r>
    </w:p>
    <w:p>
      <w:pPr>
        <w:pStyle w:val="ListBullet"/>
        <w:spacing w:before="0" w:after="80"/>
        <w:numPr>
          <w:ilvl w:val="0"/>
          <w:numId w:val="19"/>
        </w:numPr>
      </w:pPr>
      <w:r>
        <w:rPr>
          <w:b/>
          <w:i w:val="0"/>
        </w:rPr>
        <w:t>Governance board</w:t>
      </w:r>
      <w:r>
        <w:rPr>
          <w:b w:val="0"/>
          <w:i w:val="0"/>
        </w:rPr>
        <w:t xml:space="preserve"> yang melibatkan stakeholder bisnis, NOC, dan unit jaringan, beroperasi sesuai prinsip COBIT.</w:t>
      </w:r>
    </w:p>
    <w:p>
      <w:r>
        <w:rPr>
          <w:b w:val="0"/>
          <w:i w:val="0"/>
        </w:rPr>
        <w:t>Dengan struktur ini, XL Axiata dapat mengkonversi Gelombang Uji Beban 5 menjadi hasil operasional terukur, menurunkan churn, dan meningkatkan</w:t>
      </w:r>
    </w:p>
    <w:p>
      <w:r>
        <w:rPr>
          <w:b w:val="0"/>
          <w:i w:val="0"/>
        </w:rPr>
        <w:t>Definisi masalah untuk XL Axiata perlu dibangun dengan pola yang konsisten agar sponsor dapat melihat hubungan langsung antara konteks bisnis, tantangan utama, gap yang mendasari, risiko yang muncul, dan kebutuhan solusi. Dengan pendekatan ini, bab permasalahan tidak berhenti pada daftar pain point, tetapi benar-benar menjelaskan mengapa gap antara current state dan target state perlu ditutup dengan intervensi yang lebih terukur. Rujukan konteks yang tetap dipakai adalah Warga Banjarmasin sekarang sudah bisa merasakan koneksi lebih ngebut dengan hadirnya XL ULTRA 5G+ dari XL Axiata. Dengan kecepatan hingga 500 Mbps, aktivitas... (facebook.com, 2026).</w:t>
      </w:r>
    </w:p>
    <w:p>
      <w:pPr>
        <w:pStyle w:val="ListBullet"/>
        <w:spacing w:before="0" w:after="80"/>
        <w:numPr>
          <w:ilvl w:val="0"/>
          <w:numId w:val="20"/>
        </w:numPr>
      </w:pPr>
      <w:r>
        <w:rPr>
          <w:b w:val="0"/>
          <w:i w:val="0"/>
        </w:rPr>
        <w:t>Pola definisi masalah membantu XL Axiata membedakan gejala operasional dari akar gap yang perlu diprioritaskan.</w:t>
      </w:r>
    </w:p>
    <w:p>
      <w:pPr>
        <w:pStyle w:val="ListBullet"/>
        <w:spacing w:before="0" w:after="80"/>
        <w:numPr>
          <w:ilvl w:val="0"/>
          <w:numId w:val="20"/>
        </w:numPr>
      </w:pPr>
      <w:r>
        <w:rPr>
          <w:b w:val="0"/>
          <w:i w:val="0"/>
        </w:rPr>
        <w:t>Untuk menjaga relevansi eksekusi, rumusan masalah harus tetap ditautkan ke KPI seperti Service availability dan pengalaman pelanggan meningkat dalam 8 bulan. | Churn pelanggan menurun dan quality of service membaik dalam 8 bulan. dan istilah kerja subscriber, network availability.</w:t>
      </w:r>
    </w:p>
    <w:p>
      <w:pPr>
        <w:pStyle w:val="ListBullet"/>
        <w:spacing w:before="0" w:after="80"/>
        <w:numPr>
          <w:ilvl w:val="0"/>
          <w:numId w:val="20"/>
        </w:numPr>
      </w:pPr>
      <w:r>
        <w:rPr>
          <w:b w:val="0"/>
          <w:i w:val="0"/>
        </w:rPr>
        <w:t>Rumusan masalah ini menjadi dasar klasifikasi kebutuhan pada bab berikutnya.</w:t>
      </w:r>
    </w:p>
    <w:p>
      <w:r>
        <w:br w:type="page"/>
      </w:r>
    </w:p>
    <w:p>
      <w:pPr>
        <w:pStyle w:val="Heading1"/>
        <w:jc w:val="center"/>
      </w:pPr>
      <w:r>
        <w:rPr>
          <w:color w:val="486E4F"/>
        </w:rPr>
        <w:t>BAB III – KLASIFIKASI KEBUTUHAN</w:t>
      </w:r>
    </w:p>
    <w:p>
      <w:r>
        <w:rPr>
          <w:b w:val="0"/>
          <w:i w:val="0"/>
        </w:rPr>
        <w:t>Bab klasifikasi kebutuhan untuk XL Axiata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Problem</w:t>
      </w:r>
      <w:r>
        <w:rPr>
          <w:b w:val="0"/>
          <w:i w:val="0"/>
        </w:rPr>
        <w:t>. Pilihan ini dibuat agar proposal tidak melebar, melainkan langsung mengunci prioritas yang paling berpengaruh pada outcome seperti Service availability dan pengalaman pelanggan meningkat dalam 8 bulan. | Churn pelanggan menurun dan quality of service membaik dalam 8 bulan. | Efisiensi operasi network support meningkat dalam 8 bulan.. Bab ini ditulis sebagai penajaman arah penawaran agar sponsor segera melihat fokus kerja yang paling relevan. (Data Internal, 2026).</w:t>
      </w:r>
    </w:p>
    <w:p>
      <w:pPr>
        <w:pStyle w:val="Heading2"/>
      </w:pPr>
      <w:r>
        <w:rPr>
          <w:rFonts w:ascii="Arial" w:hAnsi="Arial"/>
          <w:b/>
          <w:color w:val="486E4F"/>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Fokus utama</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Konteks pendukung</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Konteks pendukung</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Problem</w:t>
      </w:r>
      <w:r>
        <w:rPr>
          <w:b w:val="0"/>
          <w:i w:val="0"/>
        </w:rPr>
        <w:t>, sedangkan kebutuhan lain diposisikan sebagai konteks pendukung agar arah kerja tetap terkendali. Bagi XL Axiata, penajaman ini penting supaya scope, metode kerja, dan bentuk keluaran tidak tersebar ke terlalu banyak sasaran sejak awal. - Kebutuhan sekunder yang tetap diperhatikan: Tidak ada kebutuhan sekunder yang perlu diprioritaskan pada tahap awal.. - Penetapan fokus utama juga harus tetap membaca risiko seperti gelombang uji beban 5: prioritas kerja masih tersebar, koordinasi bisnis-teknologi belum konsisten, dan dibutuhkan kejelasan ruang lingkup, deliverable... dan kaitannya dengan target bisnis Service availability dan pengalaman pelanggan meningkat dalam 8 bulan. | Churn pelanggan menurun dan quality of service membaik dalam 8 bulan. | Efisiensi operasi network support meningkat dalam 8 bulan..</w:t>
      </w:r>
    </w:p>
    <w:p>
      <w:pPr>
        <w:pStyle w:val="Heading2"/>
      </w:pPr>
      <w:r>
        <w:rPr>
          <w:rFonts w:ascii="Arial" w:hAnsi="Arial"/>
          <w:b/>
          <w:color w:val="486E4F"/>
        </w:rPr>
        <w:t>3.2 Tujuan Utama dan Jenis Proyek</w:t>
      </w:r>
    </w:p>
    <w:p>
      <w:r>
        <w:rPr>
          <w:b w:val="0"/>
          <w:i w:val="0"/>
        </w:rPr>
        <w:t>Dengan fokus kebutuhan yang sudah mengerucut, tujuan utama proyek dapat ditegaskan sebagai upaya membantu XL Axiata mencapai gelombang uji beban 5: penguatan tata kelola delivery, percepatan keputusan lintas unit, dan penyusunan roadmap eksekusi yang lebih... melalui model kerja</w:t>
      </w:r>
      <w:r>
        <w:rPr>
          <w:b/>
          <w:i w:val="0"/>
        </w:rPr>
        <w:t xml:space="preserve"> Transformation</w:t>
      </w:r>
      <w:r>
        <w:rPr>
          <w:b w:val="0"/>
          <w:i w:val="0"/>
        </w:rPr>
        <w:t>. Jenis proyek ini dipandang paling tepat karena masih sejalan dengan baseline metodologi internal 1. Readiness Assessment 2. Phased Rollout 3. Change Management 4. Hypercare, sekaligus cukup kuat untuk menerjemahkan kebutuhan problem menjadi deliverable, keputusan, dan quality gate yang dapat dijalankan. - Tujuan utama proposal adalah mengubah kebutuhan problem menjadi program kerja yang lebih terstruktur, terukur, dan mudah dikendalikan. - Jenis proyek</w:t>
      </w:r>
      <w:r>
        <w:rPr>
          <w:b/>
          <w:i w:val="0"/>
        </w:rPr>
        <w:t xml:space="preserve"> Transformation</w:t>
      </w:r>
      <w:r>
        <w:rPr>
          <w:b w:val="0"/>
          <w:i w:val="0"/>
        </w:rPr>
        <w:t xml:space="preserve"> dipilih karena paling sesuai untuk menjaga outcome mobilisasi yang lebih cepat, kontrol risiko perubahan yang lebih baik, adopsi hasil yang lebih stabil tetap realistis dicapai oleh XL Axiata. - Dengan penajaman ini, bab berikutnya dapat langsung berbicara tentang pendekatan, metodologi, dan solution design yang fokus pada kebutuhan yang benar-benar diputuskan untuk ditangani.</w:t>
      </w:r>
    </w:p>
    <w:p>
      <w:pPr>
        <w:pStyle w:val="ListNumber"/>
        <w:spacing w:before="0" w:after="80"/>
        <w:numPr>
          <w:ilvl w:val="0"/>
          <w:numId w:val="21"/>
        </w:numPr>
      </w:pPr>
      <w:r>
        <w:rPr>
          <w:b w:val="0"/>
          <w:i w:val="0"/>
        </w:rPr>
        <w:t>Prioritas implementasi untuk XL Axiata diarahkan agar tetap selaras dengan Service availability dan pengalaman pelanggan meningkat dalam 8 bulan. | Churn pelanggan menurun dan quality of service membaik dalam 8 bulan..</w:t>
      </w:r>
    </w:p>
    <w:p>
      <w:pPr>
        <w:pStyle w:val="ListNumber"/>
        <w:spacing w:before="0" w:after="80"/>
        <w:numPr>
          <w:ilvl w:val="0"/>
          <w:numId w:val="21"/>
        </w:numPr>
      </w:pPr>
      <w:r>
        <w:rPr>
          <w:b w:val="0"/>
          <w:i w:val="0"/>
        </w:rPr>
        <w:t>Keputusan delivery dan quality gate pada bab ini harus konsisten dengan istilah kerja subscriber, network availability. - Anchor inisiatif yang tetap dirujuk adalah Warga Banjarmasin sekarang sudah bisa merasakan koneksi lebih ngebut dengan hadirnya XL ULTRA 5G+ dari XL Axiata. Dengan kecepatan hingga 500 Mbps, aktivitas... (facebook.com, 2026).</w:t>
      </w:r>
    </w:p>
    <w:p>
      <w:r>
        <w:br w:type="page"/>
      </w:r>
    </w:p>
    <w:p>
      <w:pPr>
        <w:pStyle w:val="Heading1"/>
        <w:jc w:val="center"/>
      </w:pPr>
      <w:r>
        <w:rPr>
          <w:color w:val="486E4F"/>
        </w:rPr>
        <w:t>BAB IV – PENDEKATAN</w:t>
      </w:r>
    </w:p>
    <w:p>
      <w:pPr>
        <w:pStyle w:val="Heading2"/>
      </w:pPr>
      <w:r>
        <w:rPr>
          <w:rFonts w:ascii="Arial" w:hAnsi="Arial"/>
          <w:b/>
          <w:color w:val="486E4F"/>
        </w:rPr>
        <w:t>4.1 Acuan Prinsip/Framework/Teori/Regulasi</w:t>
      </w:r>
    </w:p>
    <w:p>
      <w:pPr>
        <w:pStyle w:val="Heading3"/>
      </w:pPr>
      <w:r>
        <w:rPr>
          <w:rFonts w:ascii="Arial" w:hAnsi="Arial"/>
          <w:b/>
          <w:color w:val="486E4F"/>
        </w:rPr>
        <w:t>4.1.1 Kerangka Enterprise Architecture</w:t>
      </w:r>
    </w:p>
    <w:p>
      <w:pPr>
        <w:pStyle w:val="ListBullet"/>
        <w:spacing w:before="0" w:after="80"/>
        <w:numPr>
          <w:ilvl w:val="0"/>
          <w:numId w:val="22"/>
        </w:numPr>
      </w:pPr>
      <w:r>
        <w:rPr>
          <w:b/>
          <w:i w:val="0"/>
        </w:rPr>
        <w:t>TOGAF</w:t>
      </w:r>
      <w:r>
        <w:rPr>
          <w:b w:val="0"/>
          <w:i w:val="0"/>
        </w:rPr>
        <w:t xml:space="preserve"> – memetakan</w:t>
      </w:r>
      <w:r>
        <w:rPr>
          <w:b w:val="0"/>
          <w:i/>
        </w:rPr>
        <w:t xml:space="preserve"> business capability</w:t>
      </w:r>
      <w:r>
        <w:rPr>
          <w:b w:val="0"/>
          <w:i w:val="0"/>
        </w:rPr>
        <w:t xml:space="preserve"> Fixed‑Mobile Convergence (FMC) ke lapisan teknologi 5G + fiber; menghasilkan blueprint yang menyatukan keputusan jaringan, produk, dan pemasaran dalam satu artefak.</w:t>
      </w:r>
    </w:p>
    <w:p>
      <w:pPr>
        <w:pStyle w:val="ListBullet"/>
        <w:spacing w:before="0" w:after="80"/>
        <w:numPr>
          <w:ilvl w:val="0"/>
          <w:numId w:val="22"/>
        </w:numPr>
      </w:pPr>
      <w:r>
        <w:rPr>
          <w:b/>
          <w:i w:val="0"/>
        </w:rPr>
        <w:t>COBIT 2019</w:t>
      </w:r>
      <w:r>
        <w:rPr>
          <w:b w:val="0"/>
          <w:i w:val="0"/>
        </w:rPr>
        <w:t xml:space="preserve"> – menjadi dasar</w:t>
      </w:r>
      <w:r>
        <w:rPr>
          <w:b w:val="0"/>
          <w:i/>
        </w:rPr>
        <w:t xml:space="preserve"> governance</w:t>
      </w:r>
      <w:r>
        <w:rPr>
          <w:b w:val="0"/>
          <w:i w:val="0"/>
        </w:rPr>
        <w:t xml:space="preserve"> perubahan; setiap</w:t>
      </w:r>
      <w:r>
        <w:rPr>
          <w:b w:val="0"/>
          <w:i/>
        </w:rPr>
        <w:t xml:space="preserve"> control objective</w:t>
      </w:r>
      <w:r>
        <w:rPr>
          <w:b w:val="0"/>
          <w:i w:val="0"/>
        </w:rPr>
        <w:t xml:space="preserve"> (mis. “Manage Change”, “Ensure Risk Management”) di‑link ke KPI churn dan ARPU sehingga unit bisnis dan TI bertanggung jawab secara terukur.</w:t>
      </w:r>
    </w:p>
    <w:p>
      <w:pPr>
        <w:pStyle w:val="Heading3"/>
      </w:pPr>
      <w:r>
        <w:rPr>
          <w:rFonts w:ascii="Arial" w:hAnsi="Arial"/>
          <w:b/>
          <w:color w:val="486E4F"/>
        </w:rPr>
        <w:t>4.1.2 Manajemen Layanan &amp; Keamanan</w:t>
      </w:r>
    </w:p>
    <w:p>
      <w:pPr>
        <w:pStyle w:val="ListBullet"/>
        <w:spacing w:before="0" w:after="80"/>
        <w:numPr>
          <w:ilvl w:val="0"/>
          <w:numId w:val="23"/>
        </w:numPr>
      </w:pPr>
      <w:r>
        <w:rPr>
          <w:b/>
          <w:i w:val="0"/>
        </w:rPr>
        <w:t>ITIL v4</w:t>
      </w:r>
      <w:r>
        <w:rPr>
          <w:b w:val="0"/>
          <w:i w:val="0"/>
        </w:rPr>
        <w:t xml:space="preserve"> – mengatur</w:t>
      </w:r>
      <w:r>
        <w:rPr>
          <w:b w:val="0"/>
          <w:i/>
        </w:rPr>
        <w:t xml:space="preserve"> service assurance</w:t>
      </w:r>
      <w:r>
        <w:rPr>
          <w:b w:val="0"/>
          <w:i w:val="0"/>
        </w:rPr>
        <w:t xml:space="preserve"> NOC,</w:t>
      </w:r>
      <w:r>
        <w:rPr>
          <w:b w:val="0"/>
          <w:i/>
        </w:rPr>
        <w:t xml:space="preserve"> incident</w:t>
      </w:r>
      <w:r>
        <w:rPr>
          <w:b w:val="0"/>
          <w:i w:val="0"/>
        </w:rPr>
        <w:t xml:space="preserve"> dan</w:t>
      </w:r>
      <w:r>
        <w:rPr>
          <w:b w:val="0"/>
          <w:i/>
        </w:rPr>
        <w:t xml:space="preserve"> problem management</w:t>
      </w:r>
      <w:r>
        <w:rPr>
          <w:b w:val="0"/>
          <w:i w:val="0"/>
        </w:rPr>
        <w:t xml:space="preserve"> dengan target MTTR ≤ 30 menit serta network availability ≥ 99,5 % (baseline 98,2 % – Data Internal, 2026).</w:t>
      </w:r>
    </w:p>
    <w:p>
      <w:pPr>
        <w:pStyle w:val="ListBullet"/>
        <w:spacing w:before="0" w:after="80"/>
        <w:numPr>
          <w:ilvl w:val="0"/>
          <w:numId w:val="23"/>
        </w:numPr>
      </w:pPr>
      <w:r>
        <w:rPr>
          <w:b/>
          <w:i w:val="0"/>
        </w:rPr>
        <w:t>ISO 27001</w:t>
      </w:r>
      <w:r>
        <w:rPr>
          <w:b w:val="0"/>
          <w:i w:val="0"/>
        </w:rPr>
        <w:t xml:space="preserve"> – menjamin perlindungan data pelanggan selama migrasi spektrum dan rollout fiber; mengurangi risiko</w:t>
      </w:r>
      <w:r>
        <w:rPr>
          <w:b w:val="0"/>
          <w:i/>
        </w:rPr>
        <w:t xml:space="preserve"> data breach</w:t>
      </w:r>
      <w:r>
        <w:rPr>
          <w:b w:val="0"/>
          <w:i w:val="0"/>
        </w:rPr>
        <w:t xml:space="preserve"> yang dapat memperparah churn.</w:t>
      </w:r>
    </w:p>
    <w:p>
      <w:pPr>
        <w:pStyle w:val="Heading3"/>
      </w:pPr>
      <w:r>
        <w:rPr>
          <w:rFonts w:ascii="Arial" w:hAnsi="Arial"/>
          <w:b/>
          <w:color w:val="486E4F"/>
        </w:rPr>
        <w:t>4.1.3 Pendekatan Perubahan &amp; Efisiensi</w:t>
      </w:r>
    </w:p>
    <w:p>
      <w:pPr>
        <w:pStyle w:val="ListBullet"/>
        <w:spacing w:before="0" w:after="80"/>
        <w:numPr>
          <w:ilvl w:val="0"/>
          <w:numId w:val="24"/>
        </w:numPr>
      </w:pPr>
      <w:r>
        <w:rPr>
          <w:b/>
          <w:i w:val="0"/>
        </w:rPr>
        <w:t>Model Lewin (Unfreeze‑Change‑Refreeze)</w:t>
      </w:r>
      <w:r>
        <w:rPr>
          <w:b w:val="0"/>
          <w:i w:val="0"/>
        </w:rPr>
        <w:t xml:space="preserve"> – mengelola resistensi internal pada fase</w:t>
      </w:r>
      <w:r>
        <w:rPr>
          <w:b w:val="0"/>
          <w:i/>
        </w:rPr>
        <w:t xml:space="preserve"> hyper‑care</w:t>
      </w:r>
      <w:r>
        <w:rPr>
          <w:b w:val="0"/>
          <w:i w:val="0"/>
        </w:rPr>
        <w:t xml:space="preserve"> dengan workshop persetujuan dan dokumentasi standar.</w:t>
      </w:r>
    </w:p>
    <w:p>
      <w:pPr>
        <w:pStyle w:val="ListBullet"/>
        <w:spacing w:before="0" w:after="80"/>
        <w:numPr>
          <w:ilvl w:val="0"/>
          <w:numId w:val="24"/>
        </w:numPr>
      </w:pPr>
      <w:r>
        <w:rPr>
          <w:b/>
          <w:i w:val="0"/>
        </w:rPr>
        <w:t>Lean Six Sigma</w:t>
      </w:r>
      <w:r>
        <w:rPr>
          <w:b w:val="0"/>
          <w:i w:val="0"/>
        </w:rPr>
        <w:t xml:space="preserve"> – mengidentifikasi</w:t>
      </w:r>
      <w:r>
        <w:rPr>
          <w:b w:val="0"/>
          <w:i/>
        </w:rPr>
        <w:t xml:space="preserve"> waste</w:t>
      </w:r>
      <w:r>
        <w:rPr>
          <w:b w:val="0"/>
          <w:i w:val="0"/>
        </w:rPr>
        <w:t xml:space="preserve"> pada proses</w:t>
      </w:r>
      <w:r>
        <w:rPr>
          <w:b w:val="0"/>
          <w:i/>
        </w:rPr>
        <w:t xml:space="preserve"> manual hand‑offs</w:t>
      </w:r>
      <w:r>
        <w:rPr>
          <w:b w:val="0"/>
          <w:i w:val="0"/>
        </w:rPr>
        <w:t xml:space="preserve"> rollout; target pengurangan siklus rollout 20 % (DPMO &lt; 150).</w:t>
      </w:r>
    </w:p>
    <w:p>
      <w:r>
        <w:rPr>
          <w:b/>
          <w:i w:val="0"/>
        </w:rPr>
        <w:t>Contoh aplikasi:</w:t>
      </w:r>
      <w:r>
        <w:rPr>
          <w:b w:val="0"/>
          <w:i w:val="0"/>
        </w:rPr>
        <w:t xml:space="preserve"> Pada Q2 2025 XLSMART meningkatkan network availability setelah integrasi spektrum Smartfren (xlsmart.co.id, 2025). Pendekatan TOGAF‑ITIL yang sama akan dipakai untuk meng‑orchestrasi</w:t>
      </w:r>
      <w:r>
        <w:rPr>
          <w:b w:val="0"/>
          <w:i/>
        </w:rPr>
        <w:t xml:space="preserve"> phased rollout</w:t>
      </w:r>
      <w:r>
        <w:rPr>
          <w:b w:val="0"/>
          <w:i w:val="0"/>
        </w:rPr>
        <w:t xml:space="preserve"> beban 5 tanpa mengganggu layanan “XL ULTRA 5G+” di Banjarmasin (facebook.com, 2026). Peluncuran fitur “</w:t>
      </w:r>
    </w:p>
    <w:p>
      <w:pPr>
        <w:pStyle w:val="Heading2"/>
      </w:pPr>
      <w:r>
        <w:rPr>
          <w:rFonts w:ascii="Arial" w:hAnsi="Arial"/>
          <w:b/>
          <w:color w:val="486E4F"/>
        </w:rPr>
        <w:t>4.2 Standar Penyelesaian Masalah</w:t>
      </w:r>
    </w:p>
    <w:p>
      <w:pPr>
        <w:pStyle w:val="Heading3"/>
      </w:pPr>
      <w:r>
        <w:rPr>
          <w:rFonts w:ascii="Arial" w:hAnsi="Arial"/>
          <w:b/>
          <w:color w:val="486E4F"/>
        </w:rPr>
        <w:t>Rincian Inti</w:t>
      </w:r>
    </w:p>
    <w:p>
      <w:pPr>
        <w:pStyle w:val="ListNumber"/>
        <w:spacing w:before="0" w:after="80"/>
        <w:numPr>
          <w:ilvl w:val="0"/>
          <w:numId w:val="25"/>
        </w:numPr>
      </w:pPr>
      <w:r>
        <w:rPr>
          <w:b w:val="0"/>
          <w:i w:val="0"/>
        </w:rPr>
        <w:t>Aktivitas utama pada bagian ini disesuaikan langsung dengan kebutuhan bisnis klien. - Risiko, dependensi, dan indikator keberhasilan dijabarkan secara terukur untuk eksekusi. - Untuk XL Axiata, isi bab ini tetap diarahkan pada keputusan dan langkah kerja yang konkret.</w:t>
      </w:r>
    </w:p>
    <w:p>
      <w:r>
        <w:rPr>
          <w:b w:val="0"/>
          <w:i w:val="0"/>
        </w:rPr>
        <w:t>Untuk XL Axiata, isi bab ini harus dibaca sebagai dasar keputusan kerja yang dapat ditindaklanjuti, bukan sekadar penjelasan konseptual. Karena itu, isi bab tetap diarahkan untuk menjaga relevansi terhadap KPI seperti Service availability dan pengalaman pelanggan meningkat dalam 8 bulan. | Churn pelanggan menurun dan quality of service membaik dalam 8 bulan. dan istilah kerja subscriber, network availability.</w:t>
      </w:r>
    </w:p>
    <w:p>
      <w:r>
        <w:br w:type="page"/>
      </w:r>
    </w:p>
    <w:p>
      <w:pPr>
        <w:pStyle w:val="Heading1"/>
        <w:jc w:val="center"/>
      </w:pPr>
      <w:r>
        <w:rPr>
          <w:color w:val="486E4F"/>
        </w:rPr>
        <w:t>BAB V – METODOLOGI</w:t>
      </w:r>
    </w:p>
    <w:p>
      <w:pPr>
        <w:pStyle w:val="Heading2"/>
      </w:pPr>
      <w:r>
        <w:rPr>
          <w:rFonts w:ascii="Arial" w:hAnsi="Arial"/>
          <w:b/>
          <w:color w:val="486E4F"/>
        </w:rPr>
        <w:t>5.1 Alasan Pemilihan Metodologi</w:t>
      </w:r>
    </w:p>
    <w:p>
      <w:r>
        <w:rPr>
          <w:b w:val="0"/>
          <w:i w:val="0"/>
        </w:rPr>
        <w:t>Empat pilar — Readiness Assessment, Phased Rollout, Change Management, dan Hyper‑care — dipilih karena:</w:t>
      </w:r>
    </w:p>
    <w:p>
      <w:pPr>
        <w:pStyle w:val="ListNumber"/>
        <w:spacing w:before="0" w:after="80"/>
        <w:numPr>
          <w:ilvl w:val="0"/>
          <w:numId w:val="26"/>
        </w:numPr>
      </w:pPr>
      <w:r>
        <w:rPr>
          <w:b/>
          <w:i w:val="0"/>
        </w:rPr>
        <w:t>Kesesuaian dengan KPI strategis</w:t>
      </w:r>
      <w:r>
        <w:rPr>
          <w:b w:val="0"/>
          <w:i w:val="0"/>
        </w:rPr>
        <w:t xml:space="preserve"> – Target peningkatan network availability dan penurunan churn dalam 8 bulan menuntut kontrol mutu berlapis (Data Internal, 2026).</w:t>
      </w:r>
    </w:p>
    <w:p>
      <w:pPr>
        <w:pStyle w:val="ListNumber"/>
        <w:spacing w:before="0" w:after="80"/>
        <w:numPr>
          <w:ilvl w:val="0"/>
          <w:numId w:val="26"/>
        </w:numPr>
      </w:pPr>
      <w:r>
        <w:rPr>
          <w:b/>
          <w:i w:val="0"/>
        </w:rPr>
        <w:t>Kepatuhan regulasi &amp; tata kelola</w:t>
      </w:r>
      <w:r>
        <w:rPr>
          <w:b w:val="0"/>
          <w:i w:val="0"/>
        </w:rPr>
        <w:t xml:space="preserve"> – BAB IV‑VI mengadopsi TOGAF, ITIL, COBIT, dan ISO 27001; metodologi ini menyediakan artefak audit‑ready dan dokumentasi standar (yogyakarta.bpk.go.id, 2029).</w:t>
      </w:r>
    </w:p>
    <w:p>
      <w:pPr>
        <w:pStyle w:val="ListNumber"/>
        <w:spacing w:before="0" w:after="80"/>
        <w:numPr>
          <w:ilvl w:val="0"/>
          <w:numId w:val="26"/>
        </w:numPr>
      </w:pPr>
      <w:r>
        <w:rPr>
          <w:b/>
          <w:i w:val="0"/>
        </w:rPr>
        <w:t>Pembuktian pasar</w:t>
      </w:r>
      <w:r>
        <w:rPr>
          <w:b w:val="0"/>
          <w:i w:val="0"/>
        </w:rPr>
        <w:t xml:space="preserve"> – XLSMART mencatat pertumbuhan double‑digit pasca‑merger serta tiga penghargaan bergengsi, membuktikan integrasi layanan seluler‑fixed dapat meningkatkan ARPU dan menurunkan churn (xlsmart.co.id, 2025; instagram.com, 2025).</w:t>
      </w:r>
    </w:p>
    <w:p>
      <w:r>
        <w:rPr>
          <w:b w:val="0"/>
          <w:i w:val="0"/>
        </w:rPr>
        <w:t>Kombinasi kecepatan (Phased Rollout) dan mitigasi risiko (Readiness &amp; Hyper‑care) memastikan eksekusi terukur, sedangkan Change Management menutup celah sinkronisasi lintas unit yang selama ini menjadi titik friksi pada gelombang uji beban 5 (Data Internal, 2026).</w:t>
      </w:r>
    </w:p>
    <w:p>
      <w:pPr>
        <w:pStyle w:val="Heading2"/>
      </w:pPr>
      <w:r>
        <w:rPr>
          <w:rFonts w:ascii="Arial" w:hAnsi="Arial"/>
          <w:b/>
          <w:color w:val="486E4F"/>
        </w:rPr>
        <w:t>5.2 Langkah Kerja dengan Framework Terpilih</w:t>
      </w:r>
    </w:p>
    <w:p>
      <w:r>
        <w:rPr>
          <w:b w:val="0"/>
          <w:i w:val="0"/>
        </w:rPr>
        <w:t>Berikut alur kerja 8 bulan, tiap fase menghasilkan deliverable terukur:</w:t>
      </w:r>
    </w:p>
    <w:p>
      <w:pPr>
        <w:pStyle w:val="ListBullet"/>
        <w:spacing w:before="0" w:after="80"/>
        <w:numPr>
          <w:ilvl w:val="0"/>
          <w:numId w:val="27"/>
        </w:numPr>
      </w:pPr>
      <w:r>
        <w:rPr>
          <w:b/>
          <w:i w:val="0"/>
        </w:rPr>
        <w:t>Readiness Assessment</w:t>
      </w:r>
    </w:p>
    <w:p>
      <w:pPr>
        <w:pStyle w:val="ListBullet"/>
        <w:spacing w:before="0" w:after="80"/>
        <w:numPr>
          <w:ilvl w:val="0"/>
          <w:numId w:val="27"/>
        </w:numPr>
      </w:pPr>
      <w:r>
        <w:rPr>
          <w:b w:val="0"/>
          <w:i/>
        </w:rPr>
        <w:t>Aktivitas</w:t>
      </w:r>
    </w:p>
    <w:p>
      <w:pPr>
        <w:pStyle w:val="ListBullet"/>
        <w:spacing w:before="0" w:after="80"/>
        <w:numPr>
          <w:ilvl w:val="0"/>
          <w:numId w:val="27"/>
        </w:numPr>
      </w:pPr>
      <w:r>
        <w:rPr>
          <w:b w:val="0"/>
          <w:i w:val="0"/>
        </w:rPr>
        <w:t>Audit inventaris NOC/OSS‑BSS dengan checklist COBIT 5.</w:t>
      </w:r>
    </w:p>
    <w:p>
      <w:pPr>
        <w:pStyle w:val="ListBullet"/>
        <w:spacing w:before="0" w:after="80"/>
        <w:numPr>
          <w:ilvl w:val="0"/>
          <w:numId w:val="27"/>
        </w:numPr>
      </w:pPr>
      <w:r>
        <w:rPr>
          <w:b w:val="0"/>
          <w:i w:val="0"/>
        </w:rPr>
        <w:t>Evaluasi kapasitas spektrum 5G pasca‑merger (antaranews.com, 2026).</w:t>
      </w:r>
    </w:p>
    <w:p>
      <w:pPr>
        <w:pStyle w:val="ListBullet"/>
        <w:spacing w:before="0" w:after="80"/>
        <w:numPr>
          <w:ilvl w:val="0"/>
          <w:numId w:val="27"/>
        </w:numPr>
      </w:pPr>
      <w:r>
        <w:rPr>
          <w:b w:val="0"/>
          <w:i w:val="0"/>
        </w:rPr>
        <w:t>Survey kepuasan subscriber XL ULTRA 5G+ di Banjarmasin (facebook.com, 2026).</w:t>
      </w:r>
    </w:p>
    <w:p>
      <w:pPr>
        <w:pStyle w:val="ListBullet"/>
        <w:spacing w:before="0" w:after="80"/>
        <w:numPr>
          <w:ilvl w:val="0"/>
          <w:numId w:val="27"/>
        </w:numPr>
      </w:pPr>
      <w:r>
        <w:rPr>
          <w:b w:val="0"/>
          <w:i/>
        </w:rPr>
        <w:t>Output</w:t>
      </w:r>
    </w:p>
    <w:p>
      <w:pPr>
        <w:pStyle w:val="ListBullet"/>
        <w:spacing w:before="0" w:after="80"/>
        <w:numPr>
          <w:ilvl w:val="0"/>
          <w:numId w:val="27"/>
        </w:numPr>
      </w:pPr>
      <w:r>
        <w:rPr>
          <w:b w:val="0"/>
          <w:i w:val="0"/>
        </w:rPr>
        <w:t>Gap &amp; Risk Register (readiness ≥ 80 %).</w:t>
      </w:r>
    </w:p>
    <w:p>
      <w:pPr>
        <w:pStyle w:val="ListBullet"/>
        <w:spacing w:before="0" w:after="80"/>
        <w:numPr>
          <w:ilvl w:val="0"/>
          <w:numId w:val="27"/>
        </w:numPr>
      </w:pPr>
      <w:r>
        <w:rPr>
          <w:b w:val="0"/>
          <w:i w:val="0"/>
        </w:rPr>
        <w:t>Roadmap mitigasi terintegrasi dalam TOGAF Architecture Vision.</w:t>
      </w:r>
    </w:p>
    <w:p>
      <w:pPr>
        <w:pStyle w:val="ListBullet"/>
        <w:spacing w:before="0" w:after="80"/>
        <w:numPr>
          <w:ilvl w:val="0"/>
          <w:numId w:val="27"/>
        </w:numPr>
      </w:pPr>
      <w:r>
        <w:rPr>
          <w:b/>
          <w:i w:val="0"/>
        </w:rPr>
        <w:t>Phased Rollout</w:t>
      </w:r>
    </w:p>
    <w:p>
      <w:pPr>
        <w:pStyle w:val="ListBullet"/>
        <w:spacing w:before="0" w:after="80"/>
        <w:numPr>
          <w:ilvl w:val="0"/>
          <w:numId w:val="27"/>
        </w:numPr>
      </w:pPr>
      <w:r>
        <w:rPr>
          <w:b w:val="0"/>
          <w:i/>
        </w:rPr>
        <w:t>Fase I – Pilot (Kota A)</w:t>
      </w:r>
    </w:p>
    <w:p>
      <w:pPr>
        <w:pStyle w:val="ListBullet"/>
        <w:spacing w:before="0" w:after="80"/>
        <w:numPr>
          <w:ilvl w:val="0"/>
          <w:numId w:val="27"/>
        </w:numPr>
      </w:pPr>
      <w:r>
        <w:rPr>
          <w:b w:val="0"/>
          <w:i w:val="0"/>
        </w:rPr>
        <w:t>Deploy konfigurasi jaringan rekomendasi assessment.</w:t>
      </w:r>
    </w:p>
    <w:p>
      <w:pPr>
        <w:pStyle w:val="ListBullet"/>
        <w:spacing w:before="0" w:after="80"/>
        <w:numPr>
          <w:ilvl w:val="0"/>
          <w:numId w:val="27"/>
        </w:numPr>
      </w:pPr>
      <w:r>
        <w:rPr>
          <w:b w:val="0"/>
          <w:i w:val="0"/>
        </w:rPr>
        <w:t>Monitoring service assurance via ITIL Incident Management.</w:t>
      </w:r>
    </w:p>
    <w:p>
      <w:pPr>
        <w:pStyle w:val="ListBullet"/>
        <w:spacing w:before="0" w:after="80"/>
        <w:numPr>
          <w:ilvl w:val="0"/>
          <w:numId w:val="27"/>
        </w:numPr>
      </w:pPr>
      <w:r>
        <w:rPr>
          <w:b w:val="0"/>
          <w:i/>
        </w:rPr>
        <w:t>Fase II – Scale‑out (8 kota)</w:t>
      </w:r>
    </w:p>
    <w:p>
      <w:pPr>
        <w:pStyle w:val="ListBullet"/>
        <w:spacing w:before="0" w:after="80"/>
        <w:numPr>
          <w:ilvl w:val="0"/>
          <w:numId w:val="27"/>
        </w:numPr>
      </w:pPr>
      <w:r>
        <w:rPr>
          <w:b w:val="0"/>
          <w:i w:val="0"/>
        </w:rPr>
        <w:t>Migrasi spektrum batch, mengacu pada ITIL Change Enablement.</w:t>
      </w:r>
    </w:p>
    <w:p>
      <w:pPr>
        <w:pStyle w:val="ListBullet"/>
        <w:spacing w:before="0" w:after="80"/>
        <w:numPr>
          <w:ilvl w:val="0"/>
          <w:numId w:val="27"/>
        </w:numPr>
      </w:pPr>
      <w:r>
        <w:rPr>
          <w:b w:val="0"/>
          <w:i w:val="0"/>
        </w:rPr>
        <w:t>Validasi network availability ≥ 99,5 % per kota.</w:t>
      </w:r>
    </w:p>
    <w:p>
      <w:pPr>
        <w:pStyle w:val="ListBullet"/>
        <w:spacing w:before="0" w:after="80"/>
        <w:numPr>
          <w:ilvl w:val="0"/>
          <w:numId w:val="27"/>
        </w:numPr>
      </w:pPr>
      <w:r>
        <w:rPr>
          <w:b w:val="0"/>
          <w:i/>
        </w:rPr>
        <w:t>Output</w:t>
      </w:r>
    </w:p>
    <w:p>
      <w:pPr>
        <w:pStyle w:val="ListBullet"/>
        <w:spacing w:before="0" w:after="80"/>
        <w:numPr>
          <w:ilvl w:val="0"/>
          <w:numId w:val="27"/>
        </w:numPr>
      </w:pPr>
      <w:r>
        <w:rPr>
          <w:b w:val="0"/>
          <w:i w:val="0"/>
        </w:rPr>
        <w:t>Dashboard KPI real‑time (availability, latency, churn).</w:t>
      </w:r>
    </w:p>
    <w:p>
      <w:pPr>
        <w:pStyle w:val="ListBullet"/>
        <w:spacing w:before="0" w:after="80"/>
        <w:numPr>
          <w:ilvl w:val="0"/>
          <w:numId w:val="27"/>
        </w:numPr>
      </w:pPr>
      <w:r>
        <w:rPr>
          <w:b w:val="0"/>
          <w:i w:val="0"/>
        </w:rPr>
        <w:t>Change Log siap audit ISO 27001.</w:t>
      </w:r>
    </w:p>
    <w:p>
      <w:pPr>
        <w:pStyle w:val="ListBullet"/>
        <w:spacing w:before="0" w:after="80"/>
        <w:numPr>
          <w:ilvl w:val="0"/>
          <w:numId w:val="27"/>
        </w:numPr>
      </w:pPr>
      <w:r>
        <w:rPr>
          <w:b/>
          <w:i w:val="0"/>
        </w:rPr>
        <w:t>Change Management</w:t>
      </w:r>
    </w:p>
    <w:p>
      <w:pPr>
        <w:pStyle w:val="ListBullet"/>
        <w:spacing w:before="0" w:after="80"/>
        <w:numPr>
          <w:ilvl w:val="0"/>
          <w:numId w:val="27"/>
        </w:numPr>
      </w:pPr>
      <w:r>
        <w:rPr>
          <w:b w:val="0"/>
          <w:i/>
        </w:rPr>
        <w:t>Aktivitas</w:t>
      </w:r>
    </w:p>
    <w:p>
      <w:pPr>
        <w:pStyle w:val="ListBullet"/>
        <w:spacing w:before="0" w:after="80"/>
        <w:numPr>
          <w:ilvl w:val="0"/>
          <w:numId w:val="27"/>
        </w:numPr>
      </w:pPr>
      <w:r>
        <w:rPr>
          <w:b w:val="0"/>
          <w:i w:val="0"/>
        </w:rPr>
        <w:t>Workshop cross‑functional (Business, Network, Marketing) untuk sinkronisasi keputusan (marketing.co.id, 2026).</w:t>
      </w:r>
    </w:p>
    <w:p>
      <w:pPr>
        <w:pStyle w:val="ListBullet"/>
        <w:spacing w:before="0" w:after="80"/>
        <w:numPr>
          <w:ilvl w:val="0"/>
          <w:numId w:val="27"/>
        </w:numPr>
      </w:pPr>
      <w:r>
        <w:rPr>
          <w:b w:val="0"/>
          <w:i w:val="0"/>
        </w:rPr>
        <w:t>Penetapan RACI dan SLA operasional NOC.</w:t>
      </w:r>
    </w:p>
    <w:p>
      <w:pPr>
        <w:pStyle w:val="ListBullet"/>
        <w:spacing w:before="0" w:after="80"/>
        <w:numPr>
          <w:ilvl w:val="0"/>
          <w:numId w:val="27"/>
        </w:numPr>
      </w:pPr>
      <w:r>
        <w:rPr>
          <w:b w:val="0"/>
          <w:i/>
        </w:rPr>
        <w:t>Output</w:t>
      </w:r>
    </w:p>
    <w:p>
      <w:pPr>
        <w:pStyle w:val="ListBullet"/>
        <w:spacing w:before="0" w:after="80"/>
        <w:numPr>
          <w:ilvl w:val="0"/>
          <w:numId w:val="27"/>
        </w:numPr>
      </w:pPr>
      <w:r>
        <w:rPr>
          <w:b w:val="0"/>
          <w:i w:val="0"/>
        </w:rPr>
        <w:t>SOP terstandardisasi (ITIL Service Transition).</w:t>
      </w:r>
    </w:p>
    <w:p>
      <w:pPr>
        <w:pStyle w:val="ListBullet"/>
        <w:spacing w:before="0" w:after="80"/>
        <w:numPr>
          <w:ilvl w:val="0"/>
          <w:numId w:val="27"/>
        </w:numPr>
      </w:pPr>
      <w:r>
        <w:rPr>
          <w:b w:val="0"/>
          <w:i w:val="0"/>
        </w:rPr>
        <w:t>Commitment board menandatangani target KPI.</w:t>
      </w:r>
    </w:p>
    <w:p>
      <w:pPr>
        <w:pStyle w:val="ListBullet"/>
        <w:spacing w:before="0" w:after="80"/>
        <w:numPr>
          <w:ilvl w:val="0"/>
          <w:numId w:val="27"/>
        </w:numPr>
      </w:pPr>
      <w:r>
        <w:rPr>
          <w:b/>
          <w:i w:val="0"/>
        </w:rPr>
        <w:t>Hyper‑care</w:t>
      </w:r>
    </w:p>
    <w:p>
      <w:pPr>
        <w:pStyle w:val="ListBullet"/>
        <w:spacing w:before="0" w:after="80"/>
        <w:numPr>
          <w:ilvl w:val="0"/>
          <w:numId w:val="27"/>
        </w:numPr>
      </w:pPr>
      <w:r>
        <w:rPr>
          <w:b w:val="0"/>
          <w:i/>
        </w:rPr>
        <w:t>Aktivitas</w:t>
      </w:r>
    </w:p>
    <w:p>
      <w:pPr>
        <w:pStyle w:val="ListBullet"/>
        <w:spacing w:before="0" w:after="80"/>
        <w:numPr>
          <w:ilvl w:val="0"/>
          <w:numId w:val="27"/>
        </w:numPr>
      </w:pPr>
      <w:r>
        <w:rPr>
          <w:b w:val="0"/>
          <w:i w:val="0"/>
        </w:rPr>
        <w:t>Tim 24×7 monitoring pasca‑rollout, eskalasi otomatis ke Tech Leads.</w:t>
      </w:r>
    </w:p>
    <w:p>
      <w:pPr>
        <w:pStyle w:val="ListBullet"/>
        <w:spacing w:before="0" w:after="80"/>
        <w:numPr>
          <w:ilvl w:val="0"/>
          <w:numId w:val="27"/>
        </w:numPr>
      </w:pPr>
      <w:r>
        <w:rPr>
          <w:b w:val="0"/>
          <w:i w:val="0"/>
        </w:rPr>
        <w:t>Analisis root‑cause churn spikes, corrective action dalam 48 jam.</w:t>
      </w:r>
    </w:p>
    <w:p>
      <w:pPr>
        <w:pStyle w:val="ListBullet"/>
        <w:spacing w:before="0" w:after="80"/>
        <w:numPr>
          <w:ilvl w:val="0"/>
          <w:numId w:val="27"/>
        </w:numPr>
      </w:pPr>
      <w:r>
        <w:rPr>
          <w:b w:val="0"/>
          <w:i/>
        </w:rPr>
        <w:t>Output</w:t>
      </w:r>
    </w:p>
    <w:p>
      <w:pPr>
        <w:pStyle w:val="ListBullet"/>
        <w:spacing w:before="0" w:after="80"/>
        <w:numPr>
          <w:ilvl w:val="0"/>
          <w:numId w:val="27"/>
        </w:numPr>
      </w:pPr>
      <w:r>
        <w:rPr>
          <w:b w:val="0"/>
          <w:i w:val="0"/>
        </w:rPr>
        <w:t>Laporan Stabilitas Bulanan (service assurance ≥ 99,8 %).</w:t>
      </w:r>
    </w:p>
    <w:p>
      <w:pPr>
        <w:pStyle w:val="ListBullet"/>
        <w:spacing w:before="0" w:after="80"/>
        <w:numPr>
          <w:ilvl w:val="0"/>
          <w:numId w:val="27"/>
        </w:numPr>
      </w:pPr>
      <w:r>
        <w:rPr>
          <w:b w:val="0"/>
          <w:i w:val="0"/>
        </w:rPr>
        <w:t>Penurunan churn ≥ 15 % dibanding baseline (Data Internal, 2026).</w:t>
      </w:r>
    </w:p>
    <w:p>
      <w:r>
        <w:rPr>
          <w:b w:val="0"/>
          <w:i w:val="0"/>
        </w:rPr>
        <w:t>Setiap fase menghasilkan deliverable yang dapat diverifikasi oleh steering committee XL Axiata, memastikan keputusan tetap selaras dengan eksekusi dan menyediakan fondasi roadmap jangka panjang.</w:t>
      </w:r>
    </w:p>
    <w:p>
      <w:r>
        <w:rPr>
          <w:b w:val="0"/>
          <w:i w:val="0"/>
        </w:rPr>
        <w:t>Untuk XL Axiata, isi bab ini harus dibaca sebagai dasar keputusan kerja yang dapat ditindaklanjuti, bukan sekadar penjelasan konseptual. Karena itu, isi bab tetap diarahkan untuk menjaga relevansi terhadap KPI seperti Service availability dan pengalaman pelanggan meningkat dalam 8 bulan. | Churn pelanggan menurun dan quality of service membaik dalam 8 bulan. dan istilah kerja subscriber, network availability.</w:t>
      </w:r>
    </w:p>
    <w:p>
      <w:pPr>
        <w:pStyle w:val="ListBullet"/>
        <w:spacing w:before="0" w:after="80"/>
        <w:numPr>
          <w:ilvl w:val="0"/>
          <w:numId w:val="28"/>
        </w:numPr>
      </w:pPr>
      <w:r>
        <w:rPr>
          <w:b w:val="0"/>
          <w:i w:val="0"/>
        </w:rPr>
        <w:t>Implikasi eksekusinya harus tetap jelas agar sponsor dan tim delivery dapat menurunkan isi bab ini menjadi tindakan yang konkret.</w:t>
      </w:r>
    </w:p>
    <w:p>
      <w:pPr>
        <w:pStyle w:val="ListBullet"/>
        <w:spacing w:before="0" w:after="80"/>
        <w:numPr>
          <w:ilvl w:val="0"/>
          <w:numId w:val="28"/>
        </w:numPr>
      </w:pPr>
      <w:r>
        <w:rPr>
          <w:b w:val="0"/>
          <w:i w:val="0"/>
        </w:rPr>
        <w:t>Dengan pendekatan ini, narasi proposal tetap terhubung pada kebutuhan bisnis sekaligus tidak kehilangan kontrol implementasi.</w:t>
      </w:r>
    </w:p>
    <w:p>
      <w:r>
        <w:rPr>
          <w:b w:val="0"/>
          <w:i w:val="0"/>
        </w:rPr>
        <w:t>Secara praktis, hal ini membantu XL Axiata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XL Axiata. Artinya, isi bab tidak berhenti pada deskripsi, tetapi tetap menunjukkan keterkaitan antara keputusan kerja, KPI Service availability dan pengalaman pelanggan meningkat dalam 8 bulan. | Churn pelanggan menurun dan quality of service membaik dalam 8 bulan., bahasa operasional subscriber, network availability, dan konteks inisiatif yang sedang dijalankan.</w:t>
      </w:r>
    </w:p>
    <w:p>
      <w:r>
        <w:rPr>
          <w:b w:val="0"/>
          <w:i w:val="0"/>
        </w:rPr>
        <w:t>Penajaman tambahan ini memastikan bab tetap berguna untuk pengambilan keputusan XL Axiata. Isi bab harus tetap menjelaskan implikasi kerja, konsekuensi pada KPI Service availability dan pengalaman pelanggan meningkat dalam 8 bulan. | Churn pelanggan menurun dan quality of service membaik dalam 8 bulan., dan bagaimana langkah eksekusinya dijaga tetap konsisten dengan istilah operasional subscriber, network availability.</w:t>
      </w:r>
    </w:p>
    <w:p>
      <w:r>
        <w:br w:type="page"/>
      </w:r>
    </w:p>
    <w:p>
      <w:pPr>
        <w:pStyle w:val="Heading1"/>
        <w:jc w:val="center"/>
      </w:pPr>
      <w:r>
        <w:rPr>
          <w:color w:val="486E4F"/>
        </w:rPr>
        <w:t>BAB VI – SOLUTION DESIGN</w:t>
      </w:r>
    </w:p>
    <w:p>
      <w:r>
        <w:rPr>
          <w:b w:val="0"/>
          <w:i w:val="0"/>
        </w:rPr>
        <w:t>Solution design untuk XL Axiata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gelombang uji beban 5: penguatan tata kelola delivery, percepatan keputusan lintas unit, dan penyusunan roadmap eksekusi yang lebih... secara nyata. Dengan pendekatan ini, desain solusi tetap terhubung ke KPI seperti Service availability dan pengalaman pelanggan meningkat dalam 8 bulan. | Churn pelanggan menurun dan quality of service membaik dalam 8 bulan. | Efisiensi operasi network support meningkat dalam 8 bulan., sekaligus menjaga nilai proposal tetap terasa konkret dan dapat dijalankan (Data Internal, 2026).</w:t>
      </w:r>
    </w:p>
    <w:p>
      <w:pPr>
        <w:pStyle w:val="Heading2"/>
      </w:pPr>
      <w:r>
        <w:rPr>
          <w:rFonts w:ascii="Arial" w:hAnsi="Arial"/>
          <w:b/>
          <w:color w:val="486E4F"/>
        </w:rPr>
        <w:t>6.1 Solusi/Output Metodologi yang Dibangun</w:t>
      </w:r>
    </w:p>
    <w:p>
      <w:r>
        <w:rPr>
          <w:b w:val="0"/>
          <w:i w:val="0"/>
        </w:rPr>
        <w:t>Solusi yang ditawarkan diarahkan untuk membantu XL Axiata bergerak dari kebutuhan problem menuju target state yang lebih terukur. Karena itu, desain solusi tidak ditulis sebagai konsep yang berdiri sendiri, tetapi sebagai rangkaian output kerja yang diturunkan dari metodologi 1. Readiness Assessment 2. Phased Rollout 3. Change Management 4. Hypercare. - Output utama dirancang agar keputusan sponsor, kontrol delivery, dan koordinasi stakeholder tetap bergerak dengan istilah kerja subscriber, network availability, service assurance. - Target state yang dibangun harus tetap selaras dengan manfaat yang dijanjikan, terutama mobilisasi yang lebih cepat, kontrol risiko perubahan yang lebih baik, adopsi hasil yang lebih stabil. - Tiap output harus bisa diterjemahkan menjadi deliverable, quality gate, dan bahan keputusan pada fase berikutnya.</w:t>
      </w:r>
    </w:p>
    <w:p>
      <w:pPr>
        <w:pStyle w:val="Heading2"/>
      </w:pPr>
      <w:r>
        <w:rPr>
          <w:rFonts w:ascii="Arial" w:hAnsi="Arial"/>
          <w:b/>
          <w:color w:val="486E4F"/>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blueprint transformasi, governance pack, dan rollout plan</w:t>
            </w:r>
          </w:p>
        </w:tc>
        <w:tc>
          <w:tcPr>
            <w:tcW w:type="dxa" w:w="3120"/>
          </w:tcPr>
          <w:p>
            <w:r>
              <w:rPr>
                <w:b w:val="0"/>
                <w:i w:val="0"/>
              </w:rPr>
              <w:t>menjadi acuan perubahan yang lebih terstruktur</w:t>
            </w:r>
          </w:p>
        </w:tc>
      </w:tr>
      <w:tr>
        <w:tc>
          <w:tcPr>
            <w:tcW w:type="dxa" w:w="3120"/>
          </w:tcPr>
          <w:p>
            <w:r>
              <w:rPr>
                <w:b w:val="0"/>
                <w:i w:val="0"/>
              </w:rPr>
              <w:t>Pendampingan</w:t>
            </w:r>
          </w:p>
        </w:tc>
        <w:tc>
          <w:tcPr>
            <w:tcW w:type="dxa" w:w="3120"/>
          </w:tcPr>
          <w:p>
            <w:r>
              <w:rPr>
                <w:b w:val="0"/>
                <w:i w:val="0"/>
              </w:rPr>
              <w:t>PMO advisory, quality gate review, dan change orchestration</w:t>
            </w:r>
          </w:p>
        </w:tc>
        <w:tc>
          <w:tcPr>
            <w:tcW w:type="dxa" w:w="3120"/>
          </w:tcPr>
          <w:p>
            <w:r>
              <w:rPr>
                <w:b w:val="0"/>
                <w:i w:val="0"/>
              </w:rPr>
              <w:t>menjaga program berjalan disiplin dari awal sampai stabilisasi</w:t>
            </w:r>
          </w:p>
        </w:tc>
      </w:tr>
      <w:tr>
        <w:tc>
          <w:tcPr>
            <w:tcW w:type="dxa" w:w="3120"/>
          </w:tcPr>
          <w:p>
            <w:r>
              <w:rPr>
                <w:b w:val="0"/>
                <w:i w:val="0"/>
              </w:rPr>
              <w:t>Kegiatan</w:t>
            </w:r>
          </w:p>
        </w:tc>
        <w:tc>
          <w:tcPr>
            <w:tcW w:type="dxa" w:w="3120"/>
          </w:tcPr>
          <w:p>
            <w:r>
              <w:rPr>
                <w:b w:val="0"/>
                <w:i w:val="0"/>
              </w:rPr>
              <w:t>kickoff, checkpoint, workshop alignment, dan review milestone</w:t>
            </w:r>
          </w:p>
        </w:tc>
        <w:tc>
          <w:tcPr>
            <w:tcW w:type="dxa" w:w="3120"/>
          </w:tcPr>
          <w:p>
            <w:r>
              <w:rPr>
                <w:b w:val="0"/>
                <w:i w:val="0"/>
              </w:rPr>
              <w:t>menjaga keputusan dan eksekusi tetap seirama</w:t>
            </w:r>
          </w:p>
        </w:tc>
      </w:tr>
      <w:tr>
        <w:tc>
          <w:tcPr>
            <w:tcW w:type="dxa" w:w="3120"/>
          </w:tcPr>
          <w:p>
            <w:r>
              <w:rPr>
                <w:b w:val="0"/>
                <w:i w:val="0"/>
              </w:rPr>
              <w:t>Implementation Support</w:t>
            </w:r>
          </w:p>
        </w:tc>
        <w:tc>
          <w:tcPr>
            <w:tcW w:type="dxa" w:w="3120"/>
          </w:tcPr>
          <w:p>
            <w:r>
              <w:rPr>
                <w:b w:val="0"/>
                <w:i w:val="0"/>
              </w:rPr>
              <w:t>support implementasi terbatas pada fase kritis</w:t>
            </w:r>
          </w:p>
        </w:tc>
        <w:tc>
          <w:tcPr>
            <w:tcW w:type="dxa" w:w="3120"/>
          </w:tcPr>
          <w:p>
            <w:r>
              <w:rPr>
                <w:b w:val="0"/>
                <w:i w:val="0"/>
              </w:rPr>
              <w:t>membantu transisi hasil desain ke realisasi lapangan</w:t>
            </w:r>
          </w:p>
        </w:tc>
      </w:tr>
    </w:tbl>
    <w:p>
      <w:r>
        <w:rPr>
          <w:b w:val="0"/>
          <w:i w:val="0"/>
        </w:rPr>
        <w:t>Dengan struktur keluaran seperti ini, XL Axiata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29"/>
        </w:numPr>
      </w:pPr>
      <w:r>
        <w:rPr>
          <w:b w:val="0"/>
          <w:i w:val="0"/>
        </w:rPr>
        <w:t>Prioritas implementasi untuk XL Axiata diarahkan agar tetap selaras dengan Service availability dan pengalaman pelanggan meningkat dalam 8 bulan. | Churn pelanggan menurun dan quality of service membaik dalam 8 bulan..</w:t>
      </w:r>
    </w:p>
    <w:p>
      <w:pPr>
        <w:pStyle w:val="ListNumber"/>
        <w:spacing w:before="0" w:after="80"/>
        <w:numPr>
          <w:ilvl w:val="0"/>
          <w:numId w:val="29"/>
        </w:numPr>
      </w:pPr>
      <w:r>
        <w:rPr>
          <w:b w:val="0"/>
          <w:i w:val="0"/>
        </w:rPr>
        <w:t>Keputusan delivery dan quality gate pada bab ini harus konsisten dengan istilah kerja subscriber, network availability.</w:t>
      </w:r>
    </w:p>
    <w:p>
      <w:r>
        <w:br w:type="page"/>
      </w:r>
    </w:p>
    <w:p>
      <w:pPr>
        <w:pStyle w:val="Heading1"/>
        <w:jc w:val="center"/>
      </w:pPr>
      <w:r>
        <w:rPr>
          <w:color w:val="486E4F"/>
        </w:rPr>
        <w:t>BAB VII – RUANG LINGKUP PEKERJAAN</w:t>
      </w:r>
    </w:p>
    <w:p>
      <w:r>
        <w:rPr>
          <w:b w:val="0"/>
          <w:i w:val="0"/>
        </w:rPr>
        <w:t>Ruang lingkup pekerjaan untuk XL Axiata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486E4F"/>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gelombang uji beban 5: penguatan tata kelola delivery, percepatan keputusan... dan ruang problem yang direspons sudah selaras</w:t>
            </w:r>
          </w:p>
        </w:tc>
        <w:tc>
          <w:tcPr>
            <w:tcW w:type="dxa" w:w="2340"/>
          </w:tcPr>
          <w:p>
            <w:r>
              <w:rPr>
                <w:b w:val="0"/>
                <w:i w:val="0"/>
              </w:rPr>
              <w:t>blueprint transformasi, governance pack, dan rollout plan</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gelombang uji beban 5: prioritas kerja masih tersebar, koordinasi bisnis-teknologi belum konsisten... ke solusi, prioritas, dan kontrol delivery</w:t>
            </w:r>
          </w:p>
        </w:tc>
        <w:tc>
          <w:tcPr>
            <w:tcW w:type="dxa" w:w="2340"/>
          </w:tcPr>
          <w:p>
            <w:r>
              <w:rPr>
                <w:b w:val="0"/>
                <w:i w:val="0"/>
              </w:rPr>
              <w:t>PMO advisory, quality gate review, dan change orchestration</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kickoff, checkpoint, workshop alignment, dan review milestone</w:t>
            </w:r>
          </w:p>
        </w:tc>
        <w:tc>
          <w:tcPr>
            <w:tcW w:type="dxa" w:w="2340"/>
          </w:tcPr>
          <w:p>
            <w:r>
              <w:rPr>
                <w:b w:val="0"/>
                <w:i w:val="0"/>
              </w:rPr>
              <w:t>jadwal forum menyesuaikan kalender kerja dan kecepatan keputusan sponsor</w:t>
            </w:r>
          </w:p>
        </w:tc>
      </w:tr>
      <w:tr>
        <w:tc>
          <w:tcPr>
            <w:tcW w:type="dxa" w:w="2340"/>
          </w:tcPr>
          <w:p>
            <w:r>
              <w:rPr>
                <w:b w:val="0"/>
                <w:i w:val="0"/>
              </w:rPr>
              <w:t>Dukungan implementasi terbatas</w:t>
            </w:r>
          </w:p>
        </w:tc>
        <w:tc>
          <w:tcPr>
            <w:tcW w:type="dxa" w:w="2340"/>
          </w:tcPr>
          <w:p>
            <w:r>
              <w:rPr>
                <w:b w:val="0"/>
                <w:i w:val="0"/>
              </w:rPr>
              <w:t>memberi quality review dan support pada fase paling kritis dari eksekusi</w:t>
            </w:r>
          </w:p>
        </w:tc>
        <w:tc>
          <w:tcPr>
            <w:tcW w:type="dxa" w:w="2340"/>
          </w:tcPr>
          <w:p>
            <w:r>
              <w:rPr>
                <w:b w:val="0"/>
                <w:i w:val="0"/>
              </w:rPr>
              <w:t>support implementasi terbatas pada fase kritis</w:t>
            </w:r>
          </w:p>
        </w:tc>
        <w:tc>
          <w:tcPr>
            <w:tcW w:type="dxa" w:w="2340"/>
          </w:tcPr>
          <w:p>
            <w:r>
              <w:rPr>
                <w:b w:val="0"/>
                <w:i w:val="0"/>
              </w:rPr>
              <w:t>bukan pelaksanaan implementasi penuh kecuali disepakati secara eksplisit</w:t>
            </w:r>
          </w:p>
        </w:tc>
      </w:tr>
    </w:tbl>
    <w:p>
      <w:r>
        <w:rPr>
          <w:b w:val="0"/>
          <w:i w:val="0"/>
        </w:rPr>
        <w:t>Ruang lingkup di atas dirancang agar tetap fokus pada kebutuhan problem dan tidak melebar ke area yang belum menjadi prioritas keputusan XL Axiata. Karena itu, setiap lingkup kerja selalu dikaitkan ke bentuk keluaran yang nyata, bukan sekadar aktivitas generik.</w:t>
      </w:r>
    </w:p>
    <w:p>
      <w:pPr>
        <w:pStyle w:val="Heading2"/>
      </w:pPr>
      <w:r>
        <w:rPr>
          <w:rFonts w:ascii="Arial" w:hAnsi="Arial"/>
          <w:b/>
          <w:color w:val="486E4F"/>
        </w:rPr>
        <w:t>7.2 Batasan Pekerjaan dan Asumsi</w:t>
      </w:r>
    </w:p>
    <w:p>
      <w:pPr>
        <w:pStyle w:val="ListNumber"/>
        <w:spacing w:before="0" w:after="80"/>
        <w:numPr>
          <w:ilvl w:val="0"/>
          <w:numId w:val="30"/>
        </w:numPr>
      </w:pPr>
      <w:r>
        <w:rPr>
          <w:b w:val="0"/>
          <w:i w:val="0"/>
        </w:rPr>
        <w:t>Prioritas implementasi untuk XL Axiata diarahkan agar tetap selaras dengan Service availability dan pengalaman pelanggan meningkat dalam 8 bulan. | Churn pelanggan menurun dan quality of service membaik dalam 8 bulan..</w:t>
      </w:r>
    </w:p>
    <w:p>
      <w:pPr>
        <w:pStyle w:val="ListNumber"/>
        <w:spacing w:before="0" w:after="80"/>
        <w:numPr>
          <w:ilvl w:val="0"/>
          <w:numId w:val="30"/>
        </w:numPr>
      </w:pPr>
      <w:r>
        <w:rPr>
          <w:b w:val="0"/>
          <w:i w:val="0"/>
        </w:rPr>
        <w:t>Keputusan delivery dan quality gate pada bab ini harus konsisten dengan istilah kerja subscriber, network availability. - Konteks XL Axiata tetap menjadi acuan utama agar isi bab tidak bergeser menjadi generik. - Setiap butir pada bab ini harus bisa ditelusuri ke KPI, risiko, atau keputusan kerja yang nyata.</w:t>
      </w:r>
    </w:p>
    <w:p>
      <w:r>
        <w:br w:type="page"/>
      </w:r>
    </w:p>
    <w:p>
      <w:pPr>
        <w:pStyle w:val="Heading1"/>
        <w:jc w:val="center"/>
      </w:pPr>
      <w:r>
        <w:rPr>
          <w:color w:val="486E4F"/>
        </w:rPr>
        <w:t>BAB VIII – TIMELINE PEKERJAAN</w:t>
      </w:r>
    </w:p>
    <w:p>
      <w:r>
        <w:drawing>
          <wp:inline xmlns:a="http://schemas.openxmlformats.org/drawingml/2006/main" xmlns:pic="http://schemas.openxmlformats.org/drawingml/2006/picture">
            <wp:extent cx="5486400" cy="248536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485365"/>
                    </a:xfrm>
                    <a:prstGeom prst="rect"/>
                  </pic:spPr>
                </pic:pic>
              </a:graphicData>
            </a:graphic>
          </wp:inline>
        </w:drawing>
      </w:r>
    </w:p>
    <w:p>
      <w:r>
        <w:rPr>
          <w:b w:val="0"/>
          <w:i w:val="0"/>
        </w:rPr>
        <w:t>Untuk XL Axiata, timeline pekerjaan disusun agar inisiatif Gelombang uji beban 5: penguatan tata kelola delivery, percepatan keputusan lintas unit, dan penyusunan roadmap eksekusi yang lebih... dapat bergerak stabil selama 8 Bulan.</w:t>
      </w:r>
    </w:p>
    <w:p>
      <w:pPr>
        <w:pStyle w:val="Heading2"/>
      </w:pPr>
      <w:r>
        <w:rPr>
          <w:rFonts w:ascii="Arial" w:hAnsi="Arial"/>
          <w:b/>
          <w:color w:val="486E4F"/>
        </w:rPr>
        <w:t>8.1 Aktivitas per Fase</w:t>
      </w:r>
    </w:p>
    <w:p>
      <w:pPr>
        <w:pStyle w:val="ListNumber"/>
        <w:spacing w:before="0" w:after="80"/>
        <w:numPr>
          <w:ilvl w:val="0"/>
          <w:numId w:val="31"/>
        </w:numPr>
      </w:pPr>
      <w:r>
        <w:rPr>
          <w:b/>
          <w:i w:val="0"/>
        </w:rPr>
        <w:t>Readiness Assessment</w:t>
      </w:r>
      <w:r>
        <w:rPr>
          <w:b w:val="0"/>
          <w:i w:val="0"/>
        </w:rPr>
        <w:t xml:space="preserve"> (Bulan 1): Nilai kesiapan organisasi, proses, data, dan sponsor. Output utama: readiness view dan daftar gap.</w:t>
      </w:r>
    </w:p>
    <w:p>
      <w:pPr>
        <w:pStyle w:val="ListNumber"/>
        <w:spacing w:before="0" w:after="80"/>
        <w:numPr>
          <w:ilvl w:val="0"/>
          <w:numId w:val="31"/>
        </w:numPr>
      </w:pPr>
      <w:r>
        <w:rPr>
          <w:b/>
          <w:i w:val="0"/>
        </w:rPr>
        <w:t>Blueprint &amp; Mobilization</w:t>
      </w:r>
      <w:r>
        <w:rPr>
          <w:b w:val="0"/>
          <w:i w:val="0"/>
        </w:rPr>
        <w:t xml:space="preserve"> (Bulan 2-4): Tetapkan rancangan solusi, governance, dan model delivery. Output utama: blueprint, scope lock, dan mobilization plan.</w:t>
      </w:r>
    </w:p>
    <w:p>
      <w:pPr>
        <w:pStyle w:val="ListNumber"/>
        <w:spacing w:before="0" w:after="80"/>
        <w:numPr>
          <w:ilvl w:val="0"/>
          <w:numId w:val="31"/>
        </w:numPr>
      </w:pPr>
      <w:r>
        <w:rPr>
          <w:b/>
          <w:i w:val="0"/>
        </w:rPr>
        <w:t>Phased Rollout</w:t>
      </w:r>
      <w:r>
        <w:rPr>
          <w:b w:val="0"/>
          <w:i w:val="0"/>
        </w:rPr>
        <w:t xml:space="preserve"> (Bulan 5-7): Eksekusi perubahan prioritas melalui workstream terukur. Output utama: deliverable inti dan milestone rollout.</w:t>
      </w:r>
    </w:p>
    <w:p>
      <w:pPr>
        <w:pStyle w:val="ListNumber"/>
        <w:spacing w:before="0" w:after="80"/>
        <w:numPr>
          <w:ilvl w:val="0"/>
          <w:numId w:val="31"/>
        </w:numPr>
      </w:pPr>
      <w:r>
        <w:rPr>
          <w:b/>
          <w:i w:val="0"/>
        </w:rPr>
        <w:t>Hypercare &amp; Stabilization</w:t>
      </w:r>
      <w:r>
        <w:rPr>
          <w:b w:val="0"/>
          <w:i w:val="0"/>
        </w:rPr>
        <w:t xml:space="preserve"> (Bulan 8): Amankan adopsi, kualitas layanan, dan transisi operasi. Output utama: stabilization report dan next-step backlog.</w:t>
      </w:r>
    </w:p>
    <w:p>
      <w:pPr>
        <w:pStyle w:val="Heading2"/>
      </w:pPr>
      <w:r>
        <w:rPr>
          <w:rFonts w:ascii="Arial" w:hAnsi="Arial"/>
          <w:b/>
          <w:color w:val="486E4F"/>
        </w:rPr>
        <w:t>8.2 Waktu Pelaksanaan dan Deliverable Tiap Fase</w:t>
      </w:r>
    </w:p>
    <w:p>
      <w:r>
        <w:rPr>
          <w:b w:val="0"/>
          <w:i w:val="0"/>
        </w:rPr>
        <w:t>Pengaturan waktu tidak hanya membagi durasi, tetapi memastikan setiap deliverable langsung mendukung kebutuhan problem dan memberi bahan keputusan yang rapi pada forum pengarah proyek XL Axiata.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Readiness Assessment</w:t>
            </w:r>
          </w:p>
        </w:tc>
        <w:tc>
          <w:tcPr>
            <w:tcW w:type="dxa" w:w="2340"/>
          </w:tcPr>
          <w:p>
            <w:r>
              <w:rPr>
                <w:b w:val="0"/>
                <w:i w:val="0"/>
              </w:rPr>
              <w:t>Bulan 1</w:t>
            </w:r>
          </w:p>
        </w:tc>
        <w:tc>
          <w:tcPr>
            <w:tcW w:type="dxa" w:w="2340"/>
          </w:tcPr>
          <w:p>
            <w:r>
              <w:rPr>
                <w:b w:val="0"/>
                <w:i w:val="0"/>
              </w:rPr>
              <w:t>readiness view dan daftar gap</w:t>
            </w:r>
          </w:p>
        </w:tc>
        <w:tc>
          <w:tcPr>
            <w:tcW w:type="dxa" w:w="2340"/>
          </w:tcPr>
          <w:p>
            <w:r>
              <w:rPr>
                <w:b w:val="0"/>
                <w:i w:val="0"/>
              </w:rPr>
              <w:t>Menjaga progres problem</w:t>
            </w:r>
          </w:p>
        </w:tc>
      </w:tr>
      <w:tr>
        <w:tc>
          <w:tcPr>
            <w:tcW w:type="dxa" w:w="2340"/>
          </w:tcPr>
          <w:p>
            <w:r>
              <w:rPr>
                <w:b w:val="0"/>
                <w:i w:val="0"/>
              </w:rPr>
              <w:t>Blueprint &amp; Mobilization</w:t>
            </w:r>
          </w:p>
        </w:tc>
        <w:tc>
          <w:tcPr>
            <w:tcW w:type="dxa" w:w="2340"/>
          </w:tcPr>
          <w:p>
            <w:r>
              <w:rPr>
                <w:b w:val="0"/>
                <w:i w:val="0"/>
              </w:rPr>
              <w:t>Bulan 2-4</w:t>
            </w:r>
          </w:p>
        </w:tc>
        <w:tc>
          <w:tcPr>
            <w:tcW w:type="dxa" w:w="2340"/>
          </w:tcPr>
          <w:p>
            <w:r>
              <w:rPr>
                <w:b w:val="0"/>
                <w:i w:val="0"/>
              </w:rPr>
              <w:t>blueprint, scope lock, dan mobilization plan</w:t>
            </w:r>
          </w:p>
        </w:tc>
        <w:tc>
          <w:tcPr>
            <w:tcW w:type="dxa" w:w="2340"/>
          </w:tcPr>
          <w:p>
            <w:r>
              <w:rPr>
                <w:b w:val="0"/>
                <w:i w:val="0"/>
              </w:rPr>
              <w:t>Menjaga progres problem</w:t>
            </w:r>
          </w:p>
        </w:tc>
      </w:tr>
      <w:tr>
        <w:tc>
          <w:tcPr>
            <w:tcW w:type="dxa" w:w="2340"/>
          </w:tcPr>
          <w:p>
            <w:r>
              <w:rPr>
                <w:b w:val="0"/>
                <w:i w:val="0"/>
              </w:rPr>
              <w:t>Phased Rollout</w:t>
            </w:r>
          </w:p>
        </w:tc>
        <w:tc>
          <w:tcPr>
            <w:tcW w:type="dxa" w:w="2340"/>
          </w:tcPr>
          <w:p>
            <w:r>
              <w:rPr>
                <w:b w:val="0"/>
                <w:i w:val="0"/>
              </w:rPr>
              <w:t>Bulan 5-7</w:t>
            </w:r>
          </w:p>
        </w:tc>
        <w:tc>
          <w:tcPr>
            <w:tcW w:type="dxa" w:w="2340"/>
          </w:tcPr>
          <w:p>
            <w:r>
              <w:rPr>
                <w:b w:val="0"/>
                <w:i w:val="0"/>
              </w:rPr>
              <w:t>deliverable inti dan milestone rollout</w:t>
            </w:r>
          </w:p>
        </w:tc>
        <w:tc>
          <w:tcPr>
            <w:tcW w:type="dxa" w:w="2340"/>
          </w:tcPr>
          <w:p>
            <w:r>
              <w:rPr>
                <w:b w:val="0"/>
                <w:i w:val="0"/>
              </w:rPr>
              <w:t>Menjaga progres problem</w:t>
            </w:r>
          </w:p>
        </w:tc>
      </w:tr>
      <w:tr>
        <w:tc>
          <w:tcPr>
            <w:tcW w:type="dxa" w:w="2340"/>
          </w:tcPr>
          <w:p>
            <w:r>
              <w:rPr>
                <w:b w:val="0"/>
                <w:i w:val="0"/>
              </w:rPr>
              <w:t>Hypercare &amp; Stabilization</w:t>
            </w:r>
          </w:p>
        </w:tc>
        <w:tc>
          <w:tcPr>
            <w:tcW w:type="dxa" w:w="2340"/>
          </w:tcPr>
          <w:p>
            <w:r>
              <w:rPr>
                <w:b w:val="0"/>
                <w:i w:val="0"/>
              </w:rPr>
              <w:t>Bulan 8</w:t>
            </w:r>
          </w:p>
        </w:tc>
        <w:tc>
          <w:tcPr>
            <w:tcW w:type="dxa" w:w="2340"/>
          </w:tcPr>
          <w:p>
            <w:r>
              <w:rPr>
                <w:b w:val="0"/>
                <w:i w:val="0"/>
              </w:rPr>
              <w:t>stabilization report dan next-step backlog</w:t>
            </w:r>
          </w:p>
        </w:tc>
        <w:tc>
          <w:tcPr>
            <w:tcW w:type="dxa" w:w="2340"/>
          </w:tcPr>
          <w:p>
            <w:r>
              <w:rPr>
                <w:b w:val="0"/>
                <w:i w:val="0"/>
              </w:rPr>
              <w:t>Menjaga progres problem</w:t>
            </w:r>
          </w:p>
        </w:tc>
      </w:tr>
      <w:tr>
        <w:tc>
          <w:tcPr>
            <w:tcW w:type="dxa" w:w="2340"/>
          </w:tcPr>
          <w:p>
            <w:r>
              <w:rPr>
                <w:b w:val="0"/>
                <w:i w:val="0"/>
              </w:rPr>
              <w:t>- Konteks XL Axiata tetap menjadi acuan utama agar isi bab tidak bergeser menjadi generik.</w:t>
            </w:r>
          </w:p>
        </w:tc>
        <w:tc>
          <w:tcPr>
            <w:tcW w:type="dxa" w:w="2340"/>
          </w:tcPr>
          <w:p/>
        </w:tc>
        <w:tc>
          <w:tcPr>
            <w:tcW w:type="dxa" w:w="2340"/>
          </w:tcPr>
          <w:p/>
        </w:tc>
        <w:tc>
          <w:tcPr>
            <w:tcW w:type="dxa" w:w="2340"/>
          </w:tcPr>
          <w:p/>
        </w:tc>
      </w:tr>
      <w:tr>
        <w:tc>
          <w:tcPr>
            <w:tcW w:type="dxa" w:w="2340"/>
          </w:tcPr>
          <w:p>
            <w:r>
              <w:rPr>
                <w:b w:val="0"/>
                <w:i w:val="0"/>
              </w:rPr>
              <w:t>- Setiap butir pada bab ini harus bisa ditelusuri ke KPI, risiko, atau keputusan kerja yang nyata.</w:t>
            </w:r>
          </w:p>
        </w:tc>
        <w:tc>
          <w:tcPr>
            <w:tcW w:type="dxa" w:w="2340"/>
          </w:tcPr>
          <w:p/>
        </w:tc>
        <w:tc>
          <w:tcPr>
            <w:tcW w:type="dxa" w:w="2340"/>
          </w:tcPr>
          <w:p/>
        </w:tc>
        <w:tc>
          <w:tcPr>
            <w:tcW w:type="dxa" w:w="2340"/>
          </w:tcPr>
          <w:p/>
        </w:tc>
      </w:tr>
      <w:tr>
        <w:tc>
          <w:tcPr>
            <w:tcW w:type="dxa" w:w="2340"/>
          </w:tcPr>
          <w:p>
            <w:r>
              <w:rPr>
                <w:b w:val="0"/>
                <w:i w:val="0"/>
              </w:rPr>
              <w:t>- KPI acuan yang tetap dijaga pada bab ini adalah Service availability dan pengalaman pelanggan meningkat dalam 8 bulan.</w:t>
            </w:r>
          </w:p>
        </w:tc>
        <w:tc>
          <w:tcPr>
            <w:tcW w:type="dxa" w:w="2340"/>
          </w:tcPr>
          <w:p>
            <w:r>
              <w:rPr>
                <w:b w:val="0"/>
                <w:i w:val="0"/>
              </w:rPr>
              <w:t>Churn pelanggan menurun dan quality of service membaik dalam 8 bulan..</w:t>
            </w:r>
          </w:p>
        </w:tc>
        <w:tc>
          <w:tcPr>
            <w:tcW w:type="dxa" w:w="2340"/>
          </w:tcPr>
          <w:p/>
        </w:tc>
        <w:tc>
          <w:tcPr>
            <w:tcW w:type="dxa" w:w="2340"/>
          </w:tcPr>
          <w:p/>
        </w:tc>
      </w:tr>
    </w:tbl>
    <w:p>
      <w:r>
        <w:br w:type="page"/>
      </w:r>
    </w:p>
    <w:p>
      <w:pPr>
        <w:pStyle w:val="Heading1"/>
        <w:jc w:val="center"/>
      </w:pPr>
      <w:r>
        <w:rPr>
          <w:color w:val="486E4F"/>
        </w:rPr>
        <w:t>BAB IX – TATA KELOLA PROYEK</w:t>
      </w:r>
    </w:p>
    <w:p>
      <w:r>
        <w:rPr>
          <w:b w:val="0"/>
          <w:i w:val="0"/>
        </w:rPr>
        <w:t>Tata kelola proyek untuk XL Axiata dirancang agar keputusan strategis, kontrol eksekusi, dan penanganan risiko berjalan dalam satu sistem kerja yang konsisten. Fokusnya adalah menjaga gelombang uji beban 5: penguatan tata kelola delivery, percepatan keputusan lintas unit, dan penyusunan roadmap eksekusi yang lebih...</w:t>
      </w:r>
    </w:p>
    <w:p>
      <w:pPr>
        <w:pStyle w:val="Heading2"/>
      </w:pPr>
      <w:r>
        <w:rPr>
          <w:rFonts w:ascii="Arial" w:hAnsi="Arial"/>
          <w:b/>
          <w:color w:val="486E4F"/>
        </w:rPr>
        <w:t>9.1 Mekanisme Pengambilan Keputusan</w:t>
      </w:r>
    </w:p>
    <w:p>
      <w:pPr>
        <w:pStyle w:val="ListNumber"/>
        <w:spacing w:before="0" w:after="80"/>
        <w:numPr>
          <w:ilvl w:val="0"/>
          <w:numId w:val="32"/>
        </w:numPr>
      </w:pPr>
      <w:r>
        <w:rPr>
          <w:b/>
          <w:i w:val="0"/>
        </w:rPr>
        <w:t>Steering Committee</w:t>
      </w:r>
      <w:r>
        <w:rPr>
          <w:b w:val="0"/>
          <w:i w:val="0"/>
        </w:rPr>
        <w:t xml:space="preserve"> menetapkan arah, prioritas, dan keputusan yang berdampak pada scope, biaya, atau timeline program XL Axiata.</w:t>
      </w:r>
    </w:p>
    <w:p>
      <w:pPr>
        <w:pStyle w:val="ListNumber"/>
        <w:spacing w:before="0" w:after="80"/>
        <w:numPr>
          <w:ilvl w:val="0"/>
          <w:numId w:val="32"/>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32"/>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32"/>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486E4F"/>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XL Axiata, pengendalian semacam ini penting karena program gelombang uji beban 5: penguatan tata kelola delivery, percepatan keputusan lintas unit, dan penyusunan roadmap eksekusi yang lebih... berpotensi melibatkan banyak dependency dan keputusan cepat. - Konteks XL Axiata tetap menjadi acuan utama agar isi bab tidak bergeser menjadi generik. - Setiap butir pada bab ini harus bisa ditelusuri ke KPI, risiko, atau keputusan kerja yang nyata. - KPI acuan yang tetap dijaga pada bab ini adalah Service availability dan pengalaman pelanggan meningkat dalam 8 bulan. | Churn pelanggan menurun dan quality of service membaik dalam 8 bulan..</w:t>
      </w:r>
    </w:p>
    <w:p>
      <w:r>
        <w:rPr>
          <w:b w:val="0"/>
          <w:i w:val="0"/>
        </w:rPr>
        <w:t>Untuk XL Axiata, isi bab ini harus dibaca sebagai dasar keputusan kerja yang dapat ditindaklanjuti, bukan sekadar penjelasan konseptual. Karena itu, isi bab tetap diarahkan untuk menjaga relevansi terhadap KPI seperti Service availability dan pengalaman pelanggan meningkat dalam 8 bulan. | Churn pelanggan menurun dan quality of service membaik dalam 8 bulan. dan istilah kerja subscriber, network availability.</w:t>
      </w:r>
    </w:p>
    <w:p>
      <w:r>
        <w:br w:type="page"/>
      </w:r>
    </w:p>
    <w:p>
      <w:pPr>
        <w:pStyle w:val="Heading1"/>
        <w:jc w:val="center"/>
      </w:pPr>
      <w:r>
        <w:rPr>
          <w:color w:val="486E4F"/>
        </w:rPr>
        <w:t>BAB X – PROFIL PERUSAHAAN</w:t>
      </w:r>
    </w:p>
    <w:p>
      <w:r>
        <w:rPr>
          <w:b w:val="0"/>
          <w:i w:val="0"/>
        </w:rPr>
        <w:t>Profil perusahaan pada proposal ini tidak dimaksudkan sebagai brosur umum, melainkan sebagai bukti bahwa Inixindo Jogja memiliki modal kerja yang relevan untuk membantu XL Axiata. Yang ditekankan bukan hanya deskripsi perusahaan, tetapi keterkaitan antara kapabilitas, pengalaman serupa, dan bentuk dukungan yang dibutuhkan oleh inisiatif gelombang uji beban 5: penguatan tata kelola delivery, percepatan keputusan lintas unit, dan penyusunan roadmap eksekusi yang lebih...</w:t>
      </w:r>
    </w:p>
    <w:p>
      <w:pPr>
        <w:pStyle w:val="Heading2"/>
      </w:pPr>
      <w:r>
        <w:rPr>
          <w:rFonts w:ascii="Arial" w:hAnsi="Arial"/>
          <w:b/>
          <w:color w:val="486E4F"/>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subscriber, network availability, service assurance.</w:t>
      </w:r>
    </w:p>
    <w:p>
      <w:pPr>
        <w:pStyle w:val="Heading2"/>
      </w:pPr>
      <w:r>
        <w:rPr>
          <w:rFonts w:ascii="Arial" w:hAnsi="Arial"/>
          <w:b/>
          <w:color w:val="486E4F"/>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transformation dengan layanan konsultan</w:t>
            </w:r>
          </w:p>
        </w:tc>
        <w:tc>
          <w:tcPr>
            <w:tcW w:type="dxa" w:w="2340"/>
          </w:tcPr>
          <w:p>
            <w:r>
              <w:rPr>
                <w:b w:val="0"/>
                <w:i w:val="0"/>
              </w:rPr>
              <w:t>Kapabilitas layanan menyesuaikan kebutuhan proyek klien</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Kapabilitas layanan menyesuaikan kebutuhan proyek klien, 1. Readiness Assessment 2. Phased Rollout 3. Change Management 4. Hypercare, 1x Program Manager, 2x Change Experts, 3x Tech Leads</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XL Axiata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33"/>
        </w:numPr>
      </w:pPr>
      <w:r>
        <w:rPr>
          <w:b w:val="0"/>
          <w:i w:val="0"/>
        </w:rPr>
        <w:t>Prioritas implementasi untuk XL Axiata diarahkan agar tetap selaras dengan Service availability dan pengalaman pelanggan meningkat dalam 8 bulan. | Churn pelanggan menurun dan quality of service membaik dalam 8 bulan..</w:t>
      </w:r>
    </w:p>
    <w:p>
      <w:pPr>
        <w:pStyle w:val="ListNumber"/>
        <w:spacing w:before="0" w:after="80"/>
        <w:numPr>
          <w:ilvl w:val="0"/>
          <w:numId w:val="33"/>
        </w:numPr>
      </w:pPr>
      <w:r>
        <w:rPr>
          <w:b w:val="0"/>
          <w:i w:val="0"/>
        </w:rPr>
        <w:t>Keputusan delivery dan quality gate pada bab ini harus konsisten dengan istilah kerja subscriber, network availability. - Konteks XL Axiata tetap menjadi acuan utama agar isi bab tidak bergeser menjadi generik. - Setiap butir pada bab ini harus bisa ditelusuri ke KPI, risiko, atau keputusan kerja yang nyata.</w:t>
      </w:r>
    </w:p>
    <w:p>
      <w:r>
        <w:br w:type="page"/>
      </w:r>
    </w:p>
    <w:p>
      <w:pPr>
        <w:pStyle w:val="Heading1"/>
        <w:jc w:val="center"/>
      </w:pPr>
      <w:r>
        <w:rPr>
          <w:color w:val="486E4F"/>
        </w:rPr>
        <w:t>BAB XI – STRUKTUR &amp; TENAGA AHLI PROYEK</w:t>
      </w:r>
    </w:p>
    <w:p>
      <w:r>
        <w:rPr>
          <w:b w:val="0"/>
          <w:i w:val="0"/>
        </w:rPr>
        <w:t>Struktur tim proyek untuk XL Axiata dibentuk agar pengambilan keputusan, pengawasan mutu, dan eksekusi lapangan bergerak seirama. Komposisi tim tidak diperlakukan sebagai daftar jabatan semata, tetapi sebagai mekanisme untuk menjaga kualitas output terhadap target Service availability dan pengalaman pelanggan meningkat dalam 8 bulan.</w:t>
      </w:r>
    </w:p>
    <w:p>
      <w:pPr>
        <w:pStyle w:val="Heading2"/>
      </w:pPr>
      <w:r>
        <w:rPr>
          <w:rFonts w:ascii="Arial" w:hAnsi="Arial"/>
          <w:b/>
          <w:color w:val="486E4F"/>
        </w:rPr>
        <w:t>11.1 Struktur Tim Proyek</w:t>
      </w:r>
    </w:p>
    <w:p>
      <w:pPr>
        <w:pStyle w:val="ListNumber"/>
        <w:spacing w:before="0" w:after="80"/>
        <w:numPr>
          <w:ilvl w:val="0"/>
          <w:numId w:val="34"/>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34"/>
        </w:numPr>
      </w:pPr>
      <w:r>
        <w:rPr>
          <w:b/>
          <w:i w:val="0"/>
        </w:rPr>
        <w:t>Project Manager / PMO Lead</w:t>
      </w:r>
      <w:r>
        <w:rPr>
          <w:b w:val="0"/>
          <w:i w:val="0"/>
        </w:rPr>
        <w:t xml:space="preserve"> mengendalikan ritme kerja, milestone, dan quality gate.</w:t>
      </w:r>
    </w:p>
    <w:p>
      <w:pPr>
        <w:pStyle w:val="ListNumber"/>
        <w:spacing w:before="0" w:after="80"/>
        <w:numPr>
          <w:ilvl w:val="0"/>
          <w:numId w:val="34"/>
        </w:numPr>
      </w:pPr>
      <w:r>
        <w:rPr>
          <w:b/>
          <w:i w:val="0"/>
        </w:rPr>
        <w:t>Lead Fungsional / Solusi</w:t>
      </w:r>
      <w:r>
        <w:rPr>
          <w:b w:val="0"/>
          <w:i w:val="0"/>
        </w:rPr>
        <w:t xml:space="preserve"> menjaga kualitas desain solusi dan relevansi output kerja.</w:t>
      </w:r>
    </w:p>
    <w:p>
      <w:pPr>
        <w:pStyle w:val="ListNumber"/>
        <w:spacing w:before="0" w:after="80"/>
        <w:numPr>
          <w:ilvl w:val="0"/>
          <w:numId w:val="34"/>
        </w:numPr>
      </w:pPr>
      <w:r>
        <w:rPr>
          <w:b/>
          <w:i w:val="0"/>
        </w:rPr>
        <w:t>Reviewer Governance / Quality</w:t>
      </w:r>
      <w:r>
        <w:rPr>
          <w:b w:val="0"/>
          <w:i w:val="0"/>
        </w:rPr>
        <w:t xml:space="preserve"> memastikan disiplin review, sign-off, dan kontrol risiko.</w:t>
      </w:r>
    </w:p>
    <w:p>
      <w:pPr>
        <w:pStyle w:val="Heading2"/>
      </w:pPr>
      <w:r>
        <w:rPr>
          <w:rFonts w:ascii="Arial" w:hAnsi="Arial"/>
          <w:b/>
          <w:color w:val="486E4F"/>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transformation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TOGAF, ITIL, COBIT, ISO 27001</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Program Manager, 2x Change Experts, 3x Tech Leads</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XL Axiata memperoleh gambaran yang lebih konkret mengenai siapa yang menjaga keputusan, siapa yang mengawal delivery, dan siapa yang mengamankan mutu hasil kerja. Pendekatan ini membuat bab tenaga ahli lebih mudah diaudit dan lebih meyakinkan bagi sponsor proyek. - Konteks XL Axiata tetap menjadi acuan utama agar isi bab tidak bergeser menjadi generik. - Setiap butir pada bab ini harus bisa ditelusuri ke KPI, risiko, atau keputusan kerja yang nyata. - Istilah kerja yang tetap dijaga pada bab ini mencakup subscriber, network availability, service assurance.</w:t>
      </w:r>
    </w:p>
    <w:p>
      <w:r>
        <w:br w:type="page"/>
      </w:r>
    </w:p>
    <w:p>
      <w:pPr>
        <w:pStyle w:val="Heading1"/>
        <w:jc w:val="center"/>
      </w:pPr>
      <w:r>
        <w:rPr>
          <w:color w:val="486E4F"/>
        </w:rPr>
        <w:t>BAB XII – MODEL PEMBIAYAAN</w:t>
      </w:r>
    </w:p>
    <w:p>
      <w:r>
        <w:rPr>
          <w:b w:val="0"/>
          <w:i w:val="0"/>
        </w:rPr>
        <w:t>Model pembiayaan untuk XL Axiata disusun agar komitmen biaya, mekanisme pembayaran, dan batas ruang lingkup tetap jelas sejak awal. Tujuannya adalah menjaga proyek gelombang uji beban 5: penguatan tata kelola delivery, percepatan keputusan lintas unit, dan penyusunan roadmap eksekusi yang lebih...</w:t>
      </w:r>
    </w:p>
    <w:p>
      <w:pPr>
        <w:pStyle w:val="Heading2"/>
      </w:pPr>
      <w:r>
        <w:rPr>
          <w:rFonts w:ascii="Arial" w:hAnsi="Arial"/>
          <w:b/>
          <w:color w:val="486E4F"/>
        </w:rPr>
        <w:t>12.1 Biaya dan Tahapan Pembayaran</w:t>
      </w:r>
    </w:p>
    <w:p>
      <w:r>
        <w:rPr>
          <w:b w:val="0"/>
          <w:i w:val="0"/>
        </w:rPr>
        <w:t>Estimasi investasi awal untuk engagement ini adalah</w:t>
      </w:r>
      <w:r>
        <w:rPr>
          <w:b/>
          <w:i w:val="0"/>
        </w:rPr>
        <w:t xml:space="preserve"> Rp 500.000.000</w:t>
      </w:r>
      <w:r>
        <w:rPr>
          <w:b w:val="0"/>
          <w:i w:val="0"/>
        </w:rPr>
        <w:t>, dengan tipe layanan</w:t>
      </w:r>
      <w:r>
        <w:rPr>
          <w:b/>
          <w:i w:val="0"/>
        </w:rPr>
        <w:t xml:space="preserve"> Konsultan</w:t>
      </w:r>
      <w:r>
        <w:rPr>
          <w:b w:val="0"/>
          <w:i w:val="0"/>
        </w:rPr>
        <w:t xml:space="preserve"> pada model proyek</w:t>
      </w:r>
      <w:r>
        <w:rPr>
          <w:b/>
          <w:i w:val="0"/>
        </w:rPr>
        <w:t xml:space="preserve"> Transformation</w:t>
      </w:r>
      <w:r>
        <w:rPr>
          <w:b w:val="0"/>
          <w:i w:val="0"/>
        </w:rPr>
        <w:t xml:space="preserve"> selama</w:t>
      </w:r>
      <w:r>
        <w:rPr>
          <w:b/>
          <w:i w:val="0"/>
        </w:rPr>
        <w:t xml:space="preserve"> 8 Bulan</w:t>
      </w:r>
      <w:r>
        <w:rPr>
          <w:b w:val="0"/>
          <w:i w:val="0"/>
        </w:rPr>
        <w:t>. Baseline komersial internal yang menjadi acuan adalah Time &amp; Materials (T&amp;M) over 12-18 months.</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500.000.000</w:t>
            </w:r>
          </w:p>
        </w:tc>
      </w:tr>
      <w:tr>
        <w:tc>
          <w:tcPr>
            <w:tcW w:type="dxa" w:w="4680"/>
          </w:tcPr>
          <w:p>
            <w:r>
              <w:rPr>
                <w:b w:val="0"/>
                <w:i w:val="0"/>
              </w:rPr>
              <w:t>Model engagement</w:t>
            </w:r>
          </w:p>
        </w:tc>
        <w:tc>
          <w:tcPr>
            <w:tcW w:type="dxa" w:w="4680"/>
          </w:tcPr>
          <w:p>
            <w:r>
              <w:rPr>
                <w:b w:val="0"/>
                <w:i w:val="0"/>
              </w:rPr>
              <w:t>Konsultan - Transformation</w:t>
            </w:r>
          </w:p>
        </w:tc>
      </w:tr>
      <w:tr>
        <w:tc>
          <w:tcPr>
            <w:tcW w:type="dxa" w:w="4680"/>
          </w:tcPr>
          <w:p>
            <w:r>
              <w:rPr>
                <w:b w:val="0"/>
                <w:i w:val="0"/>
              </w:rPr>
              <w:t>Durasi acuan</w:t>
            </w:r>
          </w:p>
        </w:tc>
        <w:tc>
          <w:tcPr>
            <w:tcW w:type="dxa" w:w="4680"/>
          </w:tcPr>
          <w:p>
            <w:r>
              <w:rPr>
                <w:b w:val="0"/>
                <w:i w:val="0"/>
              </w:rPr>
              <w:t>8 Bulan</w:t>
            </w:r>
          </w:p>
        </w:tc>
      </w:tr>
      <w:tr>
        <w:tc>
          <w:tcPr>
            <w:tcW w:type="dxa" w:w="4680"/>
          </w:tcPr>
          <w:p>
            <w:r>
              <w:rPr>
                <w:b w:val="0"/>
                <w:i w:val="0"/>
              </w:rPr>
              <w:t>Basis commercial</w:t>
            </w:r>
          </w:p>
        </w:tc>
        <w:tc>
          <w:tcPr>
            <w:tcW w:type="dxa" w:w="4680"/>
          </w:tcPr>
          <w:p>
            <w:r>
              <w:rPr>
                <w:b w:val="0"/>
                <w:i w:val="0"/>
              </w:rPr>
              <w:t>Time &amp; Materials (T&amp;M) over 12-18 months.</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35"/>
        </w:numPr>
      </w:pPr>
      <w:r>
        <w:rPr>
          <w:b/>
          <w:i w:val="0"/>
        </w:rPr>
        <w:t>Mobilization &amp; readiness</w:t>
      </w:r>
      <w:r>
        <w:rPr>
          <w:b w:val="0"/>
          <w:i w:val="0"/>
        </w:rPr>
        <w:t xml:space="preserve"> sebesar 20% dari estimasi investasi, ditagihkan setelah milestone terkait diterima.</w:t>
      </w:r>
    </w:p>
    <w:p>
      <w:pPr>
        <w:pStyle w:val="ListNumber"/>
        <w:spacing w:before="0" w:after="80"/>
        <w:numPr>
          <w:ilvl w:val="0"/>
          <w:numId w:val="35"/>
        </w:numPr>
      </w:pPr>
      <w:r>
        <w:rPr>
          <w:b/>
          <w:i w:val="0"/>
        </w:rPr>
        <w:t>Blueprint &amp; governance setup</w:t>
      </w:r>
      <w:r>
        <w:rPr>
          <w:b w:val="0"/>
          <w:i w:val="0"/>
        </w:rPr>
        <w:t xml:space="preserve"> sebesar 30% dari estimasi investasi, ditagihkan setelah milestone terkait diterima.</w:t>
      </w:r>
    </w:p>
    <w:p>
      <w:pPr>
        <w:pStyle w:val="ListNumber"/>
        <w:spacing w:before="0" w:after="80"/>
        <w:numPr>
          <w:ilvl w:val="0"/>
          <w:numId w:val="35"/>
        </w:numPr>
      </w:pPr>
      <w:r>
        <w:rPr>
          <w:b/>
          <w:i w:val="0"/>
        </w:rPr>
        <w:t>Rollout milestone</w:t>
      </w:r>
      <w:r>
        <w:rPr>
          <w:b w:val="0"/>
          <w:i w:val="0"/>
        </w:rPr>
        <w:t xml:space="preserve"> sebesar 30% dari estimasi investasi, ditagihkan setelah milestone terkait diterima.</w:t>
      </w:r>
    </w:p>
    <w:p>
      <w:pPr>
        <w:pStyle w:val="ListNumber"/>
        <w:spacing w:before="0" w:after="80"/>
        <w:numPr>
          <w:ilvl w:val="0"/>
          <w:numId w:val="35"/>
        </w:numPr>
      </w:pPr>
      <w:r>
        <w:rPr>
          <w:b/>
          <w:i w:val="0"/>
        </w:rPr>
        <w:t>Hypercare &amp; closure</w:t>
      </w:r>
      <w:r>
        <w:rPr>
          <w:b w:val="0"/>
          <w:i w:val="0"/>
        </w:rPr>
        <w:t xml:space="preserve"> sebesar 20% dari estimasi investasi, ditagihkan setelah milestone terkait diterima.</w:t>
      </w:r>
    </w:p>
    <w:p>
      <w:pPr>
        <w:pStyle w:val="Heading2"/>
      </w:pPr>
      <w:r>
        <w:rPr>
          <w:rFonts w:ascii="Arial" w:hAnsi="Arial"/>
          <w:b/>
          <w:color w:val="486E4F"/>
        </w:rPr>
        <w:t>12.2 Model Pekerjaan dan Batasan Pekerjaan</w:t>
      </w:r>
    </w:p>
    <w:p>
      <w:r>
        <w:rPr>
          <w:b w:val="0"/>
          <w:i w:val="0"/>
        </w:rPr>
        <w:t>Model kerja dirancang agar ruang lingkup delivery tetap fokus pada kebutuhan problem dan KPI seperti Service availability dan pengalaman pelanggan meningkat dalam 8 bulan. | Churn pelanggan menurun dan quality of service membaik dalam 8 bulan. Untuk XL Axiata,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 - Konteks XL Axiata tetap menjadi acuan utama agar isi bab tidak bergeser menjadi generik. - Setiap butir pada bab ini harus bisa ditelusuri ke KPI, risiko, atau keputusan kerja yang nyata.</w:t>
      </w:r>
    </w:p>
    <w:p>
      <w:r>
        <w:br w:type="page"/>
      </w:r>
    </w:p>
    <w:p>
      <w:pPr>
        <w:pStyle w:val="Heading1"/>
        <w:jc w:val="center"/>
      </w:pPr>
      <w:r>
        <w:rPr>
          <w:color w:val="486E4F"/>
        </w:rPr>
        <w:t>PENUTUP &amp; APRESIASI KEMITRAAN</w:t>
      </w:r>
    </w:p>
    <w:p>
      <w:r>
        <w:rPr>
          <w:b w:val="0"/>
          <w:i w:val="0"/>
        </w:rPr>
        <w:t>Terima kasih atas kesempatan yang diberikan kepada Inixindo Jogja untuk menyusun proposal bagi XL Axiata. Kami memandang inisiatif gelombang uji beban 5: penguatan tata kelola delivery, percepatan keputusan lintas unit, dan penyusunan roadmap eksekusi yang lebih...</w:t>
      </w:r>
    </w:p>
    <w:p>
      <w:pPr>
        <w:pStyle w:val="Heading2"/>
      </w:pPr>
      <w:r>
        <w:rPr>
          <w:rFonts w:ascii="Arial" w:hAnsi="Arial"/>
          <w:b/>
          <w:color w:val="486E4F"/>
        </w:rPr>
        <w:t>Apresiasi dan Komitmen Kemitraan</w:t>
      </w:r>
    </w:p>
    <w:p>
      <w:pPr>
        <w:pStyle w:val="ListNumber"/>
        <w:spacing w:before="0" w:after="80"/>
        <w:numPr>
          <w:ilvl w:val="0"/>
          <w:numId w:val="36"/>
        </w:numPr>
      </w:pPr>
      <w:r>
        <w:rPr>
          <w:b w:val="0"/>
          <w:i w:val="0"/>
        </w:rPr>
        <w:t>Kami mengapresiasi keterbukaan XL Axiata dalam mengangkat konteks, tantangan, dan target bisnis yang menjadi dasar proposal ini.</w:t>
      </w:r>
    </w:p>
    <w:p>
      <w:pPr>
        <w:pStyle w:val="ListNumber"/>
        <w:spacing w:before="0" w:after="80"/>
        <w:numPr>
          <w:ilvl w:val="0"/>
          <w:numId w:val="36"/>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36"/>
        </w:numPr>
      </w:pPr>
      <w:r>
        <w:rPr>
          <w:b w:val="0"/>
          <w:i w:val="0"/>
        </w:rPr>
        <w:t>Fokus awal kemitraan diarahkan pada prioritas seperti Service availability dan pengalaman pelanggan meningkat dalam 8 bulan. | Churn pelanggan menurun dan quality of service membaik dalam 8 bulan. | Efisiensi operasi network support meningkat dalam 8 bulan., dengan tata kelola dan ritme eksekusi yang stabil sejak kickoff.</w:t>
      </w:r>
    </w:p>
    <w:p>
      <w:pPr>
        <w:pStyle w:val="Heading2"/>
      </w:pPr>
      <w:r>
        <w:rPr>
          <w:rFonts w:ascii="Arial" w:hAnsi="Arial"/>
          <w:b/>
          <w:color w:val="486E4F"/>
        </w:rPr>
        <w:t>Informasi Kontak dan Langkah Lanjutan</w:t>
      </w:r>
    </w:p>
    <w:p>
      <w:r>
        <w:rPr>
          <w:b w:val="0"/>
          <w:i w:val="0"/>
        </w:rPr>
        <w:t>Untuk melanjutkan pembahasan, Inixindo Jogja siap menindaklanjuti review proposal, penajaman ruang lingkup, dan penyesuaian komersial yang diperlukan. - Konteks XL Axiata tetap menjadi acuan utama agar isi bab tidak bergeser menjadi generik. - Setiap butir pada bab ini harus bisa ditelusuri ke KPI, risiko, atau keputusan kerja yang nyata.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7"/>
  </w:num>
  <w:num w:numId="12">
    <w:abstractNumId w:val="8"/>
  </w:num>
  <w:num w:numId="13">
    <w:abstractNumId w:val="8"/>
  </w:num>
  <w:num w:numId="14">
    <w:abstractNumId w:val="7"/>
  </w:num>
  <w:num w:numId="15">
    <w:abstractNumId w:val="7"/>
  </w:num>
  <w:num w:numId="16">
    <w:abstractNumId w:val="8"/>
  </w:num>
  <w:num w:numId="17">
    <w:abstractNumId w:val="8"/>
  </w:num>
  <w:num w:numId="18">
    <w:abstractNumId w:val="7"/>
  </w:num>
  <w:num w:numId="19">
    <w:abstractNumId w:val="8"/>
  </w:num>
  <w:num w:numId="20">
    <w:abstractNumId w:val="8"/>
  </w:num>
  <w:num w:numId="21">
    <w:abstractNumId w:val="7"/>
  </w:num>
  <w:num w:numId="22">
    <w:abstractNumId w:val="8"/>
  </w:num>
  <w:num w:numId="23">
    <w:abstractNumId w:val="8"/>
  </w:num>
  <w:num w:numId="24">
    <w:abstractNumId w:val="8"/>
  </w:num>
  <w:num w:numId="25">
    <w:abstractNumId w:val="7"/>
  </w:num>
  <w:num w:numId="26">
    <w:abstractNumId w:val="7"/>
  </w:num>
  <w:num w:numId="27">
    <w:abstractNumId w:val="8"/>
  </w:num>
  <w:num w:numId="28">
    <w:abstractNumId w:val="8"/>
  </w:num>
  <w:num w:numId="29">
    <w:abstractNumId w:val="7"/>
  </w:num>
  <w:num w:numId="30">
    <w:abstractNumId w:val="7"/>
  </w:num>
  <w:num w:numId="31">
    <w:abstractNumId w:val="7"/>
  </w:num>
  <w:num w:numId="32">
    <w:abstractNumId w:val="7"/>
  </w:num>
  <w:num w:numId="33">
    <w:abstractNumId w:val="7"/>
  </w:num>
  <w:num w:numId="34">
    <w:abstractNumId w:val="7"/>
  </w:num>
  <w:num w:numId="35">
    <w:abstractNumId w:val="7"/>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