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drawing>
          <wp:inline xmlns:a="http://schemas.openxmlformats.org/drawingml/2006/main" xmlns:pic="http://schemas.openxmlformats.org/drawingml/2006/picture">
            <wp:extent cx="1645920" cy="570586"/>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645920" cy="570586"/>
                    </a:xfrm>
                    <a:prstGeom prst="rect"/>
                  </pic:spPr>
                </pic:pic>
              </a:graphicData>
            </a:graphic>
          </wp:inline>
        </w:drawing>
      </w:r>
    </w:p>
    <w:p>
      <w:pPr>
        <w:jc w:val="center"/>
      </w:pPr>
      <w:r>
        <w:rPr>
          <w:b/>
          <w:color w:val="7C7578"/>
          <w:sz w:val="60"/>
        </w:rPr>
        <w:t>ARSITEKTUR PROPOSAL</w:t>
      </w:r>
    </w:p>
    <w:p>
      <w:pPr>
        <w:jc w:val="center"/>
      </w:pPr>
      <w:r>
        <w:rPr>
          <w:sz w:val="28"/>
        </w:rPr>
        <w:t>Konsultan – Transformation</w:t>
      </w:r>
    </w:p>
    <w:p/>
    <w:p>
      <w:pPr>
        <w:jc w:val="center"/>
      </w:pPr>
      <w:r>
        <w:rPr>
          <w:b/>
          <w:sz w:val="32"/>
        </w:rPr>
        <w:t>Untuk: Indosat Ooredoo Hutchison</w:t>
      </w:r>
    </w:p>
    <w:p>
      <w:pPr>
        <w:jc w:val="center"/>
      </w:pPr>
      <w:r>
        <w:t>Inisiatif: Meningkatkan reliability jaringan dan kualitas layanan melalui AI network optimization yang terukur.</w:t>
      </w:r>
    </w:p>
    <w:p>
      <w:pPr>
        <w:jc w:val="center"/>
      </w:pPr>
      <w:r>
        <w:t>Durasi: 6 bulan | Estimasi Investasi: Rp 754.175.188 | Tanggal: 30 March 2026</w:t>
      </w:r>
    </w:p>
    <w:p>
      <w:pPr>
        <w:jc w:val="center"/>
      </w:pPr>
      <w:r>
        <w:t>Disusun oleh Inixindo Jogja</w:t>
      </w:r>
    </w:p>
    <w:p>
      <w:r>
        <w:br w:type="page"/>
      </w:r>
    </w:p>
    <w:p>
      <w:pPr>
        <w:pStyle w:val="Heading1"/>
        <w:jc w:val="center"/>
      </w:pPr>
      <w:r>
        <w:rPr>
          <w:color w:val="7C7578"/>
        </w:rPr>
        <w:t>BAB I – KONTEKS KLIEN</w:t>
      </w:r>
    </w:p>
    <w:p>
      <w:pPr>
        <w:pStyle w:val="Heading2"/>
      </w:pPr>
      <w:r>
        <w:rPr>
          <w:rFonts w:ascii="Arial" w:hAnsi="Arial"/>
          <w:b/>
          <w:color w:val="7C7578"/>
        </w:rPr>
        <w:t>1.1 Latar Belakang Organisasi Klien</w:t>
      </w:r>
    </w:p>
    <w:p>
      <w:r>
        <w:rPr>
          <w:b w:val="0"/>
          <w:i w:val="0"/>
        </w:rPr>
        <w:t>PT Indosat Ooredoo Hutchison Tbk (IOH) merupakan salah satu pilar utama industri telekomunikasi Indonesia, melayani puluhan juta subscriber seluler dan data di seluruh wilayah (startfriday.asia, 2025). Pada 2026, IOH mencatat pertumbuhan pendapatan + 9 % dan laba bersih double‑digit, menegaskan posisi keuangan yang kuat untuk investasi strategis (radarmalang.jawapos.com, 2026; jubi.id, 2026). Keberhasilan tersebut didukung oleh inisiatif digital terdepan, termasuk peluncuran panggilan 5G berbasis AI dan AI‑RAN yang dipamerkan di Mobile World Congress 2026 bersama Ericsson, Nokia, serta NVIDIA (mediaindonesia.com, 2026; teknologi.bisnis.com, 2025). Penghargaan</w:t>
      </w:r>
      <w:r>
        <w:rPr>
          <w:b w:val="0"/>
          <w:i/>
        </w:rPr>
        <w:t xml:space="preserve"> B2B Client Initiative of the Year – Indonesia</w:t>
      </w:r>
      <w:r>
        <w:rPr>
          <w:b w:val="0"/>
          <w:i w:val="0"/>
        </w:rPr>
        <w:t xml:space="preserve"> pada Asian Telecom Awards 2026 menegaskan reputasi inovatif IOH (instagram.com, 2026).</w:t>
      </w:r>
    </w:p>
    <w:p>
      <w:r>
        <w:rPr>
          <w:b w:val="0"/>
          <w:i w:val="0"/>
        </w:rPr>
        <w:t>Namun, integrasi pasca‑merger antara Indosat, Ooredoo, dan Hutchison menimbulkan tantangan operasional: penurunan sinyal di area pedesaan, peningkatan churn, dan beban NOC yang belum optimal. Data internal menunjukkan network availability saat ini berada pada 99,5 % (baseline) dengan target 99,99 % dalam enam bulan (Data Internal, 2026). Risiko utama adalah kompatibilitas perangkat keras legacy yang dapat menghambat deployment AI‑driven optimization (Data Internal, 2026).</w:t>
      </w:r>
    </w:p>
    <w:p>
      <w:r>
        <w:rPr>
          <w:b w:val="0"/>
          <w:i w:val="0"/>
        </w:rPr>
        <w:t>Selain itu, regulasi pemerintah menuntut tata kelola AI yang bertanggung jawab, mengacu pada prinsip OECD, NIST, dan ISO (djkn.kemenkeu.go.id, 2025). Kolaborasi terbaru dengan Kementerian Komunikasi dan Digital (Komdigi) pada 27 Maret 2026 memperkenalkan platform “Sahabat‑AI”, menegaskan kebutuhan akan solusi AI yang terukur dan dapat dipertanggungjawabkan (rri.co.id, 2026).</w:t>
      </w:r>
    </w:p>
    <w:p>
      <w:r>
        <w:rPr>
          <w:b w:val="0"/>
          <w:i w:val="0"/>
        </w:rPr>
        <w:t>Secara ringkas, IOH berada pada titik kritis:</w:t>
      </w:r>
    </w:p>
    <w:p>
      <w:pPr>
        <w:pStyle w:val="ListBullet"/>
        <w:spacing w:before="0" w:after="80"/>
        <w:numPr>
          <w:ilvl w:val="0"/>
          <w:numId w:val="10"/>
        </w:numPr>
      </w:pPr>
      <w:r>
        <w:rPr>
          <w:b/>
          <w:i w:val="0"/>
        </w:rPr>
        <w:t>Kekuatan</w:t>
      </w:r>
      <w:r>
        <w:rPr>
          <w:b w:val="0"/>
          <w:i w:val="0"/>
        </w:rPr>
        <w:t>: basis subscriber luas, cash flow positif, portofolio AI yang sudah terbukti.</w:t>
      </w:r>
    </w:p>
    <w:p>
      <w:pPr>
        <w:pStyle w:val="ListBullet"/>
        <w:spacing w:before="0" w:after="80"/>
        <w:numPr>
          <w:ilvl w:val="0"/>
          <w:numId w:val="10"/>
        </w:numPr>
      </w:pPr>
      <w:r>
        <w:rPr>
          <w:b/>
          <w:i w:val="0"/>
        </w:rPr>
        <w:t>Kelemahan</w:t>
      </w:r>
      <w:r>
        <w:rPr>
          <w:b w:val="0"/>
          <w:i w:val="0"/>
        </w:rPr>
        <w:t>: fragmentasi jaringan pasca‑merger, legacy hardware, proses NOC yang masih manual.</w:t>
      </w:r>
    </w:p>
    <w:p>
      <w:pPr>
        <w:pStyle w:val="ListBullet"/>
        <w:spacing w:before="0" w:after="80"/>
        <w:numPr>
          <w:ilvl w:val="0"/>
          <w:numId w:val="10"/>
        </w:numPr>
      </w:pPr>
      <w:r>
        <w:rPr>
          <w:b/>
          <w:i w:val="0"/>
        </w:rPr>
        <w:t>Peluang</w:t>
      </w:r>
      <w:r>
        <w:rPr>
          <w:b w:val="0"/>
          <w:i w:val="0"/>
        </w:rPr>
        <w:t>: dukungan regulator, ekosistem mitra (Ericsson, Nokia), permintaan pasar akan layanan 5G/AI yang reliable.</w:t>
      </w:r>
    </w:p>
    <w:p>
      <w:pPr>
        <w:pStyle w:val="ListBullet"/>
        <w:spacing w:before="0" w:after="80"/>
        <w:numPr>
          <w:ilvl w:val="0"/>
          <w:numId w:val="10"/>
        </w:numPr>
      </w:pPr>
      <w:r>
        <w:rPr>
          <w:b/>
          <w:i w:val="0"/>
        </w:rPr>
        <w:t>Ancaman</w:t>
      </w:r>
      <w:r>
        <w:rPr>
          <w:b w:val="0"/>
          <w:i w:val="0"/>
        </w:rPr>
        <w:t>: churn akibat kualitas layanan menurun, kompetitor yang mempercepat digitalisasi.</w:t>
      </w:r>
    </w:p>
    <w:p>
      <w:pPr>
        <w:pStyle w:val="Heading2"/>
      </w:pPr>
      <w:r>
        <w:rPr>
          <w:rFonts w:ascii="Arial" w:hAnsi="Arial"/>
          <w:b/>
          <w:color w:val="7C7578"/>
        </w:rPr>
        <w:t>1.2 Alasan Permintaan Jasa Konsultasi</w:t>
      </w:r>
    </w:p>
    <w:p>
      <w:r>
        <w:rPr>
          <w:b w:val="0"/>
          <w:i w:val="0"/>
        </w:rPr>
        <w:t>IOH meminta konsultan untuk menutup kesenjangan antara visi AI‑enabled network dan realisasi operasional. Tujuan utama dapat dirinci dalam tiga fase berurutan:</w:t>
      </w:r>
    </w:p>
    <w:p>
      <w:pPr>
        <w:pStyle w:val="ListNumber"/>
        <w:spacing w:before="0" w:after="80"/>
        <w:numPr>
          <w:ilvl w:val="0"/>
          <w:numId w:val="11"/>
        </w:numPr>
      </w:pPr>
      <w:r>
        <w:rPr>
          <w:b/>
          <w:i w:val="0"/>
        </w:rPr>
        <w:t>Diagnostik &amp; Readiness Assessment</w:t>
      </w:r>
      <w:r>
        <w:rPr>
          <w:b w:val="0"/>
          <w:i w:val="0"/>
        </w:rPr>
        <w:t xml:space="preserve"> - Memetakan data sumber, kualitas, dan kepemilikan model AI. - Mengidentifikasi titik kegagalan legacy hardware yang dapat menghambat rollout.</w:t>
      </w:r>
    </w:p>
    <w:p>
      <w:pPr>
        <w:pStyle w:val="ListNumber"/>
        <w:spacing w:before="0" w:after="80"/>
        <w:numPr>
          <w:ilvl w:val="0"/>
          <w:numId w:val="11"/>
        </w:numPr>
      </w:pPr>
      <w:r>
        <w:rPr>
          <w:b/>
          <w:i w:val="0"/>
        </w:rPr>
        <w:t>Desain &amp; Implementasi Phased Rollout</w:t>
      </w:r>
      <w:r>
        <w:rPr>
          <w:b w:val="0"/>
          <w:i w:val="0"/>
        </w:rPr>
        <w:t xml:space="preserve"> - Menyusun arsitektur integrasi AI‑RAN yang selaras dengan standar TOGAF, ITIL, dan ISO. - Mengaktifkan kontrol governance (SOP, risk gate, audit trail) untuk memastikan kepatuhan regulasi.</w:t>
      </w:r>
    </w:p>
    <w:p>
      <w:pPr>
        <w:pStyle w:val="ListNumber"/>
        <w:spacing w:before="0" w:after="80"/>
        <w:numPr>
          <w:ilvl w:val="0"/>
          <w:numId w:val="11"/>
        </w:numPr>
      </w:pPr>
      <w:r>
        <w:rPr>
          <w:b/>
          <w:i w:val="0"/>
        </w:rPr>
        <w:t>Change Management &amp; Hypercare</w:t>
      </w:r>
      <w:r>
        <w:rPr>
          <w:b w:val="0"/>
          <w:i w:val="0"/>
        </w:rPr>
        <w:t xml:space="preserve"> - Melatih tim NOC, business owner, dan pengguna akhir melalui program enablement terstruktur. - Menetapkan KPI operasional (network downtime, churn, efisiensi support) serta mekanisme monitoring berkelanjutan.</w:t>
      </w:r>
    </w:p>
    <w:p>
      <w:pPr>
        <w:pStyle w:val="Heading3"/>
      </w:pPr>
      <w:r>
        <w:rPr>
          <w:rFonts w:ascii="Arial" w:hAnsi="Arial"/>
          <w:b/>
          <w:color w:val="7C7578"/>
        </w:rPr>
        <w:t>Manfaat yang dapat diukur dalam 6 bulan</w:t>
      </w:r>
    </w:p>
    <w:p>
      <w:pPr>
        <w:pStyle w:val="ListBullet"/>
        <w:spacing w:before="0" w:after="80"/>
        <w:numPr>
          <w:ilvl w:val="0"/>
          <w:numId w:val="12"/>
        </w:numPr>
      </w:pPr>
      <w:r>
        <w:rPr>
          <w:b/>
          <w:i w:val="0"/>
        </w:rPr>
        <w:t>Reliability</w:t>
      </w:r>
      <w:r>
        <w:rPr>
          <w:b w:val="0"/>
          <w:i w:val="0"/>
        </w:rPr>
        <w:t>: peningkatan network availability dari 99,5 % ke 99,99 % (target).</w:t>
      </w:r>
    </w:p>
    <w:p>
      <w:pPr>
        <w:pStyle w:val="ListBullet"/>
        <w:spacing w:before="0" w:after="80"/>
        <w:numPr>
          <w:ilvl w:val="0"/>
          <w:numId w:val="12"/>
        </w:numPr>
      </w:pPr>
      <w:r>
        <w:rPr>
          <w:b/>
          <w:i w:val="0"/>
        </w:rPr>
        <w:t>Customer churn</w:t>
      </w:r>
      <w:r>
        <w:rPr>
          <w:b w:val="0"/>
          <w:i w:val="0"/>
        </w:rPr>
        <w:t>: penurunan minimal 5 % melalui perbaikan kualitas layanan.</w:t>
      </w:r>
    </w:p>
    <w:p>
      <w:pPr>
        <w:pStyle w:val="ListBullet"/>
        <w:spacing w:before="0" w:after="80"/>
        <w:numPr>
          <w:ilvl w:val="0"/>
          <w:numId w:val="12"/>
        </w:numPr>
      </w:pPr>
      <w:r>
        <w:rPr>
          <w:b/>
          <w:i w:val="0"/>
        </w:rPr>
        <w:t>Efisiensi operasional</w:t>
      </w:r>
      <w:r>
        <w:rPr>
          <w:b w:val="0"/>
          <w:i w:val="0"/>
        </w:rPr>
        <w:t>: pengurangan beban NOC sebesar 20 % lewat automasi AI‑driven alerting.</w:t>
      </w:r>
    </w:p>
    <w:p>
      <w:pPr>
        <w:pStyle w:val="Heading3"/>
      </w:pPr>
      <w:r>
        <w:rPr>
          <w:rFonts w:ascii="Arial" w:hAnsi="Arial"/>
          <w:b/>
          <w:color w:val="7C7578"/>
        </w:rPr>
        <w:t>Risiko &amp; Mitigasi (ringkas)</w:t>
      </w:r>
    </w:p>
    <w:p>
      <w:pPr>
        <w:pStyle w:val="ListBullet"/>
        <w:spacing w:before="0" w:after="80"/>
        <w:numPr>
          <w:ilvl w:val="0"/>
          <w:numId w:val="13"/>
        </w:numPr>
      </w:pPr>
      <w:r>
        <w:rPr>
          <w:b/>
          <w:i w:val="0"/>
        </w:rPr>
        <w:t>Legacy hardware incompatibility</w:t>
      </w:r>
      <w:r>
        <w:rPr>
          <w:b w:val="0"/>
          <w:i w:val="0"/>
        </w:rPr>
        <w:t xml:space="preserve"> → pilot di wilayah dengan infrastruktur modern, kemudian migrasi bertahap</w:t>
      </w:r>
    </w:p>
    <w:p>
      <w:r>
        <w:rPr>
          <w:b w:val="0"/>
          <w:i w:val="0"/>
        </w:rPr>
        <w:t>Untuk Indosat Ooredoo Hutchison, isi bab ini harus dibaca sebagai dasar keputusan kerja yang dapat ditindaklanjuti, bukan sekadar penjelasan konseptual. Karena itu, isi bab tetap diarahkan untuk menjaga relevansi terhadap KPI seperti Service availability dan pengalaman pelanggan meningkat dalam 6 bulan. | Churn pelanggan menurun dan quality of service membaik dalam 6 bulan. dan istilah kerja subscriber, network availability.</w:t>
      </w:r>
    </w:p>
    <w:p>
      <w:r>
        <w:br w:type="page"/>
      </w:r>
    </w:p>
    <w:p>
      <w:pPr>
        <w:pStyle w:val="Heading1"/>
        <w:jc w:val="center"/>
      </w:pPr>
      <w:r>
        <w:rPr>
          <w:color w:val="7C7578"/>
        </w:rPr>
        <w:t>BAB II – PERMASALAHAN</w:t>
      </w:r>
    </w:p>
    <w:p>
      <w:pPr>
        <w:pStyle w:val="Heading2"/>
      </w:pPr>
      <w:r>
        <w:rPr>
          <w:rFonts w:ascii="Arial" w:hAnsi="Arial"/>
          <w:b/>
          <w:color w:val="7C7578"/>
        </w:rPr>
        <w:t>2.1 Kebutuhan atau Keinginan Klien</w:t>
      </w:r>
    </w:p>
    <w:p>
      <w:pPr>
        <w:pStyle w:val="ListNumber"/>
        <w:spacing w:before="0" w:after="80"/>
        <w:numPr>
          <w:ilvl w:val="0"/>
          <w:numId w:val="14"/>
        </w:numPr>
      </w:pPr>
      <w:r>
        <w:rPr>
          <w:b w:val="0"/>
          <w:i w:val="0"/>
        </w:rPr>
        <w:t>Mengurangi</w:t>
      </w:r>
      <w:r>
        <w:rPr>
          <w:b/>
          <w:i w:val="0"/>
        </w:rPr>
        <w:t xml:space="preserve"> signal drop</w:t>
      </w:r>
      <w:r>
        <w:rPr>
          <w:b w:val="0"/>
          <w:i w:val="0"/>
        </w:rPr>
        <w:t xml:space="preserve"> di wilayah rural yang muncul pasca‑merger.</w:t>
      </w:r>
    </w:p>
    <w:p>
      <w:pPr>
        <w:pStyle w:val="ListNumber"/>
        <w:spacing w:before="0" w:after="80"/>
        <w:numPr>
          <w:ilvl w:val="0"/>
          <w:numId w:val="14"/>
        </w:numPr>
      </w:pPr>
      <w:r>
        <w:rPr>
          <w:b w:val="0"/>
          <w:i w:val="0"/>
        </w:rPr>
        <w:t>Meningkatkan</w:t>
      </w:r>
      <w:r>
        <w:rPr>
          <w:b/>
          <w:i w:val="0"/>
        </w:rPr>
        <w:t xml:space="preserve"> network availability</w:t>
      </w:r>
      <w:r>
        <w:rPr>
          <w:b w:val="0"/>
          <w:i w:val="0"/>
        </w:rPr>
        <w:t xml:space="preserve"> dari 99,5 % ke 99,99 % dalam 6 bulan.</w:t>
      </w:r>
    </w:p>
    <w:p>
      <w:pPr>
        <w:pStyle w:val="ListNumber"/>
        <w:spacing w:before="0" w:after="80"/>
        <w:numPr>
          <w:ilvl w:val="0"/>
          <w:numId w:val="14"/>
        </w:numPr>
      </w:pPr>
      <w:r>
        <w:rPr>
          <w:b w:val="0"/>
          <w:i w:val="0"/>
        </w:rPr>
        <w:t>Menetapkan</w:t>
      </w:r>
      <w:r>
        <w:rPr>
          <w:b/>
          <w:i w:val="0"/>
        </w:rPr>
        <w:t xml:space="preserve"> governance AI</w:t>
      </w:r>
      <w:r>
        <w:rPr>
          <w:b w:val="0"/>
          <w:i w:val="0"/>
        </w:rPr>
        <w:t xml:space="preserve"> yang selaras dengan standar TOGAF, ITIL, dan ISO.</w:t>
      </w:r>
    </w:p>
    <w:p>
      <w:pPr>
        <w:pStyle w:val="ListNumber"/>
        <w:spacing w:before="0" w:after="80"/>
        <w:numPr>
          <w:ilvl w:val="0"/>
          <w:numId w:val="14"/>
        </w:numPr>
      </w:pPr>
      <w:r>
        <w:rPr>
          <w:b w:val="0"/>
          <w:i w:val="0"/>
        </w:rPr>
        <w:t>Menyiapkan</w:t>
      </w:r>
      <w:r>
        <w:rPr>
          <w:b/>
          <w:i w:val="0"/>
        </w:rPr>
        <w:t xml:space="preserve"> data &amp; model readiness</w:t>
      </w:r>
      <w:r>
        <w:rPr>
          <w:b w:val="0"/>
          <w:i w:val="0"/>
        </w:rPr>
        <w:t xml:space="preserve"> untuk AI‑driven network optimization.</w:t>
      </w:r>
    </w:p>
    <w:p>
      <w:pPr>
        <w:pStyle w:val="ListNumber"/>
        <w:spacing w:before="0" w:after="80"/>
        <w:numPr>
          <w:ilvl w:val="0"/>
          <w:numId w:val="14"/>
        </w:numPr>
      </w:pPr>
      <w:r>
        <w:rPr>
          <w:b w:val="0"/>
          <w:i w:val="0"/>
        </w:rPr>
        <w:t>Memastikan perubahan proses NOC dapat diadopsi tanpa gangguan layanan.</w:t>
      </w:r>
    </w:p>
    <w:p>
      <w:pPr>
        <w:pStyle w:val="Heading2"/>
      </w:pPr>
      <w:r>
        <w:rPr>
          <w:rFonts w:ascii="Arial" w:hAnsi="Arial"/>
          <w:b/>
          <w:color w:val="7C7578"/>
        </w:rPr>
        <w:t>2.2 Business Context</w:t>
      </w:r>
    </w:p>
    <w:p>
      <w:r>
        <w:rPr>
          <w:b w:val="0"/>
          <w:i w:val="0"/>
        </w:rPr>
        <w:t>Indosat Ooredoo Hutchison (IOH) adalah pilar utama industri telekomunikasi Indonesia, melayani puluhan juta subscriber dengan layanan seluler dan data (startfriday.asia, 2025). Pada 2026, IOH mencatat pertumbuhan pendapatan 9 % dan meraih penghargaan</w:t>
      </w:r>
      <w:r>
        <w:rPr>
          <w:b w:val="0"/>
          <w:i/>
        </w:rPr>
        <w:t xml:space="preserve"> B2B Client Initiative of the Year</w:t>
      </w:r>
      <w:r>
        <w:rPr>
          <w:b w:val="0"/>
          <w:i w:val="0"/>
        </w:rPr>
        <w:t xml:space="preserve"> (instagram.com, 2026). Di sisi lain, kolaborasi dengan Ericsson di MWC 2026 menghasilkan platform AI‑RAN “Flash” untuk meningkatkan kualitas layanan (mediaindonesia.com, 2026). Pemerintah melalui Komdigi juga meluncurkan inisiatif “Sahabat‑AI” bersama IOH (rri.co.id, 2026). Meskipun demikian, integrasi jaringan pasca‑merger menimbulkan</w:t>
      </w:r>
      <w:r>
        <w:rPr>
          <w:b/>
          <w:i w:val="0"/>
        </w:rPr>
        <w:t xml:space="preserve"> signal drop</w:t>
      </w:r>
      <w:r>
        <w:rPr>
          <w:b w:val="0"/>
          <w:i w:val="0"/>
        </w:rPr>
        <w:t xml:space="preserve"> di area rural, mengancam target reliability dan meningkatkan churn.</w:t>
      </w:r>
    </w:p>
    <w:p>
      <w:pPr>
        <w:pStyle w:val="Heading2"/>
      </w:pPr>
      <w:r>
        <w:rPr>
          <w:rFonts w:ascii="Arial" w:hAnsi="Arial"/>
          <w:b/>
          <w:color w:val="7C7578"/>
        </w:rPr>
        <w:t>2.3 Key Challenge</w:t>
      </w:r>
    </w:p>
    <w:p>
      <w:pPr>
        <w:pStyle w:val="ListBullet"/>
        <w:spacing w:before="0" w:after="80"/>
        <w:numPr>
          <w:ilvl w:val="0"/>
          <w:numId w:val="15"/>
        </w:numPr>
      </w:pPr>
      <w:r>
        <w:rPr>
          <w:b/>
          <w:i w:val="0"/>
        </w:rPr>
        <w:t>Fragmentasi data jaringan</w:t>
      </w:r>
      <w:r>
        <w:rPr>
          <w:b w:val="0"/>
          <w:i w:val="0"/>
        </w:rPr>
        <w:t>: sumber data berasal dari sistem legacy yang tidak terstandardisasi, sehingga model AI tidak dapat mengakses data real‑time secara konsisten.</w:t>
      </w:r>
    </w:p>
    <w:p>
      <w:pPr>
        <w:pStyle w:val="ListBullet"/>
        <w:spacing w:before="0" w:after="80"/>
        <w:numPr>
          <w:ilvl w:val="0"/>
          <w:numId w:val="15"/>
        </w:numPr>
      </w:pPr>
      <w:r>
        <w:rPr>
          <w:b/>
          <w:i w:val="0"/>
        </w:rPr>
        <w:t>Keterbatasan kapasitas NOC</w:t>
      </w:r>
      <w:r>
        <w:rPr>
          <w:b w:val="0"/>
          <w:i w:val="0"/>
        </w:rPr>
        <w:t>: tim NOC masih mengandalkan prosedur manual untuk fault detection, memperlambat respon pada anomali jaringan.</w:t>
      </w:r>
    </w:p>
    <w:p>
      <w:pPr>
        <w:pStyle w:val="ListBullet"/>
        <w:spacing w:before="0" w:after="80"/>
        <w:numPr>
          <w:ilvl w:val="0"/>
          <w:numId w:val="15"/>
        </w:numPr>
      </w:pPr>
      <w:r>
        <w:rPr>
          <w:b/>
          <w:i w:val="0"/>
        </w:rPr>
        <w:t>Governance AI yang belum terdefinisi</w:t>
      </w:r>
      <w:r>
        <w:rPr>
          <w:b w:val="0"/>
          <w:i w:val="0"/>
        </w:rPr>
        <w:t>: tidak ada SOP persetujuan model, audit bias, atau mekanisme human‑in‑the‑loop, berisiko pelanggaran regulasi (lsf.go.id, 2026).</w:t>
      </w:r>
    </w:p>
    <w:p>
      <w:pPr>
        <w:pStyle w:val="ListBullet"/>
        <w:spacing w:before="0" w:after="80"/>
        <w:numPr>
          <w:ilvl w:val="0"/>
          <w:numId w:val="15"/>
        </w:numPr>
      </w:pPr>
      <w:r>
        <w:rPr>
          <w:b/>
          <w:i w:val="0"/>
        </w:rPr>
        <w:t>Legacy hardware compatibility</w:t>
      </w:r>
      <w:r>
        <w:rPr>
          <w:b w:val="0"/>
          <w:i w:val="0"/>
        </w:rPr>
        <w:t>: sebagian peralatan radio tidak mendukung API modern, meningkatkan risiko kegagalan deployment AI‑RAN.</w:t>
      </w:r>
    </w:p>
    <w:p>
      <w:pPr>
        <w:pStyle w:val="Heading2"/>
      </w:pPr>
      <w:r>
        <w:rPr>
          <w:rFonts w:ascii="Arial" w:hAnsi="Arial"/>
          <w:b/>
          <w:color w:val="7C7578"/>
        </w:rPr>
        <w:t>2.4 Underlying Gap</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val="0"/>
                <w:i w:val="0"/>
              </w:rPr>
              <w:t>Dimensi</w:t>
            </w:r>
          </w:p>
        </w:tc>
        <w:tc>
          <w:tcPr>
            <w:tcW w:type="dxa" w:w="2340"/>
          </w:tcPr>
          <w:p>
            <w:r>
              <w:rPr>
                <w:b w:val="0"/>
                <w:i w:val="0"/>
              </w:rPr>
              <w:t>Current State</w:t>
            </w:r>
          </w:p>
        </w:tc>
        <w:tc>
          <w:tcPr>
            <w:tcW w:type="dxa" w:w="2340"/>
          </w:tcPr>
          <w:p>
            <w:r>
              <w:rPr>
                <w:b w:val="0"/>
                <w:i w:val="0"/>
              </w:rPr>
              <w:t>Target State (6 bulan)</w:t>
            </w:r>
          </w:p>
        </w:tc>
        <w:tc>
          <w:tcPr>
            <w:tcW w:type="dxa" w:w="2340"/>
          </w:tcPr>
          <w:p>
            <w:r>
              <w:rPr>
                <w:b w:val="0"/>
                <w:i w:val="0"/>
              </w:rPr>
              <w:t>Gap</w:t>
            </w:r>
          </w:p>
        </w:tc>
      </w:tr>
      <w:tr>
        <w:tc>
          <w:tcPr>
            <w:tcW w:type="dxa" w:w="2340"/>
          </w:tcPr>
          <w:p>
            <w:r>
              <w:rPr>
                <w:b/>
                <w:i w:val="0"/>
              </w:rPr>
              <w:t>Data readiness</w:t>
            </w:r>
          </w:p>
        </w:tc>
        <w:tc>
          <w:tcPr>
            <w:tcW w:type="dxa" w:w="2340"/>
          </w:tcPr>
          <w:p>
            <w:r>
              <w:rPr>
                <w:b w:val="0"/>
                <w:i w:val="0"/>
              </w:rPr>
              <w:t>Data silo, kualitas tidak terukur, ownership tidak jelas</w:t>
            </w:r>
          </w:p>
        </w:tc>
        <w:tc>
          <w:tcPr>
            <w:tcW w:type="dxa" w:w="2340"/>
          </w:tcPr>
          <w:p>
            <w:r>
              <w:rPr>
                <w:b w:val="0"/>
                <w:i w:val="0"/>
              </w:rPr>
              <w:t>Data lake terintegrasi, kualitas terverifikasi, governance data terdefinisi</w:t>
            </w:r>
          </w:p>
        </w:tc>
        <w:tc>
          <w:tcPr>
            <w:tcW w:type="dxa" w:w="2340"/>
          </w:tcPr>
          <w:p>
            <w:r>
              <w:rPr>
                <w:b w:val="0"/>
                <w:i w:val="0"/>
              </w:rPr>
              <w:t>1. Data cataloging 2. Data quality framework</w:t>
            </w:r>
          </w:p>
        </w:tc>
      </w:tr>
      <w:tr>
        <w:tc>
          <w:tcPr>
            <w:tcW w:type="dxa" w:w="2340"/>
          </w:tcPr>
          <w:p>
            <w:r>
              <w:rPr>
                <w:b/>
                <w:i w:val="0"/>
              </w:rPr>
              <w:t>Model validation</w:t>
            </w:r>
          </w:p>
        </w:tc>
        <w:tc>
          <w:tcPr>
            <w:tcW w:type="dxa" w:w="2340"/>
          </w:tcPr>
          <w:p>
            <w:r>
              <w:rPr>
                <w:b w:val="0"/>
                <w:i w:val="0"/>
              </w:rPr>
              <w:t>Proof‑of‑concept terbatas pada satu kota</w:t>
            </w:r>
          </w:p>
        </w:tc>
        <w:tc>
          <w:tcPr>
            <w:tcW w:type="dxa" w:w="2340"/>
          </w:tcPr>
          <w:p>
            <w:r>
              <w:rPr>
                <w:b w:val="0"/>
                <w:i w:val="0"/>
              </w:rPr>
              <w:t>Model teruji di 5 wilayah rural dengan akurasi &gt; 95 %</w:t>
            </w:r>
          </w:p>
        </w:tc>
        <w:tc>
          <w:tcPr>
            <w:tcW w:type="dxa" w:w="2340"/>
          </w:tcPr>
          <w:p>
            <w:r>
              <w:rPr>
                <w:b w:val="0"/>
                <w:i w:val="0"/>
              </w:rPr>
              <w:t>1. Cross‑region testing 2. Continuous monitoring</w:t>
            </w:r>
          </w:p>
        </w:tc>
      </w:tr>
      <w:tr>
        <w:tc>
          <w:tcPr>
            <w:tcW w:type="dxa" w:w="2340"/>
          </w:tcPr>
          <w:p>
            <w:r>
              <w:rPr>
                <w:b/>
                <w:i w:val="0"/>
              </w:rPr>
              <w:t>Arsitektur jaringan</w:t>
            </w:r>
          </w:p>
        </w:tc>
        <w:tc>
          <w:tcPr>
            <w:tcW w:type="dxa" w:w="2340"/>
          </w:tcPr>
          <w:p>
            <w:r>
              <w:rPr>
                <w:b w:val="0"/>
                <w:i w:val="0"/>
              </w:rPr>
              <w:t>Legacy hardware 30 % tidak kompatibel dengan AI‑RAN</w:t>
            </w:r>
          </w:p>
        </w:tc>
        <w:tc>
          <w:tcPr>
            <w:tcW w:type="dxa" w:w="2340"/>
          </w:tcPr>
          <w:p>
            <w:r>
              <w:rPr>
                <w:b w:val="0"/>
                <w:i w:val="0"/>
              </w:rPr>
              <w:t>100 % perangkat mendukung API standar, edge compute terdistribusi</w:t>
            </w:r>
          </w:p>
        </w:tc>
        <w:tc>
          <w:tcPr>
            <w:tcW w:type="dxa" w:w="2340"/>
          </w:tcPr>
          <w:p>
            <w:r>
              <w:rPr>
                <w:b w:val="0"/>
                <w:i w:val="0"/>
              </w:rPr>
              <w:t>1. Upgrade firmware 2. Deploy edge nodes</w:t>
            </w:r>
          </w:p>
        </w:tc>
      </w:tr>
      <w:tr>
        <w:tc>
          <w:tcPr>
            <w:tcW w:type="dxa" w:w="2340"/>
          </w:tcPr>
          <w:p>
            <w:r>
              <w:rPr>
                <w:b/>
                <w:i w:val="0"/>
              </w:rPr>
              <w:t>Governance</w:t>
            </w:r>
          </w:p>
        </w:tc>
        <w:tc>
          <w:tcPr>
            <w:tcW w:type="dxa" w:w="2340"/>
          </w:tcPr>
          <w:p>
            <w:r>
              <w:rPr>
                <w:b w:val="0"/>
                <w:i w:val="0"/>
              </w:rPr>
              <w:t>Tidak ada kebijakan AI formal</w:t>
            </w:r>
          </w:p>
        </w:tc>
        <w:tc>
          <w:tcPr>
            <w:tcW w:type="dxa" w:w="2340"/>
          </w:tcPr>
          <w:p>
            <w:r>
              <w:rPr>
                <w:b w:val="0"/>
                <w:i w:val="0"/>
              </w:rPr>
              <w:t>SOP AI, risk register, audit trail, compliance dengan OECD/NIST</w:t>
            </w:r>
          </w:p>
        </w:tc>
        <w:tc>
          <w:tcPr>
            <w:tcW w:type="dxa" w:w="2340"/>
          </w:tcPr>
          <w:p>
            <w:r>
              <w:rPr>
                <w:b w:val="0"/>
                <w:i w:val="0"/>
              </w:rPr>
              <w:t>1. Draft policy 2. Training governance board</w:t>
            </w:r>
          </w:p>
        </w:tc>
      </w:tr>
      <w:tr>
        <w:tc>
          <w:tcPr>
            <w:tcW w:type="dxa" w:w="2340"/>
          </w:tcPr>
          <w:p>
            <w:r>
              <w:rPr>
                <w:b/>
                <w:i w:val="0"/>
              </w:rPr>
              <w:t>Operasional NOC</w:t>
            </w:r>
          </w:p>
        </w:tc>
        <w:tc>
          <w:tcPr>
            <w:tcW w:type="dxa" w:w="2340"/>
          </w:tcPr>
          <w:p>
            <w:r>
              <w:rPr>
                <w:b w:val="0"/>
                <w:i w:val="0"/>
              </w:rPr>
              <w:t>Proses manual, MTTR &gt; 30 menit</w:t>
            </w:r>
          </w:p>
        </w:tc>
        <w:tc>
          <w:tcPr>
            <w:tcW w:type="dxa" w:w="2340"/>
          </w:tcPr>
          <w:p>
            <w:r>
              <w:rPr>
                <w:b w:val="0"/>
                <w:i w:val="0"/>
              </w:rPr>
              <w:t>Otomatisasi alarm, MTTR &lt; 10 menit, dashboard real‑time</w:t>
            </w:r>
          </w:p>
        </w:tc>
        <w:tc>
          <w:tcPr>
            <w:tcW w:type="dxa" w:w="2340"/>
          </w:tcPr>
          <w:p>
            <w:r>
              <w:rPr>
                <w:b w:val="0"/>
                <w:i w:val="0"/>
              </w:rPr>
              <w:t>1. Integrasi AI‑engine ke NOC 2. Skill uplift</w:t>
            </w:r>
          </w:p>
        </w:tc>
      </w:tr>
    </w:tbl>
    <w:p>
      <w:pPr>
        <w:pStyle w:val="Heading2"/>
      </w:pPr>
      <w:r>
        <w:rPr>
          <w:rFonts w:ascii="Arial" w:hAnsi="Arial"/>
          <w:b/>
          <w:color w:val="7C7578"/>
        </w:rPr>
        <w:t>2.5 Implication / Risk</w:t>
      </w:r>
    </w:p>
    <w:p>
      <w:pPr>
        <w:pStyle w:val="ListBullet"/>
        <w:spacing w:before="0" w:after="80"/>
        <w:numPr>
          <w:ilvl w:val="0"/>
          <w:numId w:val="16"/>
        </w:numPr>
      </w:pPr>
      <w:r>
        <w:rPr>
          <w:b/>
          <w:i w:val="0"/>
        </w:rPr>
        <w:t>Service degradation</w:t>
      </w:r>
      <w:r>
        <w:rPr>
          <w:b w:val="0"/>
          <w:i w:val="0"/>
        </w:rPr>
        <w:t>: Jika signal drop tidak ditangani, churn dapat naik 2‑3 % per kuartal, menggerus margin EBITDA (Data Internal, 2026).</w:t>
      </w:r>
    </w:p>
    <w:p>
      <w:pPr>
        <w:pStyle w:val="ListBullet"/>
        <w:spacing w:before="0" w:after="80"/>
        <w:numPr>
          <w:ilvl w:val="0"/>
          <w:numId w:val="16"/>
        </w:numPr>
      </w:pPr>
      <w:r>
        <w:rPr>
          <w:b/>
          <w:i w:val="0"/>
        </w:rPr>
        <w:t>Regulatory exposure</w:t>
      </w:r>
      <w:r>
        <w:rPr>
          <w:b w:val="0"/>
          <w:i w:val="0"/>
        </w:rPr>
        <w:t>: Tanpa governance AI, IOH berisiko melanggar pedoman AI nasional (lsf.go.id, 2026) dan menghadapi sanksi.</w:t>
      </w:r>
    </w:p>
    <w:p>
      <w:pPr>
        <w:pStyle w:val="ListBullet"/>
        <w:spacing w:before="0" w:after="80"/>
        <w:numPr>
          <w:ilvl w:val="0"/>
          <w:numId w:val="16"/>
        </w:numPr>
      </w:pPr>
      <w:r>
        <w:rPr>
          <w:b/>
          <w:i w:val="0"/>
        </w:rPr>
        <w:t>Cost overrun</w:t>
      </w:r>
      <w:r>
        <w:rPr>
          <w:b w:val="0"/>
          <w:i w:val="0"/>
        </w:rPr>
        <w:t>: Upgrade hardware setelah fase rollout dapat menambah CAPEX hingga $5 juta, mengurangi ROI yang diharapkan.</w:t>
      </w:r>
    </w:p>
    <w:p>
      <w:pPr>
        <w:pStyle w:val="ListBullet"/>
        <w:spacing w:before="0" w:after="80"/>
        <w:numPr>
          <w:ilvl w:val="0"/>
          <w:numId w:val="16"/>
        </w:numPr>
      </w:pPr>
      <w:r>
        <w:rPr>
          <w:b/>
          <w:i w:val="0"/>
        </w:rPr>
        <w:t>Talent bottleneck</w:t>
      </w:r>
      <w:r>
        <w:rPr>
          <w:b w:val="0"/>
          <w:i w:val="0"/>
        </w:rPr>
        <w:t>: NOC staff yang tidak terlatih pada AI dapat menurunkan efektivitas otomatisasi, meningkatkan MTTR.</w:t>
      </w:r>
    </w:p>
    <w:p>
      <w:pPr>
        <w:pStyle w:val="Heading2"/>
      </w:pPr>
      <w:r>
        <w:rPr>
          <w:rFonts w:ascii="Arial" w:hAnsi="Arial"/>
          <w:b/>
          <w:color w:val="7C7578"/>
        </w:rPr>
        <w:t>2.6 Need for Solution</w:t>
      </w:r>
    </w:p>
    <w:p>
      <w:pPr>
        <w:pStyle w:val="ListNumber"/>
        <w:spacing w:before="0" w:after="80"/>
        <w:numPr>
          <w:ilvl w:val="0"/>
          <w:numId w:val="17"/>
        </w:numPr>
      </w:pPr>
      <w:r>
        <w:rPr>
          <w:b/>
          <w:i w:val="0"/>
        </w:rPr>
        <w:t>AI‑driven Network Optimization</w:t>
      </w:r>
      <w:r>
        <w:rPr>
          <w:b w:val="0"/>
          <w:i w:val="0"/>
        </w:rPr>
        <w:t xml:space="preserve"> yang mengkonsumsi data terintegrasi, menghasilkan rekomendasi real‑time untuk penyesuaian parameter radio.</w:t>
      </w:r>
    </w:p>
    <w:p>
      <w:pPr>
        <w:pStyle w:val="ListNumber"/>
        <w:spacing w:before="0" w:after="80"/>
        <w:numPr>
          <w:ilvl w:val="0"/>
          <w:numId w:val="17"/>
        </w:numPr>
      </w:pPr>
      <w:r>
        <w:rPr>
          <w:b/>
          <w:i w:val="0"/>
        </w:rPr>
        <w:t>Data &amp; Model Readiness Framework</w:t>
      </w:r>
      <w:r>
        <w:rPr>
          <w:b w:val="0"/>
          <w:i w:val="0"/>
        </w:rPr>
        <w:t>: katalog data, pipeline ETL, dan validation suite yang dapat dip</w:t>
      </w:r>
    </w:p>
    <w:p>
      <w:r>
        <w:rPr>
          <w:b w:val="0"/>
          <w:i w:val="0"/>
        </w:rPr>
        <w:t>Definisi masalah untuk Indosat Ooredoo Hutchison perlu dibangun dengan pola yang konsisten agar sponsor dapat melihat hubungan langsung antara konteks bisnis, tantangan utama, gap yang mendasari, risiko yang muncul, dan kebutuhan solusi. Dengan pendekatan ini, bab permasalahan tidak berhenti pada daftar pain point, tetapi benar-benar menjelaskan mengapa gap antara current state dan target state perlu ditutup dengan intervensi yang lebih terukur. Rujukan konteks yang tetap dipakai adalah Kementerian Komunikasi dan Digital Republik Indonesia (Komdigi) dan Indosat Ooredoo Hutchison (Indosat or IOH), Jumat, 27 Maret 2026 memperkenalkan... (rri.co.id, 2026).</w:t>
      </w:r>
    </w:p>
    <w:p>
      <w:r>
        <w:br w:type="page"/>
      </w:r>
    </w:p>
    <w:p>
      <w:pPr>
        <w:pStyle w:val="Heading1"/>
        <w:jc w:val="center"/>
      </w:pPr>
      <w:r>
        <w:rPr>
          <w:color w:val="7C7578"/>
        </w:rPr>
        <w:t>BAB III – KLASIFIKASI KEBUTUHAN</w:t>
      </w:r>
    </w:p>
    <w:p>
      <w:pPr>
        <w:pStyle w:val="Heading2"/>
      </w:pPr>
      <w:r>
        <w:rPr>
          <w:rFonts w:ascii="Arial" w:hAnsi="Arial"/>
          <w:b/>
          <w:color w:val="7C7578"/>
        </w:rPr>
        <w:t>3.1 Klasifikasi Problem/Opportunity/Directive</w:t>
      </w:r>
    </w:p>
    <w:p>
      <w:pPr>
        <w:pStyle w:val="ListNumber"/>
        <w:spacing w:before="0" w:after="80"/>
        <w:numPr>
          <w:ilvl w:val="0"/>
          <w:numId w:val="18"/>
        </w:numPr>
      </w:pPr>
      <w:r>
        <w:rPr>
          <w:b/>
          <w:i w:val="0"/>
        </w:rPr>
        <w:t>Problem – Penurunan reliability jaringan pasca‑merger</w:t>
      </w:r>
      <w:r>
        <w:rPr>
          <w:b w:val="0"/>
          <w:i w:val="0"/>
        </w:rPr>
        <w:t xml:space="preserve"> - Integrasi jaringan IM3, Tri, dan Indosat Business menimbulkan</w:t>
      </w:r>
      <w:r>
        <w:rPr>
          <w:b w:val="0"/>
          <w:i/>
        </w:rPr>
        <w:t xml:space="preserve"> signal drop</w:t>
      </w:r>
      <w:r>
        <w:rPr>
          <w:b w:val="0"/>
          <w:i w:val="0"/>
        </w:rPr>
        <w:t xml:space="preserve"> di wilayah rural, menurunkan network availability dari baseline 99,5 % ke 98,7 % (Data Internal, 2026). - Dampak langsung: peningkatan churn (≈ 0,8 %/bulan) dan beban NOC meningkat 12 % (radarmalang.jawapos.com, 2026).</w:t>
      </w:r>
    </w:p>
    <w:p>
      <w:pPr>
        <w:pStyle w:val="ListNumber"/>
        <w:spacing w:before="0" w:after="80"/>
        <w:numPr>
          <w:ilvl w:val="0"/>
          <w:numId w:val="18"/>
        </w:numPr>
      </w:pPr>
      <w:r>
        <w:rPr>
          <w:b/>
          <w:i w:val="0"/>
        </w:rPr>
        <w:t>Opportunity – AI‑driven Network Optimization</w:t>
      </w:r>
      <w:r>
        <w:rPr>
          <w:b w:val="0"/>
          <w:i w:val="0"/>
        </w:rPr>
        <w:t xml:space="preserve"> - Platform “Flash” yang diluncurkan bersama Ericsson pada MWC 2026 menunjukkan potensi peningkatan</w:t>
      </w:r>
      <w:r>
        <w:rPr>
          <w:b w:val="0"/>
          <w:i/>
        </w:rPr>
        <w:t xml:space="preserve"> network availability</w:t>
      </w:r>
      <w:r>
        <w:rPr>
          <w:b w:val="0"/>
          <w:i w:val="0"/>
        </w:rPr>
        <w:t xml:space="preserve"> hingga 99,99 % melalui prediksi beban dan self‑healing (mediaindonesia.com, 2026). - Penghargaan B2B Client Initiative of the Year 2026 menegaskan kesiapan IOH untuk mengadopsi solusi AI berskala besar (instagram.com, 2026). - Memanfaatkan data traffic 5G dan AI‑RAN dapat menurunkan biaya operasional NOC sebesar 15 % (teknologi.bisnis.com, 2025).</w:t>
      </w:r>
    </w:p>
    <w:p>
      <w:pPr>
        <w:pStyle w:val="ListNumber"/>
        <w:spacing w:before="0" w:after="80"/>
        <w:numPr>
          <w:ilvl w:val="0"/>
          <w:numId w:val="18"/>
        </w:numPr>
      </w:pPr>
      <w:r>
        <w:rPr>
          <w:b/>
          <w:i w:val="0"/>
        </w:rPr>
        <w:t>Directive – Kepatuhan &amp; Tata Kelola AI</w:t>
      </w:r>
      <w:r>
        <w:rPr>
          <w:b w:val="0"/>
          <w:i w:val="0"/>
        </w:rPr>
        <w:t xml:space="preserve"> - Komisi Komunikasi dan Digital (Komdigi) menuntut implementasi AI yang “terencana, terukur, dan bertanggung jawab” (rri.co.id, 2026). - Standar OECD/NIST/ISO menjadi acuan tata kelola AI untuk menghindari bias model dan memastikan auditabilitas (jatengprov.go.id, 2025).</w:t>
      </w:r>
    </w:p>
    <w:p>
      <w:r>
        <w:rPr>
          <w:b/>
          <w:i w:val="0"/>
        </w:rPr>
        <w:t>Ringkasan klasifikasi</w:t>
      </w:r>
      <w:r>
        <w:rPr>
          <w:b w:val="0"/>
          <w:i w:val="0"/>
        </w:rPr>
        <w:t xml:space="preserve"> -</w:t>
      </w:r>
      <w:r>
        <w:rPr>
          <w:b/>
          <w:i w:val="0"/>
        </w:rPr>
        <w:t xml:space="preserve"> Problem</w:t>
      </w:r>
      <w:r>
        <w:rPr>
          <w:b w:val="0"/>
          <w:i w:val="0"/>
        </w:rPr>
        <w:t>: reliability jaringan menurun, mengancam revenue dan brand. -</w:t>
      </w:r>
      <w:r>
        <w:rPr>
          <w:b/>
          <w:i w:val="0"/>
        </w:rPr>
        <w:t xml:space="preserve"> Opportunity</w:t>
      </w:r>
      <w:r>
        <w:rPr>
          <w:b w:val="0"/>
          <w:i w:val="0"/>
        </w:rPr>
        <w:t>: AI network optimization dapat mengembalikan dan melampaui baseline, sekaligus menurunkan OPEX. -</w:t>
      </w:r>
      <w:r>
        <w:rPr>
          <w:b/>
          <w:i w:val="0"/>
        </w:rPr>
        <w:t xml:space="preserve"> Directive</w:t>
      </w:r>
      <w:r>
        <w:rPr>
          <w:b w:val="0"/>
          <w:i w:val="0"/>
        </w:rPr>
        <w:t>: Regulasi pemerintah dan standar internasional menuntut governance AI yang kuat.</w:t>
      </w:r>
    </w:p>
    <w:p>
      <w:pPr>
        <w:pStyle w:val="Heading2"/>
      </w:pPr>
      <w:r>
        <w:rPr>
          <w:rFonts w:ascii="Arial" w:hAnsi="Arial"/>
          <w:b/>
          <w:color w:val="7C7578"/>
        </w:rPr>
        <w:t>3.2 Tujuan Utama dan Jenis Proyek</w:t>
      </w:r>
    </w:p>
    <w:p>
      <w:pPr>
        <w:pStyle w:val="Heading3"/>
      </w:pPr>
      <w:r>
        <w:rPr>
          <w:rFonts w:ascii="Arial" w:hAnsi="Arial"/>
          <w:b/>
          <w:color w:val="7C7578"/>
        </w:rPr>
        <w:t>Tujuan utama (SMART)</w:t>
      </w:r>
    </w:p>
    <w:p>
      <w:pPr>
        <w:pStyle w:val="ListBullet"/>
        <w:spacing w:before="0" w:after="80"/>
        <w:numPr>
          <w:ilvl w:val="0"/>
          <w:numId w:val="19"/>
        </w:numPr>
      </w:pPr>
      <w:r>
        <w:rPr>
          <w:b/>
          <w:i w:val="0"/>
        </w:rPr>
        <w:t>Availability</w:t>
      </w:r>
      <w:r>
        <w:rPr>
          <w:b w:val="0"/>
          <w:i w:val="0"/>
        </w:rPr>
        <w:t>: Meningkatkan network availability menjadi 99,99 % dalam 6 bulan (target KPI 99,99 % vs baseline 99,5 %).</w:t>
      </w:r>
    </w:p>
    <w:p>
      <w:pPr>
        <w:pStyle w:val="ListBullet"/>
        <w:spacing w:before="0" w:after="80"/>
        <w:numPr>
          <w:ilvl w:val="0"/>
          <w:numId w:val="19"/>
        </w:numPr>
      </w:pPr>
      <w:r>
        <w:rPr>
          <w:b/>
          <w:i w:val="0"/>
        </w:rPr>
        <w:t>Churn</w:t>
      </w:r>
      <w:r>
        <w:rPr>
          <w:b w:val="0"/>
          <w:i w:val="0"/>
        </w:rPr>
        <w:t>: Menurunkan churn subscriber sebesar 0,5 % poin melalui peningkatan kualitas layanan.</w:t>
      </w:r>
    </w:p>
    <w:p>
      <w:pPr>
        <w:pStyle w:val="ListBullet"/>
        <w:spacing w:before="0" w:after="80"/>
        <w:numPr>
          <w:ilvl w:val="0"/>
          <w:numId w:val="19"/>
        </w:numPr>
      </w:pPr>
      <w:r>
        <w:rPr>
          <w:b/>
          <w:i w:val="0"/>
        </w:rPr>
        <w:t>Efisiensi operasional</w:t>
      </w:r>
      <w:r>
        <w:rPr>
          <w:b w:val="0"/>
          <w:i w:val="0"/>
        </w:rPr>
        <w:t>: Mengurangi beban NOC sebesar 15 % melalui otomatisasi AI‑driven fault detection.</w:t>
      </w:r>
    </w:p>
    <w:p>
      <w:pPr>
        <w:pStyle w:val="Heading3"/>
      </w:pPr>
      <w:r>
        <w:rPr>
          <w:rFonts w:ascii="Arial" w:hAnsi="Arial"/>
          <w:b/>
          <w:color w:val="7C7578"/>
        </w:rPr>
        <w:t>Deliverables kunci</w:t>
      </w:r>
    </w:p>
    <w:p>
      <w:pPr>
        <w:pStyle w:val="ListBullet"/>
        <w:spacing w:before="0" w:after="80"/>
        <w:numPr>
          <w:ilvl w:val="0"/>
          <w:numId w:val="20"/>
        </w:numPr>
      </w:pPr>
      <w:r>
        <w:rPr>
          <w:b/>
          <w:i w:val="0"/>
        </w:rPr>
        <w:t>Model AI prediktif</w:t>
      </w:r>
      <w:r>
        <w:rPr>
          <w:b w:val="0"/>
          <w:i w:val="0"/>
        </w:rPr>
        <w:t xml:space="preserve"> yang terintegrasi dengan OSS/BSS, tervalidasi pada 3 pilot region (Jawa Tengah, Sumatera Barat, Kalimantan Barat).</w:t>
      </w:r>
    </w:p>
    <w:p>
      <w:pPr>
        <w:pStyle w:val="ListBullet"/>
        <w:spacing w:before="0" w:after="80"/>
        <w:numPr>
          <w:ilvl w:val="0"/>
          <w:numId w:val="20"/>
        </w:numPr>
      </w:pPr>
      <w:r>
        <w:rPr>
          <w:b/>
          <w:i w:val="0"/>
        </w:rPr>
        <w:t>Kerangka Governance</w:t>
      </w:r>
      <w:r>
        <w:rPr>
          <w:b w:val="0"/>
          <w:i w:val="0"/>
        </w:rPr>
        <w:t xml:space="preserve"> mencakup SOP, risk register, dan audit trail sesuai ISO 27001 &amp; NIST AI RM.</w:t>
      </w:r>
    </w:p>
    <w:p>
      <w:pPr>
        <w:pStyle w:val="ListBullet"/>
        <w:spacing w:before="0" w:after="80"/>
        <w:numPr>
          <w:ilvl w:val="0"/>
          <w:numId w:val="20"/>
        </w:numPr>
      </w:pPr>
      <w:r>
        <w:rPr>
          <w:b/>
          <w:i w:val="0"/>
        </w:rPr>
        <w:t>Change Management Kit</w:t>
      </w:r>
      <w:r>
        <w:rPr>
          <w:b w:val="0"/>
          <w:i w:val="0"/>
        </w:rPr>
        <w:t>: pelatihan 150 NOC engineer, materi e‑learning, dan dashboard KPI real‑time.</w:t>
      </w:r>
    </w:p>
    <w:p>
      <w:pPr>
        <w:pStyle w:val="Heading3"/>
      </w:pPr>
      <w:r>
        <w:rPr>
          <w:rFonts w:ascii="Arial" w:hAnsi="Arial"/>
          <w:b/>
          <w:color w:val="7C7578"/>
        </w:rPr>
        <w:t>Jenis proyek</w:t>
      </w:r>
    </w:p>
    <w:p>
      <w:pPr>
        <w:pStyle w:val="ListBullet"/>
        <w:spacing w:before="0" w:after="80"/>
        <w:numPr>
          <w:ilvl w:val="0"/>
          <w:numId w:val="21"/>
        </w:numPr>
      </w:pPr>
      <w:r>
        <w:rPr>
          <w:b/>
          <w:i w:val="0"/>
        </w:rPr>
        <w:t>Transformation – AI‑enabled Network Optimization</w:t>
      </w:r>
    </w:p>
    <w:p>
      <w:pPr>
        <w:pStyle w:val="ListBullet"/>
        <w:spacing w:before="0" w:after="80"/>
        <w:numPr>
          <w:ilvl w:val="0"/>
          <w:numId w:val="21"/>
        </w:numPr>
      </w:pPr>
      <w:r>
        <w:rPr>
          <w:b w:val="0"/>
          <w:i w:val="0"/>
        </w:rPr>
        <w:t>Menggabungkan</w:t>
      </w:r>
      <w:r>
        <w:rPr>
          <w:b w:val="0"/>
          <w:i/>
        </w:rPr>
        <w:t xml:space="preserve"> Readiness Assessment</w:t>
      </w:r>
      <w:r>
        <w:rPr>
          <w:b w:val="0"/>
          <w:i w:val="0"/>
        </w:rPr>
        <w:t>,</w:t>
      </w:r>
      <w:r>
        <w:rPr>
          <w:b w:val="0"/>
          <w:i/>
        </w:rPr>
        <w:t xml:space="preserve"> Phased Rollout</w:t>
      </w:r>
      <w:r>
        <w:rPr>
          <w:b w:val="0"/>
          <w:i w:val="0"/>
        </w:rPr>
        <w:t>,</w:t>
      </w:r>
      <w:r>
        <w:rPr>
          <w:b w:val="0"/>
          <w:i/>
        </w:rPr>
        <w:t xml:space="preserve"> Change Management</w:t>
      </w:r>
      <w:r>
        <w:rPr>
          <w:b w:val="0"/>
          <w:i w:val="0"/>
        </w:rPr>
        <w:t>, dan</w:t>
      </w:r>
      <w:r>
        <w:rPr>
          <w:b w:val="0"/>
          <w:i/>
        </w:rPr>
        <w:t xml:space="preserve"> Hypercare</w:t>
      </w:r>
      <w:r>
        <w:rPr>
          <w:b w:val="0"/>
          <w:i w:val="0"/>
        </w:rPr>
        <w:t xml:space="preserve"> (Inixindo Jogja, 2026).</w:t>
      </w:r>
    </w:p>
    <w:p>
      <w:pPr>
        <w:pStyle w:val="ListBullet"/>
        <w:spacing w:before="0" w:after="80"/>
        <w:numPr>
          <w:ilvl w:val="0"/>
          <w:numId w:val="21"/>
        </w:numPr>
      </w:pPr>
      <w:r>
        <w:rPr>
          <w:b w:val="0"/>
          <w:i w:val="0"/>
        </w:rPr>
        <w:t>Pendekatan berlapis: fase 1 (data readiness), fase 2 (model development), fase 3 (pilot rollout), fase 4 (full‑scale deployment).</w:t>
      </w:r>
    </w:p>
    <w:p>
      <w:pPr>
        <w:pStyle w:val="Heading3"/>
      </w:pPr>
      <w:r>
        <w:rPr>
          <w:rFonts w:ascii="Arial" w:hAnsi="Arial"/>
          <w:b/>
          <w:color w:val="7C7578"/>
        </w:rPr>
        <w:t>Risiko utama &amp; mitigasi (bullet)</w:t>
      </w:r>
    </w:p>
    <w:p>
      <w:pPr>
        <w:pStyle w:val="ListBullet"/>
        <w:spacing w:before="0" w:after="80"/>
        <w:numPr>
          <w:ilvl w:val="0"/>
          <w:numId w:val="22"/>
        </w:numPr>
      </w:pPr>
      <w:r>
        <w:rPr>
          <w:b/>
          <w:i w:val="0"/>
        </w:rPr>
        <w:t>Legacy hardware incompatibility</w:t>
      </w:r>
      <w:r>
        <w:rPr>
          <w:b w:val="0"/>
          <w:i w:val="0"/>
        </w:rPr>
        <w:t xml:space="preserve"> – lakukan audit kompatibilitas pada fase data readiness; siapkan adaptor middleware.</w:t>
      </w:r>
    </w:p>
    <w:p>
      <w:pPr>
        <w:pStyle w:val="ListBullet"/>
        <w:spacing w:before="0" w:after="80"/>
        <w:numPr>
          <w:ilvl w:val="0"/>
          <w:numId w:val="22"/>
        </w:numPr>
      </w:pPr>
      <w:r>
        <w:rPr>
          <w:b/>
          <w:i w:val="0"/>
        </w:rPr>
        <w:t>Model bias pada kondisi cuaca ekstrem</w:t>
      </w:r>
      <w:r>
        <w:rPr>
          <w:b w:val="0"/>
          <w:i w:val="0"/>
        </w:rPr>
        <w:t xml:space="preserve"> – integrasikan data meteorologi dan lakukan</w:t>
      </w:r>
      <w:r>
        <w:rPr>
          <w:b w:val="0"/>
          <w:i/>
        </w:rPr>
        <w:t xml:space="preserve"> bias testing</w:t>
      </w:r>
      <w:r>
        <w:rPr>
          <w:b w:val="0"/>
          <w:i w:val="0"/>
        </w:rPr>
        <w:t xml:space="preserve"> sesuai standar OECD.</w:t>
      </w:r>
    </w:p>
    <w:p>
      <w:pPr>
        <w:pStyle w:val="ListBullet"/>
        <w:spacing w:before="0" w:after="80"/>
        <w:numPr>
          <w:ilvl w:val="0"/>
          <w:numId w:val="22"/>
        </w:numPr>
      </w:pPr>
      <w:r>
        <w:rPr>
          <w:b/>
          <w:i w:val="0"/>
        </w:rPr>
        <w:t>Resistensi perubahan di NOC</w:t>
      </w:r>
      <w:r>
        <w:rPr>
          <w:b w:val="0"/>
          <w:i w:val="0"/>
        </w:rPr>
        <w:t xml:space="preserve"> – program enablement intensif, reward‑based adoption, dan sponsor eksekutif.</w:t>
      </w:r>
    </w:p>
    <w:p>
      <w:pPr>
        <w:pStyle w:val="Heading3"/>
      </w:pPr>
      <w:r>
        <w:rPr>
          <w:rFonts w:ascii="Arial" w:hAnsi="Arial"/>
          <w:b/>
          <w:color w:val="7C7578"/>
        </w:rPr>
        <w:t>Dependensi kritis</w:t>
      </w:r>
    </w:p>
    <w:p>
      <w:pPr>
        <w:pStyle w:val="ListBullet"/>
        <w:spacing w:before="0" w:after="80"/>
        <w:numPr>
          <w:ilvl w:val="0"/>
          <w:numId w:val="23"/>
        </w:numPr>
      </w:pPr>
      <w:r>
        <w:rPr>
          <w:b w:val="0"/>
          <w:i w:val="0"/>
        </w:rPr>
        <w:t>Ketersediaan data traffic real‑time dari sistem OSS (tergantung integrasi dengan platform Flash).</w:t>
      </w:r>
    </w:p>
    <w:p>
      <w:pPr>
        <w:pStyle w:val="ListBullet"/>
        <w:spacing w:before="0" w:after="80"/>
        <w:numPr>
          <w:ilvl w:val="0"/>
          <w:numId w:val="23"/>
        </w:numPr>
      </w:pPr>
      <w:r>
        <w:rPr>
          <w:b w:val="0"/>
          <w:i w:val="0"/>
        </w:rPr>
        <w:t>Dukungan vendor (Ericsson, Nokia) untuk API akses dan SLA maintenance.</w:t>
      </w:r>
    </w:p>
    <w:p>
      <w:pPr>
        <w:pStyle w:val="ListBullet"/>
        <w:spacing w:before="0" w:after="80"/>
        <w:numPr>
          <w:ilvl w:val="0"/>
          <w:numId w:val="23"/>
        </w:numPr>
      </w:pPr>
      <w:r>
        <w:rPr>
          <w:b w:val="0"/>
          <w:i w:val="0"/>
        </w:rPr>
        <w:t>Persetujuan regulasi AI governance sebelum fase pilot (Komdigi).</w:t>
      </w:r>
    </w:p>
    <w:p>
      <w:r>
        <w:rPr>
          <w:b w:val="0"/>
          <w:i w:val="0"/>
        </w:rPr>
        <w:t>Dengan klasifikasi yang jelas dan tujuan terukur, proyek ini memenuhi kebutuhan strategis IOH: memperkuat reliability jaringan, menurunkan churn, dan menyiapkan fondasi AI yang patuh regulasi dalam horizon 6 bulan.</w:t>
      </w:r>
    </w:p>
    <w:p>
      <w:r>
        <w:rPr>
          <w:b w:val="0"/>
          <w:i w:val="0"/>
        </w:rPr>
        <w:t>Pada praktiknya, klasifikasi kebutuhan tidak boleh berhenti sebagai label administratif. Bagi Indosat Ooredoo Hutchison, klasifikasi ini menentukan apakah fokus kerja harus menutup gap yang sudah nyata, menangkap peluang yang bisa mempercepat hasil, atau memenuhi directive yang tidak bisa ditawar. Dengan kerangka seperti ini, keputusan scope, prioritas eksekusi, dan governance bisa diarahkan lebih presisi terhadap KPI seperti Service availability dan pengalaman pelanggan meningkat dalam 6 bulan. | Churn pelanggan menurun dan quality of service membaik dalam 6 bulan.. Rujukan konteks yang tetap dipakai adalah Kementerian Komunikasi dan Digital Republik Indonesia (Komdigi) dan Indosat Ooredoo Hutchison (Indosat or IOH), Jumat, 27 Maret 2026 memperkenalkan... (rri.co.id, 2026).</w:t>
      </w:r>
    </w:p>
    <w:p>
      <w:r>
        <w:br w:type="page"/>
      </w:r>
    </w:p>
    <w:p>
      <w:pPr>
        <w:pStyle w:val="Heading1"/>
        <w:jc w:val="center"/>
      </w:pPr>
      <w:r>
        <w:rPr>
          <w:color w:val="7C7578"/>
        </w:rPr>
        <w:t>BAB IV – PENDEKATAN</w:t>
      </w:r>
    </w:p>
    <w:p>
      <w:pPr>
        <w:pStyle w:val="Heading2"/>
      </w:pPr>
      <w:r>
        <w:rPr>
          <w:rFonts w:ascii="Arial" w:hAnsi="Arial"/>
          <w:b/>
          <w:color w:val="7C7578"/>
        </w:rPr>
        <w:t>4.1 Acuan Prinsip/Framework/Teori/Regulasi</w:t>
      </w:r>
    </w:p>
    <w:p>
      <w:pPr>
        <w:pStyle w:val="ListNumber"/>
        <w:spacing w:before="0" w:after="80"/>
        <w:numPr>
          <w:ilvl w:val="0"/>
          <w:numId w:val="24"/>
        </w:numPr>
      </w:pPr>
      <w:r>
        <w:rPr>
          <w:b/>
          <w:i w:val="0"/>
        </w:rPr>
        <w:t>Enterprise Architecture – TOGAF</w:t>
      </w:r>
      <w:r>
        <w:rPr>
          <w:b w:val="0"/>
          <w:i w:val="0"/>
        </w:rPr>
        <w:t xml:space="preserve"> - Menyelaraskan AI‑Network Optimization dengan strategi korporasi Indosat (post‑merger) sehingga setiap komponen (data, model, infrastruktur) berada dalam</w:t>
      </w:r>
      <w:r>
        <w:rPr>
          <w:b w:val="0"/>
          <w:i/>
        </w:rPr>
        <w:t xml:space="preserve"> Architecture Vision</w:t>
      </w:r>
      <w:r>
        <w:rPr>
          <w:b w:val="0"/>
          <w:i w:val="0"/>
        </w:rPr>
        <w:t xml:space="preserve"> yang terukur.</w:t>
      </w:r>
    </w:p>
    <w:p>
      <w:pPr>
        <w:pStyle w:val="ListNumber"/>
        <w:spacing w:before="0" w:after="80"/>
        <w:numPr>
          <w:ilvl w:val="0"/>
          <w:numId w:val="24"/>
        </w:numPr>
      </w:pPr>
      <w:r>
        <w:rPr>
          <w:b/>
          <w:i w:val="0"/>
        </w:rPr>
        <w:t>IT Service Management – ITIL 4</w:t>
      </w:r>
      <w:r>
        <w:rPr>
          <w:b w:val="0"/>
          <w:i w:val="0"/>
        </w:rPr>
        <w:t xml:space="preserve"> - Menetapkan proses</w:t>
      </w:r>
      <w:r>
        <w:rPr>
          <w:b w:val="0"/>
          <w:i/>
        </w:rPr>
        <w:t xml:space="preserve"> Change Enablement</w:t>
      </w:r>
      <w:r>
        <w:rPr>
          <w:b w:val="0"/>
          <w:i w:val="0"/>
        </w:rPr>
        <w:t xml:space="preserve"> dan</w:t>
      </w:r>
      <w:r>
        <w:rPr>
          <w:b w:val="0"/>
          <w:i/>
        </w:rPr>
        <w:t xml:space="preserve"> Continual Improvement</w:t>
      </w:r>
      <w:r>
        <w:rPr>
          <w:b w:val="0"/>
          <w:i w:val="0"/>
        </w:rPr>
        <w:t xml:space="preserve"> untuk menghindari gangguan layanan selama rollout AI.</w:t>
      </w:r>
    </w:p>
    <w:p>
      <w:pPr>
        <w:pStyle w:val="ListNumber"/>
        <w:spacing w:before="0" w:after="80"/>
        <w:numPr>
          <w:ilvl w:val="0"/>
          <w:numId w:val="24"/>
        </w:numPr>
      </w:pPr>
      <w:r>
        <w:rPr>
          <w:b/>
          <w:i w:val="0"/>
        </w:rPr>
        <w:t>Keamanan &amp; Privasi – ISO/IEC 27001</w:t>
      </w:r>
      <w:r>
        <w:rPr>
          <w:b w:val="0"/>
          <w:i w:val="0"/>
        </w:rPr>
        <w:t xml:space="preserve"> - Mengamankan data pelanggan (CDR, KPI jaringan) yang menjadi bahan pelatihan model, sesuai mandat regulator telekomunikasi.</w:t>
      </w:r>
    </w:p>
    <w:p>
      <w:pPr>
        <w:pStyle w:val="ListNumber"/>
        <w:spacing w:before="0" w:after="80"/>
        <w:numPr>
          <w:ilvl w:val="0"/>
          <w:numId w:val="24"/>
        </w:numPr>
      </w:pPr>
      <w:r>
        <w:rPr>
          <w:b/>
          <w:i w:val="0"/>
        </w:rPr>
        <w:t>Responsible AI – ISO/IEC 42001 &amp; OECD AI Principles</w:t>
      </w:r>
      <w:r>
        <w:rPr>
          <w:b w:val="0"/>
          <w:i w:val="0"/>
        </w:rPr>
        <w:t xml:space="preserve"> - Memastikan model tidak menimbulkan bias geografis (mis. area rural) dan dapat dipertanggungjawabkan secara audit. Referensi kebijakan AI nasional menegaskan hal ini (lsf.go.id, 2026).</w:t>
      </w:r>
    </w:p>
    <w:p>
      <w:pPr>
        <w:pStyle w:val="ListNumber"/>
        <w:spacing w:before="0" w:after="80"/>
        <w:numPr>
          <w:ilvl w:val="0"/>
          <w:numId w:val="24"/>
        </w:numPr>
      </w:pPr>
      <w:r>
        <w:rPr>
          <w:b/>
          <w:i w:val="0"/>
        </w:rPr>
        <w:t>Regulasi Nasional – Pedoman Pemerintah Provinsi Jawa Tengah</w:t>
      </w:r>
      <w:r>
        <w:rPr>
          <w:b w:val="0"/>
          <w:i w:val="0"/>
        </w:rPr>
        <w:t xml:space="preserve"> - Mengikuti tata kelola AI yang diatur dalam dokumen resmi (jatengprov.go.id, 2025) untuk memastikan kepatuhan pada standar etika dan transparansi.</w:t>
      </w:r>
    </w:p>
    <w:p>
      <w:r>
        <w:rPr>
          <w:b/>
          <w:i w:val="0"/>
        </w:rPr>
        <w:t>Contoh konkret</w:t>
      </w:r>
      <w:r>
        <w:rPr>
          <w:b w:val="0"/>
          <w:i w:val="0"/>
        </w:rPr>
        <w:t>: - Pada fase</w:t>
      </w:r>
      <w:r>
        <w:rPr>
          <w:b w:val="0"/>
          <w:i/>
        </w:rPr>
        <w:t xml:space="preserve"> Proof‑of‑Concept</w:t>
      </w:r>
      <w:r>
        <w:rPr>
          <w:b w:val="0"/>
          <w:i w:val="0"/>
        </w:rPr>
        <w:t xml:space="preserve"> kami akan mengimplementasikan</w:t>
      </w:r>
      <w:r>
        <w:rPr>
          <w:b w:val="0"/>
          <w:i/>
        </w:rPr>
        <w:t xml:space="preserve"> AI‑Driven Traffic Steering</w:t>
      </w:r>
      <w:r>
        <w:rPr>
          <w:b w:val="0"/>
          <w:i w:val="0"/>
        </w:rPr>
        <w:t xml:space="preserve"> pada 3 kota tier‑2. Data traffic di‑extract sesuai ISO 27001, model dilatih dengan pipeline yang terdaftar di</w:t>
      </w:r>
      <w:r>
        <w:rPr>
          <w:b w:val="0"/>
          <w:i/>
        </w:rPr>
        <w:t xml:space="preserve"> Model Registry</w:t>
      </w:r>
      <w:r>
        <w:rPr>
          <w:b w:val="0"/>
          <w:i w:val="0"/>
        </w:rPr>
        <w:t xml:space="preserve"> TOGAF, dan hasilnya dievaluasi melalui</w:t>
      </w:r>
      <w:r>
        <w:rPr>
          <w:b w:val="0"/>
          <w:i/>
        </w:rPr>
        <w:t xml:space="preserve"> AI Risk Assessment</w:t>
      </w:r>
      <w:r>
        <w:rPr>
          <w:b w:val="0"/>
          <w:i w:val="0"/>
        </w:rPr>
        <w:t xml:space="preserve"> (ISO 42001). Keberhasilan diukur dengan peningkatan</w:t>
      </w:r>
      <w:r>
        <w:rPr>
          <w:b w:val="0"/>
          <w:i/>
        </w:rPr>
        <w:t xml:space="preserve"> network availability</w:t>
      </w:r>
      <w:r>
        <w:rPr>
          <w:b w:val="0"/>
          <w:i w:val="0"/>
        </w:rPr>
        <w:t xml:space="preserve"> dari baseline 99,5 % ke 99,99 % (Data Internal, 2026).</w:t>
      </w:r>
    </w:p>
    <w:p>
      <w:r>
        <w:rPr>
          <w:b/>
          <w:i w:val="0"/>
        </w:rPr>
        <w:t>Rasional bisnis</w:t>
      </w:r>
      <w:r>
        <w:rPr>
          <w:b w:val="0"/>
          <w:i w:val="0"/>
        </w:rPr>
        <w:t>: - Penggunaan TOGAF menjamin integrasi lintas domain (NOC, OSS/BSS) tanpa menambah</w:t>
      </w:r>
      <w:r>
        <w:rPr>
          <w:b w:val="0"/>
          <w:i/>
        </w:rPr>
        <w:t xml:space="preserve"> technical debt</w:t>
      </w:r>
      <w:r>
        <w:rPr>
          <w:b w:val="0"/>
          <w:i w:val="0"/>
        </w:rPr>
        <w:t>. - ITIL memastikan setiap perubahan AI tercatat, diprioritaskan, dan tidak mengganggu SLA yang telah dipublikasikan (instagram.com, 2026). - Standar keamanan melindungi data sensitif, mengurangi risiko sanksi regulator (rri.co.id, 2026).</w:t>
      </w:r>
    </w:p>
    <w:p>
      <w:pPr>
        <w:pStyle w:val="Heading2"/>
      </w:pPr>
      <w:r>
        <w:rPr>
          <w:rFonts w:ascii="Arial" w:hAnsi="Arial"/>
          <w:b/>
          <w:color w:val="7C7578"/>
        </w:rPr>
        <w:t>4.2 Standar Penyelesaian Masalah</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val="0"/>
                <w:i w:val="0"/>
              </w:rPr>
              <w:t>Standar</w:t>
            </w:r>
          </w:p>
        </w:tc>
        <w:tc>
          <w:tcPr>
            <w:tcW w:type="dxa" w:w="1872"/>
          </w:tcPr>
          <w:p>
            <w:r>
              <w:rPr>
                <w:b w:val="0"/>
                <w:i w:val="0"/>
              </w:rPr>
              <w:t>Fokus</w:t>
            </w:r>
          </w:p>
        </w:tc>
        <w:tc>
          <w:tcPr>
            <w:tcW w:type="dxa" w:w="1872"/>
          </w:tcPr>
          <w:p>
            <w:r>
              <w:rPr>
                <w:b w:val="0"/>
                <w:i w:val="0"/>
              </w:rPr>
              <w:t>Target KPI</w:t>
            </w:r>
          </w:p>
        </w:tc>
        <w:tc>
          <w:tcPr>
            <w:tcW w:type="dxa" w:w="1872"/>
          </w:tcPr>
          <w:p>
            <w:r>
              <w:rPr>
                <w:b w:val="0"/>
                <w:i w:val="0"/>
              </w:rPr>
              <w:t>Verifikasi</w:t>
            </w:r>
          </w:p>
        </w:tc>
        <w:tc>
          <w:tcPr>
            <w:tcW w:type="dxa" w:w="1872"/>
          </w:tcPr>
          <w:p>
            <w:r>
              <w:rPr>
                <w:b w:val="0"/>
                <w:i w:val="0"/>
              </w:rPr>
              <w:t>Tanggung Jawab</w:t>
            </w:r>
          </w:p>
        </w:tc>
      </w:tr>
      <w:tr>
        <w:tc>
          <w:tcPr>
            <w:tcW w:type="dxa" w:w="1872"/>
          </w:tcPr>
          <w:p>
            <w:r>
              <w:rPr>
                <w:b/>
                <w:i w:val="0"/>
              </w:rPr>
              <w:t>Network Availability (ISO 42001)</w:t>
            </w:r>
          </w:p>
        </w:tc>
        <w:tc>
          <w:tcPr>
            <w:tcW w:type="dxa" w:w="1872"/>
          </w:tcPr>
          <w:p>
            <w:r>
              <w:rPr>
                <w:b w:val="0"/>
                <w:i w:val="0"/>
              </w:rPr>
              <w:t>AI‑RAN traffic optimization</w:t>
            </w:r>
          </w:p>
        </w:tc>
        <w:tc>
          <w:tcPr>
            <w:tcW w:type="dxa" w:w="1872"/>
          </w:tcPr>
          <w:p>
            <w:r>
              <w:rPr>
                <w:b w:val="0"/>
                <w:i w:val="0"/>
              </w:rPr>
              <w:t>≥ 99,99 % (dari 99,5 %)</w:t>
            </w:r>
          </w:p>
        </w:tc>
        <w:tc>
          <w:tcPr>
            <w:tcW w:type="dxa" w:w="1872"/>
          </w:tcPr>
          <w:p>
            <w:r>
              <w:rPr>
                <w:b w:val="0"/>
                <w:i w:val="0"/>
              </w:rPr>
              <w:t>Monitoring real‑time via NOC dashboard</w:t>
            </w:r>
          </w:p>
        </w:tc>
        <w:tc>
          <w:tcPr>
            <w:tcW w:type="dxa" w:w="1872"/>
          </w:tcPr>
          <w:p>
            <w:r>
              <w:rPr>
                <w:b w:val="0"/>
                <w:i w:val="0"/>
              </w:rPr>
              <w:t>Lead Network Engineer</w:t>
            </w:r>
          </w:p>
        </w:tc>
      </w:tr>
      <w:tr>
        <w:tc>
          <w:tcPr>
            <w:tcW w:type="dxa" w:w="1872"/>
          </w:tcPr>
          <w:p>
            <w:r>
              <w:rPr>
                <w:b/>
                <w:i w:val="0"/>
              </w:rPr>
              <w:t>Change Management (ITIL 4)</w:t>
            </w:r>
          </w:p>
        </w:tc>
        <w:tc>
          <w:tcPr>
            <w:tcW w:type="dxa" w:w="1872"/>
          </w:tcPr>
          <w:p>
            <w:r>
              <w:rPr>
                <w:b w:val="0"/>
                <w:i w:val="0"/>
              </w:rPr>
              <w:t>Deploy model ke produksi</w:t>
            </w:r>
          </w:p>
        </w:tc>
        <w:tc>
          <w:tcPr>
            <w:tcW w:type="dxa" w:w="1872"/>
          </w:tcPr>
          <w:p>
            <w:r>
              <w:rPr>
                <w:b w:val="0"/>
                <w:i w:val="0"/>
              </w:rPr>
              <w:t>≤ 2 jam downtime per release</w:t>
            </w:r>
          </w:p>
        </w:tc>
        <w:tc>
          <w:tcPr>
            <w:tcW w:type="dxa" w:w="1872"/>
          </w:tcPr>
          <w:p>
            <w:r>
              <w:rPr>
                <w:b w:val="0"/>
                <w:i w:val="0"/>
              </w:rPr>
              <w:t>Change Advisory Board sign‑off &amp; post‑implementation review</w:t>
            </w:r>
          </w:p>
        </w:tc>
        <w:tc>
          <w:tcPr>
            <w:tcW w:type="dxa" w:w="1872"/>
          </w:tcPr>
          <w:p>
            <w:r>
              <w:rPr>
                <w:b w:val="0"/>
                <w:i w:val="0"/>
              </w:rPr>
              <w:t>Change Manager</w:t>
            </w:r>
          </w:p>
        </w:tc>
      </w:tr>
      <w:tr>
        <w:tc>
          <w:tcPr>
            <w:tcW w:type="dxa" w:w="1872"/>
          </w:tcPr>
          <w:p>
            <w:r>
              <w:rPr>
                <w:b/>
                <w:i w:val="0"/>
              </w:rPr>
              <w:t>Model Governance (ISO 27001 &amp; ISO 42001)</w:t>
            </w:r>
          </w:p>
        </w:tc>
        <w:tc>
          <w:tcPr>
            <w:tcW w:type="dxa" w:w="1872"/>
          </w:tcPr>
          <w:p>
            <w:r>
              <w:rPr>
                <w:b w:val="0"/>
                <w:i w:val="0"/>
              </w:rPr>
              <w:t>Data lineage &amp; bias audit</w:t>
            </w:r>
          </w:p>
        </w:tc>
        <w:tc>
          <w:tcPr>
            <w:tcW w:type="dxa" w:w="1872"/>
          </w:tcPr>
          <w:p>
            <w:r>
              <w:rPr>
                <w:b w:val="0"/>
                <w:i w:val="0"/>
              </w:rPr>
              <w:t>100 % model terdaftar &amp; teraudit</w:t>
            </w:r>
          </w:p>
        </w:tc>
        <w:tc>
          <w:tcPr>
            <w:tcW w:type="dxa" w:w="1872"/>
          </w:tcPr>
          <w:p>
            <w:r>
              <w:rPr>
                <w:b w:val="0"/>
                <w:i w:val="0"/>
              </w:rPr>
              <w:t>Audit log &amp; independent AI Ethics Board</w:t>
            </w:r>
          </w:p>
        </w:tc>
        <w:tc>
          <w:tcPr>
            <w:tcW w:type="dxa" w:w="1872"/>
          </w:tcPr>
          <w:p>
            <w:r>
              <w:rPr>
                <w:b w:val="0"/>
                <w:i w:val="0"/>
              </w:rPr>
              <w:t>AI Governance Lead</w:t>
            </w:r>
          </w:p>
        </w:tc>
      </w:tr>
      <w:tr>
        <w:tc>
          <w:tcPr>
            <w:tcW w:type="dxa" w:w="1872"/>
          </w:tcPr>
          <w:p>
            <w:r>
              <w:rPr>
                <w:b/>
                <w:i w:val="0"/>
              </w:rPr>
              <w:t>Service Assurance (ITIL)</w:t>
            </w:r>
          </w:p>
        </w:tc>
        <w:tc>
          <w:tcPr>
            <w:tcW w:type="dxa" w:w="1872"/>
          </w:tcPr>
          <w:p>
            <w:r>
              <w:rPr>
                <w:b w:val="0"/>
                <w:i w:val="0"/>
              </w:rPr>
              <w:t>Incident handling post‑rollout</w:t>
            </w:r>
          </w:p>
        </w:tc>
        <w:tc>
          <w:tcPr>
            <w:tcW w:type="dxa" w:w="1872"/>
          </w:tcPr>
          <w:p>
            <w:r>
              <w:rPr>
                <w:b w:val="0"/>
                <w:i w:val="0"/>
              </w:rPr>
              <w:t>MTTR ≤ 30 menit</w:t>
            </w:r>
          </w:p>
        </w:tc>
        <w:tc>
          <w:tcPr>
            <w:tcW w:type="dxa" w:w="1872"/>
          </w:tcPr>
          <w:p>
            <w:r>
              <w:rPr>
                <w:b w:val="0"/>
                <w:i w:val="0"/>
              </w:rPr>
              <w:t>Ticketing system KPI report</w:t>
            </w:r>
          </w:p>
        </w:tc>
        <w:tc>
          <w:tcPr>
            <w:tcW w:type="dxa" w:w="1872"/>
          </w:tcPr>
          <w:p>
            <w:r>
              <w:rPr>
                <w:b w:val="0"/>
                <w:i w:val="0"/>
              </w:rPr>
              <w:t>Service Desk Manager</w:t>
            </w:r>
          </w:p>
        </w:tc>
      </w:tr>
    </w:tbl>
    <w:p>
      <w:pPr>
        <w:pStyle w:val="Heading3"/>
      </w:pPr>
      <w:r>
        <w:rPr>
          <w:rFonts w:ascii="Arial" w:hAnsi="Arial"/>
          <w:b/>
          <w:color w:val="7C7578"/>
        </w:rPr>
        <w:t>Langkah‑langkah implementasi (nomor)</w:t>
      </w:r>
    </w:p>
    <w:p>
      <w:pPr>
        <w:pStyle w:val="ListNumber"/>
        <w:spacing w:before="0" w:after="80"/>
        <w:numPr>
          <w:ilvl w:val="0"/>
          <w:numId w:val="25"/>
        </w:numPr>
      </w:pPr>
      <w:r>
        <w:rPr>
          <w:b/>
          <w:i w:val="0"/>
        </w:rPr>
        <w:t>Readiness Assessment</w:t>
      </w:r>
      <w:r>
        <w:rPr>
          <w:b w:val="0"/>
          <w:i w:val="0"/>
        </w:rPr>
        <w:t xml:space="preserve"> – Verifikasi kesiapan data, infrastruktur, dan tim (mengacu pada TOGAF</w:t>
      </w:r>
      <w:r>
        <w:rPr>
          <w:b w:val="0"/>
          <w:i/>
        </w:rPr>
        <w:t xml:space="preserve"> Capability Gap</w:t>
      </w:r>
      <w:r>
        <w:rPr>
          <w:b w:val="0"/>
          <w:i w:val="0"/>
        </w:rPr>
        <w:t>).</w:t>
      </w:r>
    </w:p>
    <w:p>
      <w:pPr>
        <w:pStyle w:val="ListNumber"/>
        <w:spacing w:before="0" w:after="80"/>
        <w:numPr>
          <w:ilvl w:val="0"/>
          <w:numId w:val="25"/>
        </w:numPr>
      </w:pPr>
      <w:r>
        <w:rPr>
          <w:b/>
          <w:i w:val="0"/>
        </w:rPr>
        <w:t>Phased Rollout</w:t>
      </w:r>
      <w:r>
        <w:rPr>
          <w:b w:val="0"/>
          <w:i w:val="0"/>
        </w:rPr>
        <w:t xml:space="preserve"> – Mulai dengan pilot di tiga wilayah, kemudian *</w:t>
      </w:r>
    </w:p>
    <w:p>
      <w:r>
        <w:rPr>
          <w:b w:val="0"/>
          <w:i w:val="0"/>
        </w:rPr>
        <w:t>Untuk Indosat Ooredoo Hutchison, isi bab ini harus dibaca sebagai dasar keputusan kerja yang dapat ditindaklanjuti, bukan sekadar penjelasan konseptual. Karena itu, isi bab tetap diarahkan untuk menjaga relevansi terhadap KPI seperti Service availability dan pengalaman pelanggan meningkat dalam 6 bulan. | Churn pelanggan menurun dan quality of service membaik dalam 6 bulan. dan istilah kerja subscriber, network availability.</w:t>
      </w:r>
    </w:p>
    <w:p>
      <w:pPr>
        <w:pStyle w:val="ListBullet"/>
        <w:spacing w:before="0" w:after="80"/>
        <w:numPr>
          <w:ilvl w:val="0"/>
          <w:numId w:val="26"/>
        </w:numPr>
      </w:pPr>
      <w:r>
        <w:rPr>
          <w:b w:val="0"/>
          <w:i w:val="0"/>
        </w:rPr>
        <w:t>Implikasi eksekusinya harus tetap jelas agar sponsor dan tim delivery dapat menurunkan isi bab ini menjadi tindakan yang konkret.</w:t>
      </w:r>
    </w:p>
    <w:p>
      <w:pPr>
        <w:pStyle w:val="ListBullet"/>
        <w:spacing w:before="0" w:after="80"/>
        <w:numPr>
          <w:ilvl w:val="0"/>
          <w:numId w:val="26"/>
        </w:numPr>
      </w:pPr>
      <w:r>
        <w:rPr>
          <w:b w:val="0"/>
          <w:i w:val="0"/>
        </w:rPr>
        <w:t>Dengan pendekatan ini, narasi proposal tetap terhubung pada kebutuhan bisnis sekaligus tidak kehilangan kontrol implementasi.</w:t>
      </w:r>
    </w:p>
    <w:p>
      <w:r>
        <w:rPr>
          <w:b w:val="0"/>
          <w:i w:val="0"/>
        </w:rPr>
        <w:t>Secara praktis, hal ini membantu Indosat Ooredoo Hutchison membaca setiap bagian proposal sebagai bahan keputusan yang lebih operasional: apa yang harus diprioritaskan, siapa yang perlu mengambil keputusan, risiko apa yang harus dijaga, dan indikator apa yang dipakai untuk menguji bahwa arah kerja masih benar.</w:t>
      </w:r>
    </w:p>
    <w:p>
      <w:r>
        <w:br w:type="page"/>
      </w:r>
    </w:p>
    <w:p>
      <w:pPr>
        <w:pStyle w:val="Heading1"/>
        <w:jc w:val="center"/>
      </w:pPr>
      <w:r>
        <w:rPr>
          <w:color w:val="7C7578"/>
        </w:rPr>
        <w:t>BAB V – METODOLOGI</w:t>
      </w:r>
    </w:p>
    <w:p>
      <w:pPr>
        <w:pStyle w:val="Heading2"/>
      </w:pPr>
      <w:r>
        <w:rPr>
          <w:rFonts w:ascii="Arial" w:hAnsi="Arial"/>
          <w:b/>
          <w:color w:val="7C7578"/>
        </w:rPr>
        <w:t>5.1 Alasan Pemilihan Metodologi</w:t>
      </w:r>
    </w:p>
    <w:p>
      <w:r>
        <w:rPr>
          <w:b w:val="0"/>
          <w:i w:val="0"/>
        </w:rPr>
        <w:t>Indosat Ooredoo Hutchison (IOH) menghadapi penurunan network availability di wilayah rural pasca‑merger, yang berdampak pada churn dan kepuasan pelanggan (Data Internal, 2026). Untuk mengubah tantangan ini menjadi peluang peningkatan reliability &gt; 99.99 % dalam 6 bulan, metodologi</w:t>
      </w:r>
      <w:r>
        <w:rPr>
          <w:b/>
          <w:i w:val="0"/>
        </w:rPr>
        <w:t xml:space="preserve"> Readiness Assessment → Phased Rollout → Change Management → Hypercare</w:t>
      </w:r>
      <w:r>
        <w:rPr>
          <w:b w:val="0"/>
          <w:i w:val="0"/>
        </w:rPr>
        <w:t xml:space="preserve"> dipilih karena:</w:t>
      </w:r>
    </w:p>
    <w:p>
      <w:pPr>
        <w:pStyle w:val="ListNumber"/>
        <w:spacing w:before="0" w:after="80"/>
        <w:numPr>
          <w:ilvl w:val="0"/>
          <w:numId w:val="27"/>
        </w:numPr>
      </w:pPr>
      <w:r>
        <w:rPr>
          <w:b/>
          <w:i w:val="0"/>
        </w:rPr>
        <w:t>Kesesuaian dengan target KPI</w:t>
      </w:r>
      <w:r>
        <w:rPr>
          <w:b w:val="0"/>
          <w:i w:val="0"/>
        </w:rPr>
        <w:t xml:space="preserve"> – Kerangka ini memetakan secara kuantitatif baseline (99,5 %) ke target (99,99 %) dan mengikat setiap fase pada metrik network downtime, NOC alert volume, serta churn rate (Data Internal, 2026).</w:t>
      </w:r>
    </w:p>
    <w:p>
      <w:pPr>
        <w:pStyle w:val="ListNumber"/>
        <w:spacing w:before="0" w:after="80"/>
        <w:numPr>
          <w:ilvl w:val="0"/>
          <w:numId w:val="27"/>
        </w:numPr>
      </w:pPr>
      <w:r>
        <w:rPr>
          <w:b/>
          <w:i w:val="0"/>
        </w:rPr>
        <w:t>Pengendalian risiko legacy hardware</w:t>
      </w:r>
      <w:r>
        <w:rPr>
          <w:b w:val="0"/>
          <w:i w:val="0"/>
        </w:rPr>
        <w:t xml:space="preserve"> – Pendekatan bertahap memungkinkan validasi kompatibilitas perangkat lama sebelum skala penuh, mengurangi risiko kegagalan integrasi AI‑RAN (teknologi.bisnis.com, 2025).</w:t>
      </w:r>
    </w:p>
    <w:p>
      <w:pPr>
        <w:pStyle w:val="ListNumber"/>
        <w:spacing w:before="0" w:after="80"/>
        <w:numPr>
          <w:ilvl w:val="0"/>
          <w:numId w:val="27"/>
        </w:numPr>
      </w:pPr>
      <w:r>
        <w:rPr>
          <w:b/>
          <w:i w:val="0"/>
        </w:rPr>
        <w:t>Kepatuhan governance AI</w:t>
      </w:r>
      <w:r>
        <w:rPr>
          <w:b w:val="0"/>
          <w:i w:val="0"/>
        </w:rPr>
        <w:t xml:space="preserve"> – Setiap gate mengacu pada prinsip Responsible AI yang diadopsi pemerintah (lsf.go.id, 2026) serta standar ISO/IEC 42001, memastikan auditability dan mitigasi bias model.</w:t>
      </w:r>
    </w:p>
    <w:p>
      <w:pPr>
        <w:pStyle w:val="ListNumber"/>
        <w:spacing w:before="0" w:after="80"/>
        <w:numPr>
          <w:ilvl w:val="0"/>
          <w:numId w:val="27"/>
        </w:numPr>
      </w:pPr>
      <w:r>
        <w:rPr>
          <w:b/>
          <w:i w:val="0"/>
        </w:rPr>
        <w:t>Keterpaduan dengan inisiatif strategis IOH</w:t>
      </w:r>
      <w:r>
        <w:rPr>
          <w:b w:val="0"/>
          <w:i w:val="0"/>
        </w:rPr>
        <w:t xml:space="preserve"> – Metodologi selaras dengan program “Flash” yang diluncurkan bersama Ericsson di MWC 2026 (mediaindonesia.com, 2026) dan kolaborasi Komdigi‑IOH pada 27 Maret 2026 (rri.co.id, 2026).</w:t>
      </w:r>
    </w:p>
    <w:p>
      <w:pPr>
        <w:pStyle w:val="ListNumber"/>
        <w:spacing w:before="0" w:after="80"/>
        <w:numPr>
          <w:ilvl w:val="0"/>
          <w:numId w:val="27"/>
        </w:numPr>
      </w:pPr>
      <w:r>
        <w:rPr>
          <w:b/>
          <w:i w:val="0"/>
        </w:rPr>
        <w:t>Kecepatan eksekusi</w:t>
      </w:r>
      <w:r>
        <w:rPr>
          <w:b w:val="0"/>
          <w:i w:val="0"/>
        </w:rPr>
        <w:t xml:space="preserve"> – Empat fase terdefinisi memberikan jalur kritis 6 bulan, sejalan dengan agenda pertumbuhan pendapatan + 9 % yang diumumkan IOH (radarmalang.jawapos.com, 2026).</w:t>
      </w:r>
    </w:p>
    <w:p>
      <w:r>
        <w:rPr>
          <w:b w:val="0"/>
          <w:i w:val="0"/>
        </w:rPr>
        <w:t>Dengan demikian, metodologi ini tidak hanya menjawab kebutuhan teknis, tetapi juga menegaskan nilai bisnis yang dapat dipertanggungjawabkan kepada dewan.</w:t>
      </w:r>
    </w:p>
    <w:p>
      <w:pPr>
        <w:pStyle w:val="Heading2"/>
      </w:pPr>
      <w:r>
        <w:rPr>
          <w:rFonts w:ascii="Arial" w:hAnsi="Arial"/>
          <w:b/>
          <w:color w:val="7C7578"/>
        </w:rPr>
        <w:t>5.2 Langkah Kerja dengan Framework Terpilih</w:t>
      </w:r>
    </w:p>
    <w:p>
      <w:r>
        <w:rPr>
          <w:b w:val="0"/>
          <w:i w:val="0"/>
        </w:rPr>
        <w:t>Berikut alur kerja terperinci, disajikan dalam bentuk bullet bertingkat (fase → aktivitas → output) dan dilengkapi dengan daftar numerik untuk deliverable utama.</w:t>
      </w:r>
    </w:p>
    <w:p>
      <w:pPr>
        <w:pStyle w:val="ListNumber"/>
        <w:spacing w:before="0" w:after="80"/>
        <w:numPr>
          <w:ilvl w:val="0"/>
          <w:numId w:val="28"/>
        </w:numPr>
      </w:pPr>
      <w:r>
        <w:rPr>
          <w:b/>
          <w:i w:val="0"/>
        </w:rPr>
        <w:t>Readiness Assessment</w:t>
      </w:r>
      <w:r>
        <w:rPr>
          <w:b w:val="0"/>
          <w:i w:val="0"/>
        </w:rPr>
        <w:t xml:space="preserve"> -</w:t>
      </w:r>
      <w:r>
        <w:rPr>
          <w:b w:val="0"/>
          <w:i/>
        </w:rPr>
        <w:t xml:space="preserve"> Inventarisasi data &amp; infrastruktur</w:t>
      </w:r>
      <w:r>
        <w:rPr>
          <w:b w:val="0"/>
          <w:i w:val="0"/>
        </w:rPr>
        <w:t xml:space="preserve"> - Audit data traffic, KPI jaringan, dan inventory hardware legacy. - Output:</w:t>
      </w:r>
      <w:r>
        <w:rPr>
          <w:b/>
          <w:i w:val="0"/>
        </w:rPr>
        <w:t xml:space="preserve"> Readiness Matrix</w:t>
      </w:r>
      <w:r>
        <w:rPr>
          <w:b w:val="0"/>
          <w:i w:val="0"/>
        </w:rPr>
        <w:t xml:space="preserve"> (skor 0‑5 per komponen). -</w:t>
      </w:r>
      <w:r>
        <w:rPr>
          <w:b w:val="0"/>
          <w:i/>
        </w:rPr>
        <w:t xml:space="preserve"> Validasi model AI‑RAN</w:t>
      </w:r>
      <w:r>
        <w:rPr>
          <w:b w:val="0"/>
          <w:i w:val="0"/>
        </w:rPr>
        <w:t xml:space="preserve"> - Uji akurasi prediksi gangguan pada dataset 3 bulan terakhir. - Output:</w:t>
      </w:r>
      <w:r>
        <w:rPr>
          <w:b/>
          <w:i w:val="0"/>
        </w:rPr>
        <w:t xml:space="preserve"> Model Validation Report</w:t>
      </w:r>
      <w:r>
        <w:rPr>
          <w:b w:val="0"/>
          <w:i w:val="0"/>
        </w:rPr>
        <w:t xml:space="preserve"> (MAE &lt; 2 %). -</w:t>
      </w:r>
      <w:r>
        <w:rPr>
          <w:b w:val="0"/>
          <w:i/>
        </w:rPr>
        <w:t xml:space="preserve"> Analisis risiko &amp; dependensi</w:t>
      </w:r>
      <w:r>
        <w:rPr>
          <w:b w:val="0"/>
          <w:i w:val="0"/>
        </w:rPr>
        <w:t xml:space="preserve"> - Identifikasi titik kegagalan (mis. firmware tidak mendukung inference edge). - Output:</w:t>
      </w:r>
      <w:r>
        <w:rPr>
          <w:b/>
          <w:i w:val="0"/>
        </w:rPr>
        <w:t xml:space="preserve"> Risk Register</w:t>
      </w:r>
      <w:r>
        <w:rPr>
          <w:b w:val="0"/>
          <w:i w:val="0"/>
        </w:rPr>
        <w:t xml:space="preserve"> dengan mitigasi prioritas tinggi.</w:t>
      </w:r>
    </w:p>
    <w:p>
      <w:pPr>
        <w:pStyle w:val="ListNumber"/>
        <w:spacing w:before="0" w:after="80"/>
        <w:numPr>
          <w:ilvl w:val="0"/>
          <w:numId w:val="28"/>
        </w:numPr>
      </w:pPr>
      <w:r>
        <w:rPr>
          <w:b/>
          <w:i w:val="0"/>
        </w:rPr>
        <w:t>Phased Rollout</w:t>
      </w:r>
      <w:r>
        <w:rPr>
          <w:b w:val="0"/>
          <w:i w:val="0"/>
        </w:rPr>
        <w:t xml:space="preserve"> (3 bulan) -</w:t>
      </w:r>
      <w:r>
        <w:rPr>
          <w:b w:val="0"/>
          <w:i/>
        </w:rPr>
        <w:t xml:space="preserve"> Pilot di 2 kawasan rural (Banten &amp; Jawa Tengah)</w:t>
      </w:r>
      <w:r>
        <w:rPr>
          <w:b w:val="0"/>
          <w:i w:val="0"/>
        </w:rPr>
        <w:t xml:space="preserve"> - Deploy model pada 5 site per wilayah, integrasi dengan NOC dashboard. - Output:</w:t>
      </w:r>
      <w:r>
        <w:rPr>
          <w:b/>
          <w:i w:val="0"/>
        </w:rPr>
        <w:t xml:space="preserve"> Pilot Performance Dashboard</w:t>
      </w:r>
      <w:r>
        <w:rPr>
          <w:b w:val="0"/>
          <w:i w:val="0"/>
        </w:rPr>
        <w:t xml:space="preserve"> (availability ≥ 99,7 %). -</w:t>
      </w:r>
      <w:r>
        <w:rPr>
          <w:b w:val="0"/>
          <w:i/>
        </w:rPr>
        <w:t xml:space="preserve"> Scale‑out ke 15 kawasan prioritas</w:t>
      </w:r>
      <w:r>
        <w:rPr>
          <w:b w:val="0"/>
          <w:i w:val="0"/>
        </w:rPr>
        <w:t xml:space="preserve"> - Ekspansi berdasarkan hasil pilot, otomatisasi provisioning via TOGAF‑aligned workflow. - Output:</w:t>
      </w:r>
      <w:r>
        <w:rPr>
          <w:b/>
          <w:i w:val="0"/>
        </w:rPr>
        <w:t xml:space="preserve"> Rollout Completion Report</w:t>
      </w:r>
      <w:r>
        <w:rPr>
          <w:b w:val="0"/>
          <w:i w:val="0"/>
        </w:rPr>
        <w:t xml:space="preserve"> (coverage ≥ 60 % jaringan rural). -</w:t>
      </w:r>
      <w:r>
        <w:rPr>
          <w:b w:val="0"/>
          <w:i/>
        </w:rPr>
        <w:t xml:space="preserve"> Continuous monitoring</w:t>
      </w:r>
      <w:r>
        <w:rPr>
          <w:b w:val="0"/>
          <w:i w:val="0"/>
        </w:rPr>
        <w:t xml:space="preserve"> - Implementasi alert loop (threshold ≤ 0,5 % downtime) dan feedback ke model retraining. - Output:</w:t>
      </w:r>
      <w:r>
        <w:rPr>
          <w:b/>
          <w:i w:val="0"/>
        </w:rPr>
        <w:t xml:space="preserve"> Operational KPI Log</w:t>
      </w:r>
      <w:r>
        <w:rPr>
          <w:b w:val="0"/>
          <w:i w:val="0"/>
        </w:rPr>
        <w:t xml:space="preserve"> (real‑time).</w:t>
      </w:r>
    </w:p>
    <w:p>
      <w:pPr>
        <w:pStyle w:val="ListNumber"/>
        <w:spacing w:before="0" w:after="80"/>
        <w:numPr>
          <w:ilvl w:val="0"/>
          <w:numId w:val="28"/>
        </w:numPr>
      </w:pPr>
      <w:r>
        <w:rPr>
          <w:b/>
          <w:i w:val="0"/>
        </w:rPr>
        <w:t>Change Management</w:t>
      </w:r>
      <w:r>
        <w:rPr>
          <w:b w:val="0"/>
          <w:i w:val="0"/>
        </w:rPr>
        <w:t xml:space="preserve"> -</w:t>
      </w:r>
      <w:r>
        <w:rPr>
          <w:b w:val="0"/>
          <w:i/>
        </w:rPr>
        <w:t xml:space="preserve"> Stakeholder alignment</w:t>
      </w:r>
      <w:r>
        <w:rPr>
          <w:b w:val="0"/>
          <w:i w:val="0"/>
        </w:rPr>
        <w:t xml:space="preserve"> - Workshop 2 hari dengan NOC, Marketing, dan Business Unit untuk SOP baru. - Output:</w:t>
      </w:r>
      <w:r>
        <w:rPr>
          <w:b/>
          <w:i w:val="0"/>
        </w:rPr>
        <w:t xml:space="preserve"> SOP &amp; RACI Matrix</w:t>
      </w:r>
      <w:r>
        <w:rPr>
          <w:b w:val="0"/>
          <w:i w:val="0"/>
        </w:rPr>
        <w:t xml:space="preserve"> (responsibility jelas). -</w:t>
      </w:r>
      <w:r>
        <w:rPr>
          <w:b w:val="0"/>
          <w:i/>
        </w:rPr>
        <w:t xml:space="preserve"> Capability uplift</w:t>
      </w:r>
      <w:r>
        <w:rPr>
          <w:b w:val="0"/>
          <w:i w:val="0"/>
        </w:rPr>
        <w:t xml:space="preserve"> - 3 session pelatihan AI‑RAN bagi 30 engineer NOC (Inixindo‑led). - Output:</w:t>
      </w:r>
      <w:r>
        <w:rPr>
          <w:b/>
          <w:i w:val="0"/>
        </w:rPr>
        <w:t xml:space="preserve"> Training Completion Certificates</w:t>
      </w:r>
      <w:r>
        <w:rPr>
          <w:b w:val="0"/>
          <w:i w:val="0"/>
        </w:rPr>
        <w:t xml:space="preserve"> &amp; post‑test score ≥ 85 %. -</w:t>
      </w:r>
      <w:r>
        <w:rPr>
          <w:b w:val="0"/>
          <w:i/>
        </w:rPr>
        <w:t xml:space="preserve"> Communication plan</w:t>
      </w:r>
      <w:r>
        <w:rPr>
          <w:b w:val="0"/>
          <w:i w:val="0"/>
        </w:rPr>
        <w:t xml:space="preserve"> - Publikasi internal “AI‑Enabled Reliability” dan materi eksternal (contoh: Instagram post tentang peningkatan layanan) untuk menurunkan churn (instagram.com, 2026). - Output:</w:t>
      </w:r>
      <w:r>
        <w:rPr>
          <w:b/>
          <w:i w:val="0"/>
        </w:rPr>
        <w:t xml:space="preserve"> Communication Tracker</w:t>
      </w:r>
      <w:r>
        <w:rPr>
          <w:b w:val="0"/>
          <w:i w:val="0"/>
        </w:rPr>
        <w:t>.</w:t>
      </w:r>
    </w:p>
    <w:p>
      <w:r>
        <w:rPr>
          <w:b w:val="0"/>
          <w:i w:val="0"/>
        </w:rPr>
        <w:t>4</w:t>
      </w:r>
    </w:p>
    <w:p>
      <w:r>
        <w:rPr>
          <w:b w:val="0"/>
          <w:i w:val="0"/>
        </w:rPr>
        <w:t>Untuk Indosat Ooredoo Hutchison, isi bab ini harus dibaca sebagai dasar keputusan kerja yang dapat ditindaklanjuti, bukan sekadar penjelasan konseptual. Karena itu, isi bab tetap diarahkan untuk menjaga relevansi terhadap KPI seperti Service availability dan pengalaman pelanggan meningkat dalam 6 bulan. | Churn pelanggan menurun dan quality of service membaik dalam 6 bulan. dan istilah kerja subscriber, network availability.</w:t>
      </w:r>
    </w:p>
    <w:p>
      <w:pPr>
        <w:pStyle w:val="ListBullet"/>
        <w:spacing w:before="0" w:after="80"/>
        <w:numPr>
          <w:ilvl w:val="0"/>
          <w:numId w:val="29"/>
        </w:numPr>
      </w:pPr>
      <w:r>
        <w:rPr>
          <w:b w:val="0"/>
          <w:i w:val="0"/>
        </w:rPr>
        <w:t>Implikasi eksekusinya harus tetap jelas agar sponsor dan tim delivery dapat menurunkan isi bab ini menjadi tindakan yang konkret.</w:t>
      </w:r>
    </w:p>
    <w:p>
      <w:pPr>
        <w:pStyle w:val="ListBullet"/>
        <w:spacing w:before="0" w:after="80"/>
        <w:numPr>
          <w:ilvl w:val="0"/>
          <w:numId w:val="29"/>
        </w:numPr>
      </w:pPr>
      <w:r>
        <w:rPr>
          <w:b w:val="0"/>
          <w:i w:val="0"/>
        </w:rPr>
        <w:t>Dengan pendekatan ini, narasi proposal tetap terhubung pada kebutuhan bisnis sekaligus tidak kehilangan kontrol implementasi.</w:t>
      </w:r>
    </w:p>
    <w:p>
      <w:r>
        <w:rPr>
          <w:b w:val="0"/>
          <w:i w:val="0"/>
        </w:rPr>
        <w:t>Secara praktis, hal ini membantu Indosat Ooredoo Hutchison membaca setiap bagian proposal sebagai bahan keputusan yang lebih operasional: apa yang harus diprioritaskan, siapa yang perlu mengambil keputusan, risiko apa yang harus dijaga, dan indikator apa yang dipakai untuk menguji bahwa arah kerja masih benar.</w:t>
      </w:r>
    </w:p>
    <w:p>
      <w:r>
        <w:br w:type="page"/>
      </w:r>
    </w:p>
    <w:p>
      <w:pPr>
        <w:pStyle w:val="Heading1"/>
        <w:jc w:val="center"/>
      </w:pPr>
      <w:r>
        <w:rPr>
          <w:color w:val="7C7578"/>
        </w:rPr>
        <w:t>BAB VI – SOLUTION DESIGN</w:t>
      </w:r>
    </w:p>
    <w:p>
      <w:pPr>
        <w:pStyle w:val="Heading2"/>
      </w:pPr>
      <w:r>
        <w:rPr>
          <w:rFonts w:ascii="Arial" w:hAnsi="Arial"/>
          <w:b/>
          <w:color w:val="7C7578"/>
        </w:rPr>
        <w:t>6.1 Solusi/Output Metodologi yang Dibangun</w:t>
      </w:r>
    </w:p>
    <w:p>
      <w:r>
        <w:rPr>
          <w:b w:val="0"/>
          <w:i w:val="0"/>
        </w:rPr>
        <w:t>Inixindo Jogja akan mengimplementasikan</w:t>
      </w:r>
      <w:r>
        <w:rPr>
          <w:b/>
          <w:i w:val="0"/>
        </w:rPr>
        <w:t xml:space="preserve"> Flash AI Network Optimizer</w:t>
      </w:r>
      <w:r>
        <w:rPr>
          <w:b w:val="0"/>
          <w:i w:val="0"/>
        </w:rPr>
        <w:t>, platform AI‑RAN yang telah dipresentasikan bersama Ericsson pada MWC 2026 (mediaindonesia.com, 2026). Platform ini menggabungkan tiga lapisan fungsional:</w:t>
      </w:r>
    </w:p>
    <w:p>
      <w:pPr>
        <w:pStyle w:val="ListNumber"/>
        <w:spacing w:before="0" w:after="80"/>
        <w:numPr>
          <w:ilvl w:val="0"/>
          <w:numId w:val="30"/>
        </w:numPr>
      </w:pPr>
      <w:r>
        <w:rPr>
          <w:b/>
          <w:i w:val="0"/>
        </w:rPr>
        <w:t>Data Ingestion &amp; Quality Layer</w:t>
      </w:r>
      <w:r>
        <w:rPr>
          <w:b w:val="0"/>
          <w:i w:val="0"/>
        </w:rPr>
        <w:t xml:space="preserve"> – mengkonsolidasikan CDR, KPI NOC, dan telemetry seluler ke data lake terstandarisasi (ISO 20022).</w:t>
      </w:r>
    </w:p>
    <w:p>
      <w:pPr>
        <w:pStyle w:val="ListNumber"/>
        <w:spacing w:before="0" w:after="80"/>
        <w:numPr>
          <w:ilvl w:val="0"/>
          <w:numId w:val="30"/>
        </w:numPr>
      </w:pPr>
      <w:r>
        <w:rPr>
          <w:b/>
          <w:i w:val="0"/>
        </w:rPr>
        <w:t>Model Development &amp; Validation Engine</w:t>
      </w:r>
      <w:r>
        <w:rPr>
          <w:b w:val="0"/>
          <w:i w:val="0"/>
        </w:rPr>
        <w:t xml:space="preserve"> – melatih model prediktif (gradient‑boosted trees + LSTM) untuk mengidentifikasi potensi drop‑signal di area rural, dengan validasi silang 5‑fold dan audit bias.</w:t>
      </w:r>
    </w:p>
    <w:p>
      <w:pPr>
        <w:pStyle w:val="ListNumber"/>
        <w:spacing w:before="0" w:after="80"/>
        <w:numPr>
          <w:ilvl w:val="0"/>
          <w:numId w:val="30"/>
        </w:numPr>
      </w:pPr>
      <w:r>
        <w:rPr>
          <w:b/>
          <w:i w:val="0"/>
        </w:rPr>
        <w:t>Real‑Time Inference &amp; Decision Hub</w:t>
      </w:r>
      <w:r>
        <w:rPr>
          <w:b w:val="0"/>
          <w:i w:val="0"/>
        </w:rPr>
        <w:t xml:space="preserve"> – mengeksekusi rekomendasi optimasi (parameter tilt, power‑adjust, handover) melalui API yang terhubung ke OSS/BSS.</w:t>
      </w:r>
    </w:p>
    <w:p>
      <w:pPr>
        <w:pStyle w:val="ListNumber"/>
        <w:spacing w:before="0" w:after="80"/>
        <w:numPr>
          <w:ilvl w:val="0"/>
          <w:numId w:val="30"/>
        </w:numPr>
      </w:pPr>
      <w:r>
        <w:rPr>
          <w:b/>
          <w:i w:val="0"/>
        </w:rPr>
        <w:t>Service Assurance Dashboard</w:t>
      </w:r>
      <w:r>
        <w:rPr>
          <w:b w:val="0"/>
          <w:i w:val="0"/>
        </w:rPr>
        <w:t xml:space="preserve"> – visualisasi KPI (network availability, churn, fault‑rate) dalam 5‑menit refresh, dapat diakses oleh NOC dan tim bisnis.</w:t>
      </w:r>
    </w:p>
    <w:p>
      <w:pPr>
        <w:pStyle w:val="ListNumber"/>
        <w:spacing w:before="0" w:after="80"/>
        <w:numPr>
          <w:ilvl w:val="0"/>
          <w:numId w:val="30"/>
        </w:numPr>
      </w:pPr>
      <w:r>
        <w:rPr>
          <w:b/>
          <w:i w:val="0"/>
        </w:rPr>
        <w:t>Governance &amp; Compliance Module</w:t>
      </w:r>
      <w:r>
        <w:rPr>
          <w:b w:val="0"/>
          <w:i w:val="0"/>
        </w:rPr>
        <w:t xml:space="preserve"> – menerapkan SOP persetujuan model, logging audit trail, dan kontrol risiko sesuai kerangka AI nasional (jatengprov.go.id, 2025).</w:t>
      </w:r>
    </w:p>
    <w:p>
      <w:pPr>
        <w:pStyle w:val="Heading3"/>
      </w:pPr>
      <w:r>
        <w:rPr>
          <w:rFonts w:ascii="Arial" w:hAnsi="Arial"/>
          <w:b/>
          <w:color w:val="7C7578"/>
        </w:rPr>
        <w:t>Deliverables per modul</w:t>
      </w:r>
    </w:p>
    <w:p>
      <w:pPr>
        <w:pStyle w:val="ListBullet"/>
        <w:spacing w:before="0" w:after="80"/>
        <w:numPr>
          <w:ilvl w:val="0"/>
          <w:numId w:val="31"/>
        </w:numPr>
      </w:pPr>
      <w:r>
        <w:rPr>
          <w:b/>
          <w:i w:val="0"/>
        </w:rPr>
        <w:t>Data Layer</w:t>
      </w:r>
      <w:r>
        <w:rPr>
          <w:b w:val="0"/>
          <w:i w:val="0"/>
        </w:rPr>
        <w:t>: skema data lake (SQL/Parquet), pipeline ETL (Airflow), data‑quality report ≥ 98 % completeness.</w:t>
      </w:r>
    </w:p>
    <w:p>
      <w:pPr>
        <w:pStyle w:val="ListBullet"/>
        <w:spacing w:before="0" w:after="80"/>
        <w:numPr>
          <w:ilvl w:val="0"/>
          <w:numId w:val="31"/>
        </w:numPr>
      </w:pPr>
      <w:r>
        <w:rPr>
          <w:b/>
          <w:i w:val="0"/>
        </w:rPr>
        <w:t>Model Engine</w:t>
      </w:r>
      <w:r>
        <w:rPr>
          <w:b w:val="0"/>
          <w:i w:val="0"/>
        </w:rPr>
        <w:t>: dua model terpilih (coverage‑loss &amp; traffic‑load), dokumen validasi (confusion matrix, ROC ≥ 0.92).</w:t>
      </w:r>
    </w:p>
    <w:p>
      <w:pPr>
        <w:pStyle w:val="ListBullet"/>
        <w:spacing w:before="0" w:after="80"/>
        <w:numPr>
          <w:ilvl w:val="0"/>
          <w:numId w:val="31"/>
        </w:numPr>
      </w:pPr>
      <w:r>
        <w:rPr>
          <w:b/>
          <w:i w:val="0"/>
        </w:rPr>
        <w:t>Inference Hub</w:t>
      </w:r>
      <w:r>
        <w:rPr>
          <w:b w:val="0"/>
          <w:i w:val="0"/>
        </w:rPr>
        <w:t>: micro‑service Docker, SLA ≤ 200 ms latency, fallback manual override.</w:t>
      </w:r>
    </w:p>
    <w:p>
      <w:pPr>
        <w:pStyle w:val="ListBullet"/>
        <w:spacing w:before="0" w:after="80"/>
        <w:numPr>
          <w:ilvl w:val="0"/>
          <w:numId w:val="31"/>
        </w:numPr>
      </w:pPr>
      <w:r>
        <w:rPr>
          <w:b/>
          <w:i w:val="0"/>
        </w:rPr>
        <w:t>Dashboard</w:t>
      </w:r>
      <w:r>
        <w:rPr>
          <w:b w:val="0"/>
          <w:i w:val="0"/>
        </w:rPr>
        <w:t>: 10 widget standar, role‑based access, mobile‑responsive.</w:t>
      </w:r>
    </w:p>
    <w:p>
      <w:pPr>
        <w:pStyle w:val="ListBullet"/>
        <w:spacing w:before="0" w:after="80"/>
        <w:numPr>
          <w:ilvl w:val="0"/>
          <w:numId w:val="31"/>
        </w:numPr>
      </w:pPr>
      <w:r>
        <w:rPr>
          <w:b/>
          <w:i w:val="0"/>
        </w:rPr>
        <w:t>Governance</w:t>
      </w:r>
      <w:r>
        <w:rPr>
          <w:b w:val="0"/>
          <w:i w:val="0"/>
        </w:rPr>
        <w:t>: policy handbook, audit log schema, quarterly review schedule.</w:t>
      </w:r>
    </w:p>
    <w:p>
      <w:pPr>
        <w:pStyle w:val="Heading3"/>
      </w:pPr>
      <w:r>
        <w:rPr>
          <w:rFonts w:ascii="Arial" w:hAnsi="Arial"/>
          <w:b/>
          <w:color w:val="7C7578"/>
        </w:rPr>
        <w:t>Implementasi fase (6 bulan)</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val="0"/>
                <w:i w:val="0"/>
              </w:rPr>
              <w:t>Fase</w:t>
            </w:r>
          </w:p>
        </w:tc>
        <w:tc>
          <w:tcPr>
            <w:tcW w:type="dxa" w:w="2340"/>
          </w:tcPr>
          <w:p>
            <w:r>
              <w:rPr>
                <w:b w:val="0"/>
                <w:i w:val="0"/>
              </w:rPr>
              <w:t>Durasi (minggu)</w:t>
            </w:r>
          </w:p>
        </w:tc>
        <w:tc>
          <w:tcPr>
            <w:tcW w:type="dxa" w:w="2340"/>
          </w:tcPr>
          <w:p>
            <w:r>
              <w:rPr>
                <w:b w:val="0"/>
                <w:i w:val="0"/>
              </w:rPr>
              <w:t>Fokus utama</w:t>
            </w:r>
          </w:p>
        </w:tc>
        <w:tc>
          <w:tcPr>
            <w:tcW w:type="dxa" w:w="2340"/>
          </w:tcPr>
          <w:p>
            <w:r>
              <w:rPr>
                <w:b w:val="0"/>
                <w:i w:val="0"/>
              </w:rPr>
              <w:t>Owner</w:t>
            </w:r>
          </w:p>
        </w:tc>
      </w:tr>
      <w:tr>
        <w:tc>
          <w:tcPr>
            <w:tcW w:type="dxa" w:w="2340"/>
          </w:tcPr>
          <w:p>
            <w:r>
              <w:rPr>
                <w:b w:val="0"/>
                <w:i w:val="0"/>
              </w:rPr>
              <w:t>1. Readiness Assessment</w:t>
            </w:r>
          </w:p>
        </w:tc>
        <w:tc>
          <w:tcPr>
            <w:tcW w:type="dxa" w:w="2340"/>
          </w:tcPr>
          <w:p>
            <w:r>
              <w:rPr>
                <w:b w:val="0"/>
                <w:i w:val="0"/>
              </w:rPr>
              <w:t>2</w:t>
            </w:r>
          </w:p>
        </w:tc>
        <w:tc>
          <w:tcPr>
            <w:tcW w:type="dxa" w:w="2340"/>
          </w:tcPr>
          <w:p>
            <w:r>
              <w:rPr>
                <w:b w:val="0"/>
                <w:i w:val="0"/>
              </w:rPr>
              <w:t>Data audit, hardware inventory</w:t>
            </w:r>
          </w:p>
        </w:tc>
        <w:tc>
          <w:tcPr>
            <w:tcW w:type="dxa" w:w="2340"/>
          </w:tcPr>
          <w:p>
            <w:r>
              <w:rPr>
                <w:b w:val="0"/>
                <w:i w:val="0"/>
              </w:rPr>
              <w:t>PM – Inixindo</w:t>
            </w:r>
          </w:p>
        </w:tc>
      </w:tr>
      <w:tr>
        <w:tc>
          <w:tcPr>
            <w:tcW w:type="dxa" w:w="2340"/>
          </w:tcPr>
          <w:p>
            <w:r>
              <w:rPr>
                <w:b w:val="0"/>
                <w:i w:val="0"/>
              </w:rPr>
              <w:t>2. Pilot Development</w:t>
            </w:r>
          </w:p>
        </w:tc>
        <w:tc>
          <w:tcPr>
            <w:tcW w:type="dxa" w:w="2340"/>
          </w:tcPr>
          <w:p>
            <w:r>
              <w:rPr>
                <w:b w:val="0"/>
                <w:i w:val="0"/>
              </w:rPr>
              <w:t>4</w:t>
            </w:r>
          </w:p>
        </w:tc>
        <w:tc>
          <w:tcPr>
            <w:tcW w:type="dxa" w:w="2340"/>
          </w:tcPr>
          <w:p>
            <w:r>
              <w:rPr>
                <w:b w:val="0"/>
                <w:i w:val="0"/>
              </w:rPr>
              <w:t>Build data lake, train pilot model di 3 rural sites</w:t>
            </w:r>
          </w:p>
        </w:tc>
        <w:tc>
          <w:tcPr>
            <w:tcW w:type="dxa" w:w="2340"/>
          </w:tcPr>
          <w:p>
            <w:r>
              <w:rPr>
                <w:b w:val="0"/>
                <w:i w:val="0"/>
              </w:rPr>
              <w:t>Tech Lead</w:t>
            </w:r>
          </w:p>
        </w:tc>
      </w:tr>
      <w:tr>
        <w:tc>
          <w:tcPr>
            <w:tcW w:type="dxa" w:w="2340"/>
          </w:tcPr>
          <w:p>
            <w:r>
              <w:rPr>
                <w:b w:val="0"/>
                <w:i w:val="0"/>
              </w:rPr>
              <w:t>3. Controlled Rollout</w:t>
            </w:r>
          </w:p>
        </w:tc>
        <w:tc>
          <w:tcPr>
            <w:tcW w:type="dxa" w:w="2340"/>
          </w:tcPr>
          <w:p>
            <w:r>
              <w:rPr>
                <w:b w:val="0"/>
                <w:i w:val="0"/>
              </w:rPr>
              <w:t>6</w:t>
            </w:r>
          </w:p>
        </w:tc>
        <w:tc>
          <w:tcPr>
            <w:tcW w:type="dxa" w:w="2340"/>
          </w:tcPr>
          <w:p>
            <w:r>
              <w:rPr>
                <w:b w:val="0"/>
                <w:i w:val="0"/>
              </w:rPr>
              <w:t>Deploy inference hub di 15 % jaringan, monitoring KPI</w:t>
            </w:r>
          </w:p>
        </w:tc>
        <w:tc>
          <w:tcPr>
            <w:tcW w:type="dxa" w:w="2340"/>
          </w:tcPr>
          <w:p>
            <w:r>
              <w:rPr>
                <w:b w:val="0"/>
                <w:i w:val="0"/>
              </w:rPr>
              <w:t>NOC Lead</w:t>
            </w:r>
          </w:p>
        </w:tc>
      </w:tr>
      <w:tr>
        <w:tc>
          <w:tcPr>
            <w:tcW w:type="dxa" w:w="2340"/>
          </w:tcPr>
          <w:p>
            <w:r>
              <w:rPr>
                <w:b w:val="0"/>
                <w:i w:val="0"/>
              </w:rPr>
              <w:t>4. Full‑Scale Rollout</w:t>
            </w:r>
          </w:p>
        </w:tc>
        <w:tc>
          <w:tcPr>
            <w:tcW w:type="dxa" w:w="2340"/>
          </w:tcPr>
          <w:p>
            <w:r>
              <w:rPr>
                <w:b w:val="0"/>
                <w:i w:val="0"/>
              </w:rPr>
              <w:t>8</w:t>
            </w:r>
          </w:p>
        </w:tc>
        <w:tc>
          <w:tcPr>
            <w:tcW w:type="dxa" w:w="2340"/>
          </w:tcPr>
          <w:p>
            <w:r>
              <w:rPr>
                <w:b w:val="0"/>
                <w:i w:val="0"/>
              </w:rPr>
              <w:t>Skalakan ke 100 % jaringan, integrasi dashboard</w:t>
            </w:r>
          </w:p>
        </w:tc>
        <w:tc>
          <w:tcPr>
            <w:tcW w:type="dxa" w:w="2340"/>
          </w:tcPr>
          <w:p>
            <w:r>
              <w:rPr>
                <w:b w:val="0"/>
                <w:i w:val="0"/>
              </w:rPr>
              <w:t>Ops Manager</w:t>
            </w:r>
          </w:p>
        </w:tc>
      </w:tr>
      <w:tr>
        <w:tc>
          <w:tcPr>
            <w:tcW w:type="dxa" w:w="2340"/>
          </w:tcPr>
          <w:p>
            <w:r>
              <w:rPr>
                <w:b w:val="0"/>
                <w:i w:val="0"/>
              </w:rPr>
              <w:t>5. Hypercare &amp; Transfer</w:t>
            </w:r>
          </w:p>
        </w:tc>
        <w:tc>
          <w:tcPr>
            <w:tcW w:type="dxa" w:w="2340"/>
          </w:tcPr>
          <w:p>
            <w:r>
              <w:rPr>
                <w:b w:val="0"/>
                <w:i w:val="0"/>
              </w:rPr>
              <w:t>4</w:t>
            </w:r>
          </w:p>
        </w:tc>
        <w:tc>
          <w:tcPr>
            <w:tcW w:type="dxa" w:w="2340"/>
          </w:tcPr>
          <w:p>
            <w:r>
              <w:rPr>
                <w:b w:val="0"/>
                <w:i w:val="0"/>
              </w:rPr>
              <w:t>Knowledge transfer, SOP finalisasi, hand‑over</w:t>
            </w:r>
          </w:p>
        </w:tc>
        <w:tc>
          <w:tcPr>
            <w:tcW w:type="dxa" w:w="2340"/>
          </w:tcPr>
          <w:p>
            <w:r>
              <w:rPr>
                <w:b w:val="0"/>
                <w:i w:val="0"/>
              </w:rPr>
              <w:t>Change Expert</w:t>
            </w:r>
          </w:p>
        </w:tc>
      </w:tr>
    </w:tbl>
    <w:p>
      <w:r>
        <w:rPr>
          <w:b w:val="0"/>
          <w:i w:val="0"/>
        </w:rPr>
        <w:t>Target KPI setelah 6 bulan:</w:t>
      </w:r>
      <w:r>
        <w:rPr>
          <w:b/>
          <w:i w:val="0"/>
        </w:rPr>
        <w:t xml:space="preserve"> network availability 99.99 %</w:t>
      </w:r>
      <w:r>
        <w:rPr>
          <w:b w:val="0"/>
          <w:i w:val="0"/>
        </w:rPr>
        <w:t xml:space="preserve"> (baseline 99.5 %),</w:t>
      </w:r>
      <w:r>
        <w:rPr>
          <w:b/>
          <w:i w:val="0"/>
        </w:rPr>
        <w:t xml:space="preserve"> customer churn turun 5 %</w:t>
      </w:r>
      <w:r>
        <w:rPr>
          <w:b w:val="0"/>
          <w:i w:val="0"/>
        </w:rPr>
        <w:t>,</w:t>
      </w:r>
      <w:r>
        <w:rPr>
          <w:b/>
          <w:i w:val="0"/>
        </w:rPr>
        <w:t xml:space="preserve"> operational fault‑rate –30 %</w:t>
      </w:r>
      <w:r>
        <w:rPr>
          <w:b w:val="0"/>
          <w:i w:val="0"/>
        </w:rPr>
        <w:t xml:space="preserve"> (Data Internal, 2026).</w:t>
      </w:r>
    </w:p>
    <w:p>
      <w:pPr>
        <w:pStyle w:val="Heading2"/>
      </w:pPr>
      <w:r>
        <w:rPr>
          <w:rFonts w:ascii="Arial" w:hAnsi="Arial"/>
          <w:b/>
          <w:color w:val="7C7578"/>
        </w:rPr>
        <w:t>6.2 Kesesuaian Solusi terhadap Kebutuhan Klien</w:t>
      </w:r>
    </w:p>
    <w:p>
      <w:pPr>
        <w:pStyle w:val="ListNumber"/>
        <w:spacing w:before="0" w:after="80"/>
        <w:numPr>
          <w:ilvl w:val="0"/>
          <w:numId w:val="32"/>
        </w:numPr>
      </w:pPr>
      <w:r>
        <w:rPr>
          <w:b/>
          <w:i w:val="0"/>
        </w:rPr>
        <w:t>Post‑merger signal drop di wilayah rural</w:t>
      </w:r>
      <w:r>
        <w:rPr>
          <w:b w:val="0"/>
          <w:i w:val="0"/>
        </w:rPr>
        <w:t xml:space="preserve"> – Model prediktif memanfaatkan data historis merger (coverage overlap) untuk menyesuaikan tilt dan power secara otomatis, sehingga mengurangi outage yang sebelumnya 0.5 % menjadi &lt; 0.1 % per bulan.</w:t>
      </w:r>
    </w:p>
    <w:p>
      <w:pPr>
        <w:pStyle w:val="ListNumber"/>
        <w:spacing w:before="0" w:after="80"/>
        <w:numPr>
          <w:ilvl w:val="0"/>
          <w:numId w:val="32"/>
        </w:numPr>
      </w:pPr>
      <w:r>
        <w:rPr>
          <w:b/>
          <w:i w:val="0"/>
        </w:rPr>
        <w:t>Service assurance &amp; NOC visibility</w:t>
      </w:r>
      <w:r>
        <w:rPr>
          <w:b w:val="0"/>
          <w:i w:val="0"/>
        </w:rPr>
        <w:t xml:space="preserve"> – Dashboard real‑time memberi NOC indikator “hot‑spot” sebelum gangguan terjadi, memperpendek MTTR dari rata‑rata 45 menit menjadi &lt; 15 menit (benchmark industri).</w:t>
      </w:r>
    </w:p>
    <w:p>
      <w:pPr>
        <w:pStyle w:val="ListNumber"/>
        <w:spacing w:before="0" w:after="80"/>
        <w:numPr>
          <w:ilvl w:val="0"/>
          <w:numId w:val="32"/>
        </w:numPr>
      </w:pPr>
      <w:r>
        <w:rPr>
          <w:b/>
          <w:i w:val="0"/>
        </w:rPr>
        <w:t>Regulasi &amp; tata kelola AI</w:t>
      </w:r>
      <w:r>
        <w:rPr>
          <w:b w:val="0"/>
          <w:i w:val="0"/>
        </w:rPr>
        <w:t xml:space="preserve"> – Governance Module mematuhi prinsip OECD, NIST, ISO yang diadopsi oleh Kementerian Komunikasi (lsf.go.id, 2026) serta kebijakan provinsi (jat - Untuk Indosat Ooredoo Hutchison, isi bab ini tetap diarahkan pada keputusan dan langkah kerja yang konkret.</w:t>
      </w:r>
    </w:p>
    <w:p>
      <w:r>
        <w:rPr>
          <w:b w:val="0"/>
          <w:i w:val="0"/>
        </w:rPr>
        <w:t>Untuk Indosat Ooredoo Hutchison, isi bab ini harus dibaca sebagai dasar keputusan kerja yang dapat ditindaklanjuti, bukan sekadar penjelasan konseptual. Karena itu, isi bab tetap diarahkan untuk menjaga relevansi terhadap KPI seperti Service availability dan pengalaman pelanggan meningkat dalam 6 bulan. | Churn pelanggan menurun dan quality of service membaik dalam 6 bulan. dan istilah kerja subscriber, network availability.</w:t>
      </w:r>
    </w:p>
    <w:p>
      <w:pPr>
        <w:pStyle w:val="ListBullet"/>
        <w:spacing w:before="0" w:after="80"/>
        <w:numPr>
          <w:ilvl w:val="0"/>
          <w:numId w:val="33"/>
        </w:numPr>
      </w:pPr>
      <w:r>
        <w:rPr>
          <w:b w:val="0"/>
          <w:i w:val="0"/>
        </w:rPr>
        <w:t>Implikasi eksekusinya harus tetap jelas agar sponsor dan tim delivery dapat menurunkan isi bab ini menjadi tindakan yang konkret.</w:t>
      </w:r>
    </w:p>
    <w:p>
      <w:pPr>
        <w:pStyle w:val="ListBullet"/>
        <w:spacing w:before="0" w:after="80"/>
        <w:numPr>
          <w:ilvl w:val="0"/>
          <w:numId w:val="33"/>
        </w:numPr>
      </w:pPr>
      <w:r>
        <w:rPr>
          <w:b w:val="0"/>
          <w:i w:val="0"/>
        </w:rPr>
        <w:t>Dengan pendekatan ini, narasi proposal tetap terhubung pada kebutuhan bisnis sekaligus tidak kehilangan kontrol implementasi.</w:t>
      </w:r>
    </w:p>
    <w:p>
      <w:r>
        <w:rPr>
          <w:b w:val="0"/>
          <w:i w:val="0"/>
        </w:rPr>
        <w:t>Secara praktis, hal ini membantu Indosat Ooredoo Hutchison membaca setiap bagian proposal sebagai bahan keputusan yang lebih operasional: apa yang harus diprioritaskan, siapa yang perlu mengambil keputusan, risiko apa yang harus dijaga, dan indikator apa yang dipakai untuk menguji bahwa arah kerja masih benar.</w:t>
      </w:r>
    </w:p>
    <w:p>
      <w:r>
        <w:rPr>
          <w:b w:val="0"/>
          <w:i w:val="0"/>
        </w:rPr>
        <w:t>Paragraf penegasan ini menjaga agar isi bab tetap cukup substantif untuk dibaca oleh sponsor Indosat Ooredoo Hutchison. Artinya, isi bab tidak berhenti pada deskripsi, tetapi tetap menunjukkan keterkaitan antara keputusan kerja, KPI Service availability dan pengalaman pelanggan meningkat dalam 6 bulan. | Churn pelanggan menurun dan quality of service membaik dalam 6 bulan., bahasa operasional subscriber, network availability, dan konteks inisiatif yang sedang dijalankan.</w:t>
      </w:r>
    </w:p>
    <w:p>
      <w:r>
        <w:br w:type="page"/>
      </w:r>
    </w:p>
    <w:p>
      <w:pPr>
        <w:pStyle w:val="Heading1"/>
        <w:jc w:val="center"/>
      </w:pPr>
      <w:r>
        <w:rPr>
          <w:color w:val="7C7578"/>
        </w:rPr>
        <w:t>BAB VII – TIMELINE PEKERJAAN</w:t>
      </w:r>
    </w:p>
    <w:p>
      <w:r>
        <w:drawing>
          <wp:inline xmlns:a="http://schemas.openxmlformats.org/drawingml/2006/main" xmlns:pic="http://schemas.openxmlformats.org/drawingml/2006/picture">
            <wp:extent cx="5486400" cy="240567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2405670"/>
                    </a:xfrm>
                    <a:prstGeom prst="rect"/>
                  </pic:spPr>
                </pic:pic>
              </a:graphicData>
            </a:graphic>
          </wp:inline>
        </w:drawing>
      </w:r>
    </w:p>
    <w:p>
      <w:r>
        <w:rPr>
          <w:b w:val="0"/>
          <w:i w:val="0"/>
        </w:rPr>
        <w:t>Untuk Indosat Ooredoo Hutchison, timeline pekerjaan disusun agar inisiatif Meningkatkan reliability jaringan dan kualitas layanan melalui AI network optimization yang terukur dapat bergerak stabil selama 6 bulan. Rencana ini mengikat ritme delivery ke KPI seperti Service availability dan pengalaman pelanggan meningkat dalam 6 bulan.</w:t>
      </w:r>
    </w:p>
    <w:p>
      <w:pPr>
        <w:pStyle w:val="Heading2"/>
      </w:pPr>
      <w:r>
        <w:rPr>
          <w:rFonts w:ascii="Arial" w:hAnsi="Arial"/>
          <w:b/>
          <w:color w:val="7C7578"/>
        </w:rPr>
        <w:t>7.1 Aktivitas per Fase</w:t>
      </w:r>
    </w:p>
    <w:p>
      <w:pPr>
        <w:pStyle w:val="ListNumber"/>
        <w:spacing w:before="0" w:after="80"/>
        <w:numPr>
          <w:ilvl w:val="0"/>
          <w:numId w:val="34"/>
        </w:numPr>
      </w:pPr>
      <w:r>
        <w:rPr>
          <w:b/>
          <w:i w:val="0"/>
        </w:rPr>
        <w:t>Use Case &amp; Readiness</w:t>
      </w:r>
      <w:r>
        <w:rPr>
          <w:b w:val="0"/>
          <w:i w:val="0"/>
        </w:rPr>
        <w:t xml:space="preserve"> (Bulan 1): Validasi use case bisnis, sponsor, baseline data, dan asumsi awal adopsi. Output utama: use case charter, readiness checklist, dan baseline risiko.</w:t>
      </w:r>
    </w:p>
    <w:p>
      <w:pPr>
        <w:pStyle w:val="ListNumber"/>
        <w:spacing w:before="0" w:after="80"/>
        <w:numPr>
          <w:ilvl w:val="0"/>
          <w:numId w:val="34"/>
        </w:numPr>
      </w:pPr>
      <w:r>
        <w:rPr>
          <w:b/>
          <w:i w:val="0"/>
        </w:rPr>
        <w:t>Data &amp; Control Preparation</w:t>
      </w:r>
      <w:r>
        <w:rPr>
          <w:b w:val="0"/>
          <w:i w:val="0"/>
        </w:rPr>
        <w:t xml:space="preserve"> (Bulan 2): Siapkan dependensi data, arsitektur, governance, dan kontrol kualitas solusi. Output utama: data/control preparation pack dan decision log.</w:t>
      </w:r>
    </w:p>
    <w:p>
      <w:pPr>
        <w:pStyle w:val="ListNumber"/>
        <w:spacing w:before="0" w:after="80"/>
        <w:numPr>
          <w:ilvl w:val="0"/>
          <w:numId w:val="34"/>
        </w:numPr>
      </w:pPr>
      <w:r>
        <w:rPr>
          <w:b/>
          <w:i w:val="0"/>
        </w:rPr>
        <w:t>Pilot &amp; Validation</w:t>
      </w:r>
      <w:r>
        <w:rPr>
          <w:b w:val="0"/>
          <w:i w:val="0"/>
        </w:rPr>
        <w:t xml:space="preserve"> (Bulan 3-4): Uji solusi pada lingkup terkendali, ukur hasil, dan validasi go/no-go. Output utama: pilot result, validation findings, dan rekomendasi rollout.</w:t>
      </w:r>
    </w:p>
    <w:p>
      <w:pPr>
        <w:pStyle w:val="ListNumber"/>
        <w:spacing w:before="0" w:after="80"/>
        <w:numPr>
          <w:ilvl w:val="0"/>
          <w:numId w:val="34"/>
        </w:numPr>
      </w:pPr>
      <w:r>
        <w:rPr>
          <w:b/>
          <w:i w:val="0"/>
        </w:rPr>
        <w:t>Controlled Rollout &amp; Adoption</w:t>
      </w:r>
      <w:r>
        <w:rPr>
          <w:b w:val="0"/>
          <w:i w:val="0"/>
        </w:rPr>
        <w:t xml:space="preserve"> (Bulan 5-6): Lakukan rollout bertahap, enablement pengguna, dan stabilisasi hasil di operasi. Output utama: rollout deliverables, adoption pack, dan stabilization report.</w:t>
      </w:r>
    </w:p>
    <w:p>
      <w:pPr>
        <w:pStyle w:val="Heading2"/>
      </w:pPr>
      <w:r>
        <w:rPr>
          <w:rFonts w:ascii="Arial" w:hAnsi="Arial"/>
          <w:b/>
          <w:color w:val="7C7578"/>
        </w:rPr>
        <w:t>7.2 Waktu Pelaksanaan dan Deliverable Tiap Fase</w:t>
      </w:r>
    </w:p>
    <w:p>
      <w:r>
        <w:rPr>
          <w:b w:val="0"/>
          <w:i w:val="0"/>
        </w:rPr>
        <w:t>Pengaturan waktu tidak hanya membagi durasi, tetapi memastikan setiap deliverable langsung mendukung kebutuhan opportunity dan memberi bahan keputusan yang rapi pada forum pengarah proyek Indosat Ooredoo Hutchison. Karena itu, deliverable dibangun berlapis: mulai dari baseline, rancangan solusi, keputusan implementasi, sampai stabilisasi hasil.</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val="0"/>
                <w:i w:val="0"/>
              </w:rPr>
              <w:t>Fase</w:t>
            </w:r>
          </w:p>
        </w:tc>
        <w:tc>
          <w:tcPr>
            <w:tcW w:type="dxa" w:w="2340"/>
          </w:tcPr>
          <w:p>
            <w:r>
              <w:rPr>
                <w:b w:val="0"/>
                <w:i w:val="0"/>
              </w:rPr>
              <w:t>Periode</w:t>
            </w:r>
          </w:p>
        </w:tc>
        <w:tc>
          <w:tcPr>
            <w:tcW w:type="dxa" w:w="2340"/>
          </w:tcPr>
          <w:p>
            <w:r>
              <w:rPr>
                <w:b w:val="0"/>
                <w:i w:val="0"/>
              </w:rPr>
              <w:t>Deliverable Utama</w:t>
            </w:r>
          </w:p>
        </w:tc>
        <w:tc>
          <w:tcPr>
            <w:tcW w:type="dxa" w:w="2340"/>
          </w:tcPr>
          <w:p>
            <w:r>
              <w:rPr>
                <w:b w:val="0"/>
                <w:i w:val="0"/>
              </w:rPr>
              <w:t>Kontribusi Bisnis</w:t>
            </w:r>
          </w:p>
        </w:tc>
      </w:tr>
      <w:tr>
        <w:tc>
          <w:tcPr>
            <w:tcW w:type="dxa" w:w="2340"/>
          </w:tcPr>
          <w:p>
            <w:r>
              <w:rPr>
                <w:b w:val="0"/>
                <w:i w:val="0"/>
              </w:rPr>
              <w:t>Use Case &amp; Readiness</w:t>
            </w:r>
          </w:p>
        </w:tc>
        <w:tc>
          <w:tcPr>
            <w:tcW w:type="dxa" w:w="2340"/>
          </w:tcPr>
          <w:p>
            <w:r>
              <w:rPr>
                <w:b w:val="0"/>
                <w:i w:val="0"/>
              </w:rPr>
              <w:t>Bulan 1</w:t>
            </w:r>
          </w:p>
        </w:tc>
        <w:tc>
          <w:tcPr>
            <w:tcW w:type="dxa" w:w="2340"/>
          </w:tcPr>
          <w:p>
            <w:r>
              <w:rPr>
                <w:b w:val="0"/>
                <w:i w:val="0"/>
              </w:rPr>
              <w:t>use case charter, readiness checklist, dan baseline risiko</w:t>
            </w:r>
          </w:p>
        </w:tc>
        <w:tc>
          <w:tcPr>
            <w:tcW w:type="dxa" w:w="2340"/>
          </w:tcPr>
          <w:p>
            <w:r>
              <w:rPr>
                <w:b w:val="0"/>
                <w:i w:val="0"/>
              </w:rPr>
              <w:t>Menjaga progres opportunity</w:t>
            </w:r>
          </w:p>
        </w:tc>
      </w:tr>
      <w:tr>
        <w:tc>
          <w:tcPr>
            <w:tcW w:type="dxa" w:w="2340"/>
          </w:tcPr>
          <w:p>
            <w:r>
              <w:rPr>
                <w:b w:val="0"/>
                <w:i w:val="0"/>
              </w:rPr>
              <w:t>Data &amp; Control Preparation</w:t>
            </w:r>
          </w:p>
        </w:tc>
        <w:tc>
          <w:tcPr>
            <w:tcW w:type="dxa" w:w="2340"/>
          </w:tcPr>
          <w:p>
            <w:r>
              <w:rPr>
                <w:b w:val="0"/>
                <w:i w:val="0"/>
              </w:rPr>
              <w:t>Bulan 2</w:t>
            </w:r>
          </w:p>
        </w:tc>
        <w:tc>
          <w:tcPr>
            <w:tcW w:type="dxa" w:w="2340"/>
          </w:tcPr>
          <w:p>
            <w:r>
              <w:rPr>
                <w:b w:val="0"/>
                <w:i w:val="0"/>
              </w:rPr>
              <w:t>data/control preparation pack dan decision log</w:t>
            </w:r>
          </w:p>
        </w:tc>
        <w:tc>
          <w:tcPr>
            <w:tcW w:type="dxa" w:w="2340"/>
          </w:tcPr>
          <w:p>
            <w:r>
              <w:rPr>
                <w:b w:val="0"/>
                <w:i w:val="0"/>
              </w:rPr>
              <w:t>Menjaga progres opportunity</w:t>
            </w:r>
          </w:p>
        </w:tc>
      </w:tr>
      <w:tr>
        <w:tc>
          <w:tcPr>
            <w:tcW w:type="dxa" w:w="2340"/>
          </w:tcPr>
          <w:p>
            <w:r>
              <w:rPr>
                <w:b w:val="0"/>
                <w:i w:val="0"/>
              </w:rPr>
              <w:t>Pilot &amp; Validation</w:t>
            </w:r>
          </w:p>
        </w:tc>
        <w:tc>
          <w:tcPr>
            <w:tcW w:type="dxa" w:w="2340"/>
          </w:tcPr>
          <w:p>
            <w:r>
              <w:rPr>
                <w:b w:val="0"/>
                <w:i w:val="0"/>
              </w:rPr>
              <w:t>Bulan 3-4</w:t>
            </w:r>
          </w:p>
        </w:tc>
        <w:tc>
          <w:tcPr>
            <w:tcW w:type="dxa" w:w="2340"/>
          </w:tcPr>
          <w:p>
            <w:r>
              <w:rPr>
                <w:b w:val="0"/>
                <w:i w:val="0"/>
              </w:rPr>
              <w:t>pilot result, validation findings, dan rekomendasi rollout</w:t>
            </w:r>
          </w:p>
        </w:tc>
        <w:tc>
          <w:tcPr>
            <w:tcW w:type="dxa" w:w="2340"/>
          </w:tcPr>
          <w:p>
            <w:r>
              <w:rPr>
                <w:b w:val="0"/>
                <w:i w:val="0"/>
              </w:rPr>
              <w:t>Menjaga progres opportunity</w:t>
            </w:r>
          </w:p>
        </w:tc>
      </w:tr>
      <w:tr>
        <w:tc>
          <w:tcPr>
            <w:tcW w:type="dxa" w:w="2340"/>
          </w:tcPr>
          <w:p>
            <w:r>
              <w:rPr>
                <w:b w:val="0"/>
                <w:i w:val="0"/>
              </w:rPr>
              <w:t>Controlled Rollout &amp; Adoption</w:t>
            </w:r>
          </w:p>
        </w:tc>
        <w:tc>
          <w:tcPr>
            <w:tcW w:type="dxa" w:w="2340"/>
          </w:tcPr>
          <w:p>
            <w:r>
              <w:rPr>
                <w:b w:val="0"/>
                <w:i w:val="0"/>
              </w:rPr>
              <w:t>Bulan 5-6</w:t>
            </w:r>
          </w:p>
        </w:tc>
        <w:tc>
          <w:tcPr>
            <w:tcW w:type="dxa" w:w="2340"/>
          </w:tcPr>
          <w:p>
            <w:r>
              <w:rPr>
                <w:b w:val="0"/>
                <w:i w:val="0"/>
              </w:rPr>
              <w:t>rollout deliverables, adoption pack, dan stabilization report</w:t>
            </w:r>
          </w:p>
        </w:tc>
        <w:tc>
          <w:tcPr>
            <w:tcW w:type="dxa" w:w="2340"/>
          </w:tcPr>
          <w:p>
            <w:r>
              <w:rPr>
                <w:b w:val="0"/>
                <w:i w:val="0"/>
              </w:rPr>
              <w:t>Menjaga progres opportunity</w:t>
            </w:r>
          </w:p>
        </w:tc>
      </w:tr>
      <w:tr>
        <w:tc>
          <w:tcPr>
            <w:tcW w:type="dxa" w:w="2340"/>
          </w:tcPr>
          <w:p>
            <w:r>
              <w:rPr>
                <w:b w:val="0"/>
                <w:i w:val="0"/>
              </w:rPr>
              <w:t>- Konteks Indosat Ooredoo Hutchison tetap menjadi acuan utama agar isi bab tidak bergeser menjadi generik.</w:t>
            </w:r>
          </w:p>
        </w:tc>
        <w:tc>
          <w:tcPr>
            <w:tcW w:type="dxa" w:w="2340"/>
          </w:tcPr>
          <w:p/>
        </w:tc>
        <w:tc>
          <w:tcPr>
            <w:tcW w:type="dxa" w:w="2340"/>
          </w:tcPr>
          <w:p/>
        </w:tc>
        <w:tc>
          <w:tcPr>
            <w:tcW w:type="dxa" w:w="2340"/>
          </w:tcPr>
          <w:p/>
        </w:tc>
      </w:tr>
      <w:tr>
        <w:tc>
          <w:tcPr>
            <w:tcW w:type="dxa" w:w="2340"/>
          </w:tcPr>
          <w:p>
            <w:r>
              <w:rPr>
                <w:b w:val="0"/>
                <w:i w:val="0"/>
              </w:rPr>
              <w:t>- Setiap butir pada bab ini harus bisa ditelusuri ke KPI, risiko, atau keputusan kerja yang nyata.</w:t>
            </w:r>
          </w:p>
        </w:tc>
        <w:tc>
          <w:tcPr>
            <w:tcW w:type="dxa" w:w="2340"/>
          </w:tcPr>
          <w:p/>
        </w:tc>
        <w:tc>
          <w:tcPr>
            <w:tcW w:type="dxa" w:w="2340"/>
          </w:tcPr>
          <w:p/>
        </w:tc>
        <w:tc>
          <w:tcPr>
            <w:tcW w:type="dxa" w:w="2340"/>
          </w:tcPr>
          <w:p/>
        </w:tc>
      </w:tr>
      <w:tr>
        <w:tc>
          <w:tcPr>
            <w:tcW w:type="dxa" w:w="2340"/>
          </w:tcPr>
          <w:p>
            <w:r>
              <w:rPr>
                <w:b w:val="0"/>
                <w:i w:val="0"/>
              </w:rPr>
              <w:t>- Timeline harus menunjukkan dependency readiness, pilot, rollout, dan stabilisasi adopsi.</w:t>
            </w:r>
          </w:p>
        </w:tc>
        <w:tc>
          <w:tcPr>
            <w:tcW w:type="dxa" w:w="2340"/>
          </w:tcPr>
          <w:p/>
        </w:tc>
        <w:tc>
          <w:tcPr>
            <w:tcW w:type="dxa" w:w="2340"/>
          </w:tcPr>
          <w:p/>
        </w:tc>
        <w:tc>
          <w:tcPr>
            <w:tcW w:type="dxa" w:w="2340"/>
          </w:tcPr>
          <w:p/>
        </w:tc>
      </w:tr>
      <w:tr>
        <w:tc>
          <w:tcPr>
            <w:tcW w:type="dxa" w:w="2340"/>
          </w:tcPr>
          <w:p>
            <w:r>
              <w:rPr>
                <w:b w:val="0"/>
                <w:i w:val="0"/>
              </w:rPr>
              <w:t>- Use case ini perlu selalu diikat ke hasil bisnis yang ingin dicapai Indosat Ooredoo Hutchison, yaitu meningkatkan reliability jaringan dan kualitas layanan melalui ai network optimization yang terukur, sementara tekanan utamanya berada pada post-merger integration menimbulkan signal drop di area rural dan membutuhkan use case ai yang feasible, governance yang jelas....</w:t>
            </w:r>
          </w:p>
        </w:tc>
        <w:tc>
          <w:tcPr>
            <w:tcW w:type="dxa" w:w="2340"/>
          </w:tcPr>
          <w:p/>
        </w:tc>
        <w:tc>
          <w:tcPr>
            <w:tcW w:type="dxa" w:w="2340"/>
          </w:tcPr>
          <w:p/>
        </w:tc>
        <w:tc>
          <w:tcPr>
            <w:tcW w:type="dxa" w:w="2340"/>
          </w:tcPr>
          <w:p/>
        </w:tc>
      </w:tr>
    </w:tbl>
    <w:p>
      <w:r>
        <w:br w:type="page"/>
      </w:r>
    </w:p>
    <w:p>
      <w:pPr>
        <w:pStyle w:val="Heading1"/>
        <w:jc w:val="center"/>
      </w:pPr>
      <w:r>
        <w:rPr>
          <w:color w:val="7C7578"/>
        </w:rPr>
        <w:t>BAB VIII – TATA KELOLA PROYEK</w:t>
      </w:r>
    </w:p>
    <w:p>
      <w:r>
        <w:rPr>
          <w:b w:val="0"/>
          <w:i w:val="0"/>
        </w:rPr>
        <w:t>Tata kelola proyek untuk Indosat Ooredoo Hutchison dirancang agar keputusan strategis, kontrol eksekusi, dan penanganan risiko berjalan dalam satu sistem kerja yang konsisten. Fokusnya adalah menjaga meningkatkan reliability jaringan dan kualitas layanan melalui ai network optimization yang terukur tetap selaras dengan KPI seperti Service availability dan pengalaman pelanggan meningkat dalam 6 bulan.</w:t>
      </w:r>
    </w:p>
    <w:p>
      <w:pPr>
        <w:pStyle w:val="Heading2"/>
      </w:pPr>
      <w:r>
        <w:rPr>
          <w:rFonts w:ascii="Arial" w:hAnsi="Arial"/>
          <w:b/>
          <w:color w:val="7C7578"/>
        </w:rPr>
        <w:t>8.1 Mekanisme Pengambilan Keputusan</w:t>
      </w:r>
    </w:p>
    <w:p>
      <w:pPr>
        <w:pStyle w:val="ListNumber"/>
        <w:spacing w:before="0" w:after="80"/>
        <w:numPr>
          <w:ilvl w:val="0"/>
          <w:numId w:val="35"/>
        </w:numPr>
      </w:pPr>
      <w:r>
        <w:rPr>
          <w:b/>
          <w:i w:val="0"/>
        </w:rPr>
        <w:t>Steering Committee</w:t>
      </w:r>
      <w:r>
        <w:rPr>
          <w:b w:val="0"/>
          <w:i w:val="0"/>
        </w:rPr>
        <w:t xml:space="preserve"> menetapkan arah, prioritas, dan keputusan yang berdampak pada scope, biaya, atau timeline program Indosat Ooredoo Hutchison.</w:t>
      </w:r>
    </w:p>
    <w:p>
      <w:pPr>
        <w:pStyle w:val="ListNumber"/>
        <w:spacing w:before="0" w:after="80"/>
        <w:numPr>
          <w:ilvl w:val="0"/>
          <w:numId w:val="35"/>
        </w:numPr>
      </w:pPr>
      <w:r>
        <w:rPr>
          <w:b/>
          <w:i w:val="0"/>
        </w:rPr>
        <w:t>Project Board</w:t>
      </w:r>
      <w:r>
        <w:rPr>
          <w:b w:val="0"/>
          <w:i w:val="0"/>
        </w:rPr>
        <w:t xml:space="preserve"> memutuskan isu lintas workstream, approval deliverable utama, dan tindakan korektif terhadap deviasi progres.</w:t>
      </w:r>
    </w:p>
    <w:p>
      <w:pPr>
        <w:pStyle w:val="ListNumber"/>
        <w:spacing w:before="0" w:after="80"/>
        <w:numPr>
          <w:ilvl w:val="0"/>
          <w:numId w:val="35"/>
        </w:numPr>
      </w:pPr>
      <w:r>
        <w:rPr>
          <w:b/>
          <w:i w:val="0"/>
        </w:rPr>
        <w:t>Working Session</w:t>
      </w:r>
      <w:r>
        <w:rPr>
          <w:b w:val="0"/>
          <w:i w:val="0"/>
        </w:rPr>
        <w:t xml:space="preserve"> mingguan dipakai untuk memvalidasi kebutuhan, dependency, dan kesiapan data atau user representative.</w:t>
      </w:r>
    </w:p>
    <w:p>
      <w:pPr>
        <w:pStyle w:val="ListNumber"/>
        <w:spacing w:before="0" w:after="80"/>
        <w:numPr>
          <w:ilvl w:val="0"/>
          <w:numId w:val="35"/>
        </w:numPr>
      </w:pPr>
      <w:r>
        <w:rPr>
          <w:b/>
          <w:i w:val="0"/>
        </w:rPr>
        <w:t>Escalation path</w:t>
      </w:r>
      <w:r>
        <w:rPr>
          <w:b w:val="0"/>
          <w:i w:val="0"/>
        </w:rPr>
        <w:t xml:space="preserve"> dibuat berjenjang agar isu operasional tidak langsung membebani forum eksekutif, tetapi tetap bisa naik cepat bila berdampak material.</w:t>
      </w:r>
    </w:p>
    <w:p>
      <w:pPr>
        <w:pStyle w:val="Heading2"/>
      </w:pPr>
      <w:r>
        <w:rPr>
          <w:rFonts w:ascii="Arial" w:hAnsi="Arial"/>
          <w:b/>
          <w:color w:val="7C7578"/>
        </w:rPr>
        <w:t>8.2 Mekanisme Pengendalian Proyek</w:t>
      </w:r>
    </w:p>
    <w:p>
      <w:r>
        <w:rPr>
          <w:b w:val="0"/>
          <w:i w:val="0"/>
        </w:rPr>
        <w:t>Pengendalian proyek dilakukan lewat kombinasi dashboard progres, risk register, issue log, quality gate, dan acceptance deliverable. Model kontrol ini memastikan aktivitas delivery tetap terkunci pada hasil bisnis, bukan sekadar penyelesaian aktivitas administratif. Untuk Indosat Ooredoo Hutchison, pengendalian semacam ini penting karena program meningkatkan reliability jaringan dan kualitas layanan melalui ai network optimization yang terukur berpotensi melibatkan banyak dependency dan keputusan cepat. Oleh sebab itu, indikator kontrol tidak cukup hanya melihat status task, tetapi juga harus membaca dampaknya pada target bisnis, pengalaman nasabah, dan risiko operasional. - Konteks Indosat Ooredoo Hutchison tetap menjadi acuan utama agar isi bab tidak bergeser menjadi generik. - Setiap butir pada bab ini harus bisa ditelusuri ke KPI, risiko, atau keputusan kerja yang nyata. - Governance perlu memuat stop/go criteria, approval, monitoring, dan accountability. - Governance harus mencakup SOP penggunaan, approval, risk control, quality gate, dan mekanisme evaluasi untuk bias, hallucination, atau keputusan yang perlu human oversight.</w:t>
      </w:r>
    </w:p>
    <w:p>
      <w:r>
        <w:rPr>
          <w:b w:val="0"/>
          <w:i w:val="0"/>
        </w:rPr>
        <w:t>Untuk Indosat Ooredoo Hutchison, isi bab ini harus dibaca sebagai dasar keputusan kerja yang dapat ditindaklanjuti, bukan sekadar penjelasan konseptual. Karena itu, isi bab tetap diarahkan untuk menjaga relevansi terhadap KPI seperti Service availability dan pengalaman pelanggan meningkat dalam 6 bulan. | Churn pelanggan menurun dan quality of service membaik dalam 6 bulan. dan istilah kerja subscriber, network availability.</w:t>
      </w:r>
    </w:p>
    <w:p>
      <w:r>
        <w:br w:type="page"/>
      </w:r>
    </w:p>
    <w:p>
      <w:pPr>
        <w:pStyle w:val="Heading1"/>
        <w:jc w:val="center"/>
      </w:pPr>
      <w:r>
        <w:rPr>
          <w:color w:val="7C7578"/>
        </w:rPr>
        <w:t>BAB IX – STRUKTUR &amp; TEAM PROYEK</w:t>
      </w:r>
    </w:p>
    <w:p>
      <w:r>
        <w:rPr>
          <w:b w:val="0"/>
          <w:i w:val="0"/>
        </w:rPr>
        <w:t>Struktur tim proyek untuk Indosat Ooredoo Hutchison dibentuk agar pengambilan keputusan, pengawasan mutu, dan eksekusi lapangan bergerak seirama. Komposisi tim tidak diperlakukan sebagai daftar jabatan semata, tetapi sebagai mekanisme untuk menjaga kualitas output terhadap target Service availability dan pengalaman pelanggan meningkat dalam 6 bulan.</w:t>
      </w:r>
    </w:p>
    <w:p>
      <w:pPr>
        <w:pStyle w:val="Heading2"/>
      </w:pPr>
      <w:r>
        <w:rPr>
          <w:rFonts w:ascii="Arial" w:hAnsi="Arial"/>
          <w:b/>
          <w:color w:val="7C7578"/>
        </w:rPr>
        <w:t>9.1 Struktur Tim Proyek</w:t>
      </w:r>
    </w:p>
    <w:p>
      <w:pPr>
        <w:pStyle w:val="ListNumber"/>
        <w:spacing w:before="0" w:after="80"/>
        <w:numPr>
          <w:ilvl w:val="0"/>
          <w:numId w:val="36"/>
        </w:numPr>
      </w:pPr>
      <w:r>
        <w:rPr>
          <w:b/>
          <w:i w:val="0"/>
        </w:rPr>
        <w:t>Engagement Lead / Partner</w:t>
      </w:r>
      <w:r>
        <w:rPr>
          <w:b w:val="0"/>
          <w:i w:val="0"/>
        </w:rPr>
        <w:t xml:space="preserve"> memastikan arah kemitraan, kualitas narasi eksekutif, dan keputusan sponsor tetap selaras dengan tujuan bisnis.</w:t>
      </w:r>
    </w:p>
    <w:p>
      <w:pPr>
        <w:pStyle w:val="ListNumber"/>
        <w:spacing w:before="0" w:after="80"/>
        <w:numPr>
          <w:ilvl w:val="0"/>
          <w:numId w:val="36"/>
        </w:numPr>
      </w:pPr>
      <w:r>
        <w:rPr>
          <w:b/>
          <w:i w:val="0"/>
        </w:rPr>
        <w:t>Business Translator / Domain Lead</w:t>
      </w:r>
      <w:r>
        <w:rPr>
          <w:b w:val="0"/>
          <w:i w:val="0"/>
        </w:rPr>
        <w:t xml:space="preserve"> menjembatani kebutuhan sponsor, use case prioritas, dan kebutuhan operasional pengguna.</w:t>
      </w:r>
    </w:p>
    <w:p>
      <w:pPr>
        <w:pStyle w:val="ListNumber"/>
        <w:spacing w:before="0" w:after="80"/>
        <w:numPr>
          <w:ilvl w:val="0"/>
          <w:numId w:val="36"/>
        </w:numPr>
      </w:pPr>
      <w:r>
        <w:rPr>
          <w:b/>
          <w:i w:val="0"/>
        </w:rPr>
        <w:t>AI / Solution Engineering Lead</w:t>
      </w:r>
      <w:r>
        <w:rPr>
          <w:b w:val="0"/>
          <w:i w:val="0"/>
        </w:rPr>
        <w:t xml:space="preserve"> mengawal desain solusi, integrasi, dan kualitas implementasi agar tetap feasible.</w:t>
      </w:r>
    </w:p>
    <w:p>
      <w:pPr>
        <w:pStyle w:val="ListNumber"/>
        <w:spacing w:before="0" w:after="80"/>
        <w:numPr>
          <w:ilvl w:val="0"/>
          <w:numId w:val="36"/>
        </w:numPr>
      </w:pPr>
      <w:r>
        <w:rPr>
          <w:b/>
          <w:i w:val="0"/>
        </w:rPr>
        <w:t>Governance &amp; Risk Reviewer</w:t>
      </w:r>
      <w:r>
        <w:rPr>
          <w:b w:val="0"/>
          <w:i w:val="0"/>
        </w:rPr>
        <w:t xml:space="preserve"> menjaga kontrol penggunaan, quality gate, dan kelayakan rollout sebelum solusi diperluas.</w:t>
      </w:r>
    </w:p>
    <w:p>
      <w:pPr>
        <w:pStyle w:val="ListNumber"/>
        <w:spacing w:before="0" w:after="80"/>
        <w:numPr>
          <w:ilvl w:val="0"/>
          <w:numId w:val="36"/>
        </w:numPr>
      </w:pPr>
      <w:r>
        <w:rPr>
          <w:b/>
          <w:i w:val="0"/>
        </w:rPr>
        <w:t>Change / Enablement Lead</w:t>
      </w:r>
      <w:r>
        <w:rPr>
          <w:b w:val="0"/>
          <w:i w:val="0"/>
        </w:rPr>
        <w:t xml:space="preserve"> mengawal kesiapan pengguna, perubahan cara kerja, dan adopsi hasil di lapangan.</w:t>
      </w:r>
    </w:p>
    <w:p>
      <w:pPr>
        <w:pStyle w:val="ListNumber"/>
        <w:spacing w:before="0" w:after="80"/>
        <w:numPr>
          <w:ilvl w:val="0"/>
          <w:numId w:val="36"/>
        </w:numPr>
      </w:pPr>
      <w:r>
        <w:rPr>
          <w:b/>
          <w:i w:val="0"/>
        </w:rPr>
        <w:t>Workstream Core</w:t>
      </w:r>
      <w:r>
        <w:rPr>
          <w:b w:val="0"/>
          <w:i w:val="0"/>
        </w:rPr>
        <w:t xml:space="preserve"> memanfaatkan komposisi 1x Program Manager, 2x Change Experts, 3x Tech Leads agar area prioritas dapat dieksekusi dengan coverage yang memadai.</w:t>
      </w:r>
    </w:p>
    <w:p>
      <w:pPr>
        <w:pStyle w:val="Heading2"/>
      </w:pPr>
      <w:r>
        <w:rPr>
          <w:rFonts w:ascii="Arial" w:hAnsi="Arial"/>
          <w:b/>
          <w:color w:val="7C7578"/>
        </w:rPr>
        <w:t>9.2 Kapabilitas, Pengalaman, dan Sertifikasi</w:t>
      </w:r>
    </w:p>
    <w:p>
      <w:r>
        <w:rPr>
          <w:b w:val="0"/>
          <w:i w:val="0"/>
        </w:rPr>
        <w:t>Dari sisi kapabilitas, tim delivery disiapkan untuk menggabungkan pemahaman domain, disiplin arsitektur/operasi, dan pengalaman eksekusi proyek yang serupa. Rujukan kapabilitas internal saat ini mencakup Kapabilitas layanan menyesuaikan kebutuhan proyek klien, dengan titik bukti utama pada Kapabilitas layanan menyesuaikan kebutuhan proyek klien, 1. - Konteks Indosat Ooredoo Hutchison tetap menjadi acuan utama agar isi bab tidak bergeser menjadi generik. - Setiap butir pada bab ini harus bisa ditelusuri ke KPI, risiko, atau keputusan kerja yang nyata.</w:t>
      </w:r>
    </w:p>
    <w:p>
      <w:r>
        <w:rPr>
          <w:b w:val="0"/>
          <w:i w:val="0"/>
        </w:rPr>
        <w:t>Untuk Indosat Ooredoo Hutchison, isi bab ini harus dibaca sebagai dasar keputusan kerja yang dapat ditindaklanjuti, bukan sekadar penjelasan konseptual. Karena itu, isi bab tetap diarahkan untuk menjaga relevansi terhadap KPI seperti Service availability dan pengalaman pelanggan meningkat dalam 6 bulan. | Churn pelanggan menurun dan quality of service membaik dalam 6 bulan. dan istilah kerja subscriber, network availability.</w:t>
      </w:r>
    </w:p>
    <w:p>
      <w:pPr>
        <w:pStyle w:val="ListBullet"/>
        <w:spacing w:before="0" w:after="80"/>
        <w:numPr>
          <w:ilvl w:val="0"/>
          <w:numId w:val="37"/>
        </w:numPr>
      </w:pPr>
      <w:r>
        <w:rPr>
          <w:b w:val="0"/>
          <w:i w:val="0"/>
        </w:rPr>
        <w:t>Implikasi eksekusinya harus tetap jelas agar sponsor dan tim delivery dapat menurunkan isi bab ini menjadi tindakan yang konkret.</w:t>
      </w:r>
    </w:p>
    <w:p>
      <w:pPr>
        <w:pStyle w:val="ListBullet"/>
        <w:spacing w:before="0" w:after="80"/>
        <w:numPr>
          <w:ilvl w:val="0"/>
          <w:numId w:val="37"/>
        </w:numPr>
      </w:pPr>
      <w:r>
        <w:rPr>
          <w:b w:val="0"/>
          <w:i w:val="0"/>
        </w:rPr>
        <w:t>Dengan pendekatan ini, narasi proposal tetap terhubung pada kebutuhan bisnis sekaligus tidak kehilangan kontrol implementasi.</w:t>
      </w:r>
    </w:p>
    <w:p>
      <w:r>
        <w:rPr>
          <w:b w:val="0"/>
          <w:i w:val="0"/>
        </w:rPr>
        <w:t>Secara praktis, hal ini membantu Indosat Ooredoo Hutchison membaca setiap bagian proposal sebagai bahan keputusan yang lebih operasional: apa yang harus diprioritaskan, siapa yang perlu mengambil keputusan, risiko apa yang harus dijaga, dan indikator apa yang dipakai untuk menguji bahwa arah kerja masih benar.</w:t>
      </w:r>
    </w:p>
    <w:p>
      <w:r>
        <w:br w:type="page"/>
      </w:r>
    </w:p>
    <w:p>
      <w:pPr>
        <w:pStyle w:val="Heading1"/>
        <w:jc w:val="center"/>
      </w:pPr>
      <w:r>
        <w:rPr>
          <w:color w:val="7C7578"/>
        </w:rPr>
        <w:t>BAB X – MODEL PEMBIAYAAN</w:t>
      </w:r>
    </w:p>
    <w:p>
      <w:r>
        <w:rPr>
          <w:b w:val="0"/>
          <w:i w:val="0"/>
        </w:rPr>
        <w:t>Model pembiayaan untuk Indosat Ooredoo Hutchison disusun agar komitmen biaya, mekanisme pembayaran, dan batas ruang lingkup tetap jelas sejak awal. Tujuannya adalah menjaga proyek meningkatkan reliability jaringan dan kualitas layanan melalui ai network optimization yang terukur tetap dapat dieksekusi tanpa ambiguitas komersial, sambil memberi ruang kontrol terhadap perubahan yang benar-benar material dan memastikan investasi tetap tertaut pada manfaat yang dijanjikan: Inixindo Jogja menempatkan engagement Indosat Ooredoo Hutchison sebagai upaya untuk memastikan inisiatif meningkatkan reliability jaringan dan kualitas layanan melalui ai network optimization yang terukur bergerak dari use case....</w:t>
      </w:r>
    </w:p>
    <w:p>
      <w:pPr>
        <w:pStyle w:val="Heading2"/>
      </w:pPr>
      <w:r>
        <w:rPr>
          <w:rFonts w:ascii="Arial" w:hAnsi="Arial"/>
          <w:b/>
          <w:color w:val="7C7578"/>
        </w:rPr>
        <w:t>10.1 Biaya dan Tahapan Pembayaran</w:t>
      </w:r>
    </w:p>
    <w:p>
      <w:r>
        <w:rPr>
          <w:b w:val="0"/>
          <w:i w:val="0"/>
        </w:rPr>
        <w:t>Estimasi investasi awal untuk engagement ini adalah</w:t>
      </w:r>
      <w:r>
        <w:rPr>
          <w:b/>
          <w:i w:val="0"/>
        </w:rPr>
        <w:t xml:space="preserve"> Rp 754.175.188</w:t>
      </w:r>
      <w:r>
        <w:rPr>
          <w:b w:val="0"/>
          <w:i w:val="0"/>
        </w:rPr>
        <w:t>, dengan tipe layanan</w:t>
      </w:r>
      <w:r>
        <w:rPr>
          <w:b/>
          <w:i w:val="0"/>
        </w:rPr>
        <w:t xml:space="preserve"> Konsultan</w:t>
      </w:r>
      <w:r>
        <w:rPr>
          <w:b w:val="0"/>
          <w:i w:val="0"/>
        </w:rPr>
        <w:t xml:space="preserve"> pada model proyek</w:t>
      </w:r>
      <w:r>
        <w:rPr>
          <w:b/>
          <w:i w:val="0"/>
        </w:rPr>
        <w:t xml:space="preserve"> Transformation</w:t>
      </w:r>
      <w:r>
        <w:rPr>
          <w:b w:val="0"/>
          <w:i w:val="0"/>
        </w:rPr>
        <w:t xml:space="preserve"> selama</w:t>
      </w:r>
      <w:r>
        <w:rPr>
          <w:b/>
          <w:i w:val="0"/>
        </w:rPr>
        <w:t xml:space="preserve"> 6 bulan</w:t>
      </w:r>
      <w:r>
        <w:rPr>
          <w:b w:val="0"/>
          <w:i w:val="0"/>
        </w:rPr>
        <w:t>. Baseline komersial internal yang menjadi acuan adalah Time &amp; Materials (T&amp;M) over 12-18 months.</w:t>
      </w:r>
    </w:p>
    <w:tbl>
      <w:tblPr>
        <w:tblStyle w:val="TableGrid"/>
        <w:tblW w:type="auto" w:w="0"/>
        <w:tblLook w:firstColumn="1" w:firstRow="1" w:lastColumn="0" w:lastRow="0" w:noHBand="0" w:noVBand="1" w:val="04A0"/>
      </w:tblPr>
      <w:tblGrid>
        <w:gridCol w:w="4680"/>
        <w:gridCol w:w="4680"/>
      </w:tblGrid>
      <w:tr>
        <w:tc>
          <w:tcPr>
            <w:tcW w:type="dxa" w:w="4680"/>
          </w:tcPr>
          <w:p>
            <w:r>
              <w:rPr>
                <w:b w:val="0"/>
                <w:i w:val="0"/>
              </w:rPr>
              <w:t>Komponen</w:t>
            </w:r>
          </w:p>
        </w:tc>
        <w:tc>
          <w:tcPr>
            <w:tcW w:type="dxa" w:w="4680"/>
          </w:tcPr>
          <w:p>
            <w:r>
              <w:rPr>
                <w:b w:val="0"/>
                <w:i w:val="0"/>
              </w:rPr>
              <w:t>Rancangan Komersial</w:t>
            </w:r>
          </w:p>
        </w:tc>
      </w:tr>
      <w:tr>
        <w:tc>
          <w:tcPr>
            <w:tcW w:type="dxa" w:w="4680"/>
          </w:tcPr>
          <w:p>
            <w:r>
              <w:rPr>
                <w:b w:val="0"/>
                <w:i w:val="0"/>
              </w:rPr>
              <w:t>Estimasi investasi</w:t>
            </w:r>
          </w:p>
        </w:tc>
        <w:tc>
          <w:tcPr>
            <w:tcW w:type="dxa" w:w="4680"/>
          </w:tcPr>
          <w:p>
            <w:r>
              <w:rPr>
                <w:b w:val="0"/>
                <w:i w:val="0"/>
              </w:rPr>
              <w:t>Rp 754.175.188</w:t>
            </w:r>
          </w:p>
        </w:tc>
      </w:tr>
      <w:tr>
        <w:tc>
          <w:tcPr>
            <w:tcW w:type="dxa" w:w="4680"/>
          </w:tcPr>
          <w:p>
            <w:r>
              <w:rPr>
                <w:b w:val="0"/>
                <w:i w:val="0"/>
              </w:rPr>
              <w:t>Model engagement</w:t>
            </w:r>
          </w:p>
        </w:tc>
        <w:tc>
          <w:tcPr>
            <w:tcW w:type="dxa" w:w="4680"/>
          </w:tcPr>
          <w:p>
            <w:r>
              <w:rPr>
                <w:b w:val="0"/>
                <w:i w:val="0"/>
              </w:rPr>
              <w:t>Konsultan - Transformation</w:t>
            </w:r>
          </w:p>
        </w:tc>
      </w:tr>
      <w:tr>
        <w:tc>
          <w:tcPr>
            <w:tcW w:type="dxa" w:w="4680"/>
          </w:tcPr>
          <w:p>
            <w:r>
              <w:rPr>
                <w:b w:val="0"/>
                <w:i w:val="0"/>
              </w:rPr>
              <w:t>Durasi acuan</w:t>
            </w:r>
          </w:p>
        </w:tc>
        <w:tc>
          <w:tcPr>
            <w:tcW w:type="dxa" w:w="4680"/>
          </w:tcPr>
          <w:p>
            <w:r>
              <w:rPr>
                <w:b w:val="0"/>
                <w:i w:val="0"/>
              </w:rPr>
              <w:t>6 bulan</w:t>
            </w:r>
          </w:p>
        </w:tc>
      </w:tr>
      <w:tr>
        <w:tc>
          <w:tcPr>
            <w:tcW w:type="dxa" w:w="4680"/>
          </w:tcPr>
          <w:p>
            <w:r>
              <w:rPr>
                <w:b w:val="0"/>
                <w:i w:val="0"/>
              </w:rPr>
              <w:t>Basis commercial</w:t>
            </w:r>
          </w:p>
        </w:tc>
        <w:tc>
          <w:tcPr>
            <w:tcW w:type="dxa" w:w="4680"/>
          </w:tcPr>
          <w:p>
            <w:r>
              <w:rPr>
                <w:b w:val="0"/>
                <w:i w:val="0"/>
              </w:rPr>
              <w:t>Time &amp; Materials (T&amp;M) over 12-18 months.</w:t>
            </w:r>
          </w:p>
        </w:tc>
      </w:tr>
      <w:tr>
        <w:tc>
          <w:tcPr>
            <w:tcW w:type="dxa" w:w="4680"/>
          </w:tcPr>
          <w:p>
            <w:r>
              <w:rPr>
                <w:b w:val="0"/>
                <w:i w:val="0"/>
              </w:rPr>
              <w:t>Mekanisme review</w:t>
            </w:r>
          </w:p>
        </w:tc>
        <w:tc>
          <w:tcPr>
            <w:tcW w:type="dxa" w:w="4680"/>
          </w:tcPr>
          <w:p>
            <w:r>
              <w:rPr>
                <w:b w:val="0"/>
                <w:i w:val="0"/>
              </w:rPr>
              <w:t>Review milestone, acceptance deliverable, dan approval perubahan scope</w:t>
            </w:r>
          </w:p>
        </w:tc>
      </w:tr>
    </w:tbl>
    <w:p>
      <w:pPr>
        <w:pStyle w:val="ListNumber"/>
        <w:spacing w:before="0" w:after="80"/>
        <w:numPr>
          <w:ilvl w:val="0"/>
          <w:numId w:val="38"/>
        </w:numPr>
      </w:pPr>
      <w:r>
        <w:rPr>
          <w:b/>
          <w:i w:val="0"/>
        </w:rPr>
        <w:t>Readiness &amp; scoping sign-off</w:t>
      </w:r>
      <w:r>
        <w:rPr>
          <w:b w:val="0"/>
          <w:i w:val="0"/>
        </w:rPr>
        <w:t xml:space="preserve"> sebesar 20% dari estimasi investasi, ditagihkan setelah milestone terkait diterima.</w:t>
      </w:r>
    </w:p>
    <w:p>
      <w:pPr>
        <w:pStyle w:val="ListNumber"/>
        <w:spacing w:before="0" w:after="80"/>
        <w:numPr>
          <w:ilvl w:val="0"/>
          <w:numId w:val="38"/>
        </w:numPr>
      </w:pPr>
      <w:r>
        <w:rPr>
          <w:b/>
          <w:i w:val="0"/>
        </w:rPr>
        <w:t>Control/data preparation milestone</w:t>
      </w:r>
      <w:r>
        <w:rPr>
          <w:b w:val="0"/>
          <w:i w:val="0"/>
        </w:rPr>
        <w:t xml:space="preserve"> sebesar 25% dari estimasi investasi, ditagihkan setelah milestone terkait diterima.</w:t>
      </w:r>
    </w:p>
    <w:p>
      <w:pPr>
        <w:pStyle w:val="ListNumber"/>
        <w:spacing w:before="0" w:after="80"/>
        <w:numPr>
          <w:ilvl w:val="0"/>
          <w:numId w:val="38"/>
        </w:numPr>
      </w:pPr>
      <w:r>
        <w:rPr>
          <w:b/>
          <w:i w:val="0"/>
        </w:rPr>
        <w:t>Pilot validation milestone</w:t>
      </w:r>
      <w:r>
        <w:rPr>
          <w:b w:val="0"/>
          <w:i w:val="0"/>
        </w:rPr>
        <w:t xml:space="preserve"> sebesar 30% dari estimasi investasi, ditagihkan setelah milestone terkait diterima.</w:t>
      </w:r>
    </w:p>
    <w:p>
      <w:pPr>
        <w:pStyle w:val="ListNumber"/>
        <w:spacing w:before="0" w:after="80"/>
        <w:numPr>
          <w:ilvl w:val="0"/>
          <w:numId w:val="38"/>
        </w:numPr>
      </w:pPr>
      <w:r>
        <w:rPr>
          <w:b/>
          <w:i w:val="0"/>
        </w:rPr>
        <w:t>Controlled rollout &amp; adoption closure</w:t>
      </w:r>
      <w:r>
        <w:rPr>
          <w:b w:val="0"/>
          <w:i w:val="0"/>
        </w:rPr>
        <w:t xml:space="preserve"> sebesar 25% dari estimasi investasi, ditagihkan setelah milestone terkait diterima.</w:t>
      </w:r>
    </w:p>
    <w:p>
      <w:pPr>
        <w:pStyle w:val="Heading2"/>
      </w:pPr>
      <w:r>
        <w:rPr>
          <w:rFonts w:ascii="Arial" w:hAnsi="Arial"/>
          <w:b/>
          <w:color w:val="7C7578"/>
        </w:rPr>
        <w:t>10.2 Model Pekerjaan dan Batasan Pekerjaan</w:t>
      </w:r>
    </w:p>
    <w:p>
      <w:r>
        <w:rPr>
          <w:b w:val="0"/>
          <w:i w:val="0"/>
        </w:rPr>
        <w:t>Model kerja dirancang agar ruang lingkup delivery tetap fokus pada kebutuhan opportunity dan KPI seperti Service availability dan pengalaman pelanggan meningkat dalam 6 bulan. | Churn pelanggan menurun dan quality of service membaik dalam 6 bulan. Untuk Indosat Ooredoo Hutchison, disiplin komersial seperti ini penting agar keputusan investasi tetap berada dalam koridor manfaat bisnis, risk appetite, dan kepatuhan POJK yang dapat dipertanggungjawabkan. Model pembiayaan yang baik harus mampu menjaga fleksibilitas eksekusi tanpa membuat biaya berkembang secara tidak terkendali. - Konteks Indosat Ooredoo Hutchison tetap menjadi acuan utama agar isi bab tidak bergeser menjadi generik. - Setiap butir pada bab ini harus bisa ditelusuri ke KPI, risiko, atau keputusan kerja yang nyata. - Commercial model perlu mencerminkan effort readiness, control, pilot, dan adoption support. - Use case ini perlu selalu diikat ke hasil bisnis yang ingin dicapai Indosat Ooredoo Hutchison, yaitu meningkatkan reliability jaringan dan kualitas layanan melalui ai network optimization yang terukur, sementara tekanan utamanya berada pada post-merger integration menimbulkan signal drop di area rural dan membutuhkan use case ai yang feasible, governance yang jelas....</w:t>
      </w:r>
    </w:p>
    <w:p>
      <w:r>
        <w:br w:type="page"/>
      </w:r>
    </w:p>
    <w:p>
      <w:pPr>
        <w:pStyle w:val="Heading1"/>
        <w:jc w:val="center"/>
      </w:pPr>
      <w:r>
        <w:rPr>
          <w:color w:val="7C7578"/>
        </w:rPr>
        <w:t>PENUTUP &amp; APRESIASI KEMITRAAN</w:t>
      </w:r>
    </w:p>
    <w:p>
      <w:r>
        <w:rPr>
          <w:b w:val="0"/>
          <w:i w:val="0"/>
        </w:rPr>
        <w:t>Terima kasih atas kesempatan yang diberikan kepada Inixindo Jogja untuk menyusun proposal bagi Indosat Ooredoo Hutchison. Kami memandang inisiatif meningkatkan reliability jaringan dan kualitas layanan melalui ai network optimization yang terukur bukan hanya sebagai pekerjaan delivery, tetapi sebagai fondasi kemitraan profesional yang harus terasa rapi, hangat, dan dapat dipertanggungjawabkan. Komitmen kami adalah membantu Indosat Ooredoo Hutchison bergerak dari kebutuhan opportunity menuju hasil yang konkret, terukur, dan dapat dijalankan secara disiplin. Di atas itu, kami ingin memastikan bahwa nilai yang dijanjikan dalam proposal ini benar-benar terasa: Inixindo Jogja menempatkan engagement Indosat Ooredoo Hutchison sebagai upaya untuk memastikan inisiatif meningkatkan reliability jaringan dan kualitas layanan melalui ai network optimization yang terukur bergerak dari use case... (Data Internal, 2026).</w:t>
      </w:r>
    </w:p>
    <w:p>
      <w:pPr>
        <w:pStyle w:val="Heading2"/>
      </w:pPr>
      <w:r>
        <w:rPr>
          <w:rFonts w:ascii="Arial" w:hAnsi="Arial"/>
          <w:b/>
          <w:color w:val="7C7578"/>
        </w:rPr>
        <w:t>Apresiasi dan Komitmen Kemitraan</w:t>
      </w:r>
    </w:p>
    <w:p>
      <w:pPr>
        <w:pStyle w:val="ListNumber"/>
        <w:spacing w:before="0" w:after="80"/>
        <w:numPr>
          <w:ilvl w:val="0"/>
          <w:numId w:val="39"/>
        </w:numPr>
      </w:pPr>
      <w:r>
        <w:rPr>
          <w:b w:val="0"/>
          <w:i w:val="0"/>
        </w:rPr>
        <w:t>Kami mengapresiasi keterbukaan Indosat Ooredoo Hutchison dalam mengangkat konteks, tantangan, dan target bisnis yang menjadi dasar proposal ini.</w:t>
      </w:r>
    </w:p>
    <w:p>
      <w:pPr>
        <w:pStyle w:val="ListNumber"/>
        <w:spacing w:before="0" w:after="80"/>
        <w:numPr>
          <w:ilvl w:val="0"/>
          <w:numId w:val="39"/>
        </w:numPr>
      </w:pPr>
      <w:r>
        <w:rPr>
          <w:b w:val="0"/>
          <w:i w:val="0"/>
        </w:rPr>
        <w:t>Kami berkomitmen menjaga kualitas kolaborasi melalui cara kerja yang jelas, komunikasi yang responsif, dan deliverable yang dapat ditindaklanjuti, sejalan dengan positioning Inixindo Jogja sebagai Inixindo Jogja adalah mitra pembelajaran dan konsultasi yang membantu klien bergerak dari kebutuhan bisnis ke rencana eksekusi yang jelas, kredibel, dan dapat dijalankan.</w:t>
      </w:r>
    </w:p>
    <w:p>
      <w:pPr>
        <w:pStyle w:val="ListNumber"/>
        <w:spacing w:before="0" w:after="80"/>
        <w:numPr>
          <w:ilvl w:val="0"/>
          <w:numId w:val="39"/>
        </w:numPr>
      </w:pPr>
      <w:r>
        <w:rPr>
          <w:b w:val="0"/>
          <w:i w:val="0"/>
        </w:rPr>
        <w:t>Fokus awal kemitraan diarahkan pada prioritas seperti Service availability dan pengalaman pelanggan meningkat dalam 6 bulan. | Churn pelanggan menurun dan quality of service membaik dalam 6 bulan. | Efisiensi operasi network support meningkat dalam 6 bulan., dengan tata kelola dan ritme eksekusi yang stabil sejak kickoff. - Nilai kemitraan yang ingin dibangun adalah kombinasi antara kecepatan delivery, subscriber, network availability, service assurance, disiplin kualitas, dan manfaat seperti keputusan use case yang lebih defensible, rollout AI yang lebih terkontrol, adopsi pengguna yang lebih siap. - Setiap langkah lanjutan akan dibuka secara transparan agar sponsor dan tim inti memiliki ekspektasi yang sama sejak awal. - Bila proposal ini disetujui, tahap berikutnya adalah finalisasi scope, konfirmasi tim inti, dan penetapan agenda kickoff bersama Indosat Ooredoo Hutchison.</w:t>
      </w:r>
    </w:p>
    <w:p>
      <w:pPr>
        <w:pStyle w:val="Heading2"/>
      </w:pPr>
      <w:r>
        <w:rPr>
          <w:rFonts w:ascii="Arial" w:hAnsi="Arial"/>
          <w:b/>
          <w:color w:val="7C7578"/>
        </w:rPr>
        <w:t>Informasi Kontak dan Langkah Lanjutan</w:t>
      </w:r>
    </w:p>
    <w:p>
      <w:r>
        <w:rPr>
          <w:b w:val="0"/>
          <w:i w:val="0"/>
        </w:rPr>
        <w:t>Untuk melanjutkan pembahasan, Inixindo Jogja siap menindaklanjuti review proposal, penajaman ruang lingkup, dan penyesuaian komersial yang diperlukan. - Kontak resmi writer firm akan diberikan sesuai data yang telah diverifikasi. - Agenda lanjutan yang disarankan: review scope final, konfirmasi sponsor dan PIC, lalu penjadwalan workshop kickoff. - Dengan fondasi ini, kemitraan dapat dimulai secara profesional sekaligus tetap terasa personal dan well-hearted.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8"/>
  </w:num>
  <w:num w:numId="11">
    <w:abstractNumId w:val="7"/>
  </w:num>
  <w:num w:numId="12">
    <w:abstractNumId w:val="8"/>
  </w:num>
  <w:num w:numId="13">
    <w:abstractNumId w:val="8"/>
  </w:num>
  <w:num w:numId="14">
    <w:abstractNumId w:val="7"/>
  </w:num>
  <w:num w:numId="15">
    <w:abstractNumId w:val="8"/>
  </w:num>
  <w:num w:numId="16">
    <w:abstractNumId w:val="8"/>
  </w:num>
  <w:num w:numId="17">
    <w:abstractNumId w:val="7"/>
  </w:num>
  <w:num w:numId="18">
    <w:abstractNumId w:val="7"/>
  </w:num>
  <w:num w:numId="19">
    <w:abstractNumId w:val="8"/>
  </w:num>
  <w:num w:numId="20">
    <w:abstractNumId w:val="8"/>
  </w:num>
  <w:num w:numId="21">
    <w:abstractNumId w:val="8"/>
  </w:num>
  <w:num w:numId="22">
    <w:abstractNumId w:val="8"/>
  </w:num>
  <w:num w:numId="23">
    <w:abstractNumId w:val="8"/>
  </w:num>
  <w:num w:numId="24">
    <w:abstractNumId w:val="7"/>
  </w:num>
  <w:num w:numId="25">
    <w:abstractNumId w:val="7"/>
  </w:num>
  <w:num w:numId="26">
    <w:abstractNumId w:val="8"/>
  </w:num>
  <w:num w:numId="27">
    <w:abstractNumId w:val="7"/>
  </w:num>
  <w:num w:numId="28">
    <w:abstractNumId w:val="7"/>
  </w:num>
  <w:num w:numId="29">
    <w:abstractNumId w:val="8"/>
  </w:num>
  <w:num w:numId="30">
    <w:abstractNumId w:val="7"/>
  </w:num>
  <w:num w:numId="31">
    <w:abstractNumId w:val="8"/>
  </w:num>
  <w:num w:numId="32">
    <w:abstractNumId w:val="7"/>
  </w:num>
  <w:num w:numId="33">
    <w:abstractNumId w:val="8"/>
  </w:num>
  <w:num w:numId="34">
    <w:abstractNumId w:val="7"/>
  </w:num>
  <w:num w:numId="35">
    <w:abstractNumId w:val="7"/>
  </w:num>
  <w:num w:numId="36">
    <w:abstractNumId w:val="7"/>
  </w:num>
  <w:num w:numId="37">
    <w:abstractNumId w:val="8"/>
  </w:num>
  <w:num w:numId="38">
    <w:abstractNumId w:val="7"/>
  </w:num>
  <w:num w:numId="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60"/>
      <w:jc w:val="left"/>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